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FBCE8" w14:textId="77777777" w:rsidR="00EA1F5B" w:rsidRPr="00174D03" w:rsidRDefault="00174D03" w:rsidP="00B478A9">
      <w:pPr>
        <w:spacing w:after="0" w:line="360" w:lineRule="auto"/>
        <w:jc w:val="center"/>
        <w:rPr>
          <w:rFonts w:ascii="Times New Roman" w:hAnsi="Times New Roman" w:cs="Times New Roman"/>
          <w:b/>
          <w:sz w:val="32"/>
          <w:szCs w:val="32"/>
        </w:rPr>
      </w:pPr>
      <w:bookmarkStart w:id="0" w:name="_GoBack"/>
      <w:bookmarkEnd w:id="0"/>
      <w:r w:rsidRPr="00174D03">
        <w:rPr>
          <w:rFonts w:ascii="Times New Roman" w:eastAsia="TimesNewRomanPSMT" w:hAnsi="Times New Roman" w:cs="Times New Roman"/>
          <w:b/>
          <w:sz w:val="32"/>
          <w:szCs w:val="32"/>
        </w:rPr>
        <w:t>Integrovaná stratégia miestneho rozvoja vedeného komunitou Kopaničiarsky región – miestna akčná skupina na roky 2015 - 2022</w:t>
      </w:r>
    </w:p>
    <w:p w14:paraId="43FEF270" w14:textId="77777777" w:rsidR="009520AB" w:rsidRDefault="009520AB" w:rsidP="00E37887">
      <w:pPr>
        <w:spacing w:after="0" w:line="360" w:lineRule="auto"/>
        <w:jc w:val="both"/>
        <w:rPr>
          <w:rFonts w:ascii="Times New Roman" w:hAnsi="Times New Roman" w:cs="Times New Roman"/>
          <w:b/>
          <w:sz w:val="24"/>
          <w:szCs w:val="24"/>
        </w:rPr>
      </w:pPr>
    </w:p>
    <w:p w14:paraId="26A78A95" w14:textId="77777777" w:rsidR="00EA1F5B" w:rsidRPr="00B478A9" w:rsidRDefault="002C5595" w:rsidP="00B478A9">
      <w:pPr>
        <w:spacing w:after="0" w:line="360" w:lineRule="auto"/>
        <w:jc w:val="center"/>
        <w:rPr>
          <w:rFonts w:ascii="Times New Roman" w:hAnsi="Times New Roman" w:cs="Times New Roman"/>
          <w:b/>
          <w:sz w:val="32"/>
          <w:szCs w:val="32"/>
        </w:rPr>
      </w:pPr>
      <w:r w:rsidRPr="00B478A9">
        <w:rPr>
          <w:rFonts w:ascii="Times New Roman" w:hAnsi="Times New Roman" w:cs="Times New Roman"/>
          <w:b/>
          <w:sz w:val="32"/>
          <w:szCs w:val="32"/>
        </w:rPr>
        <w:t>Kopaničiarsky región – miestna akčná skupina</w:t>
      </w:r>
    </w:p>
    <w:p w14:paraId="047C2C15" w14:textId="77777777" w:rsidR="009520AB" w:rsidRDefault="009520AB" w:rsidP="00E37887">
      <w:pPr>
        <w:spacing w:after="0" w:line="360" w:lineRule="auto"/>
        <w:jc w:val="both"/>
        <w:rPr>
          <w:rFonts w:ascii="Times New Roman" w:hAnsi="Times New Roman" w:cs="Times New Roman"/>
          <w:b/>
          <w:sz w:val="24"/>
          <w:szCs w:val="24"/>
        </w:rPr>
      </w:pPr>
    </w:p>
    <w:p w14:paraId="2AB3CCB7" w14:textId="77777777" w:rsidR="00D24EE0" w:rsidRDefault="00D24EE0" w:rsidP="00E37887">
      <w:pPr>
        <w:spacing w:after="0" w:line="360" w:lineRule="auto"/>
        <w:jc w:val="both"/>
        <w:rPr>
          <w:rFonts w:ascii="Times New Roman" w:hAnsi="Times New Roman" w:cs="Times New Roman"/>
          <w:b/>
          <w:sz w:val="24"/>
          <w:szCs w:val="24"/>
        </w:rPr>
      </w:pPr>
    </w:p>
    <w:p w14:paraId="4EC14CF7" w14:textId="77777777" w:rsidR="00D24EE0" w:rsidRDefault="00D24EE0" w:rsidP="00E37887">
      <w:pPr>
        <w:spacing w:after="0" w:line="360" w:lineRule="auto"/>
        <w:jc w:val="both"/>
        <w:rPr>
          <w:rFonts w:ascii="Times New Roman" w:hAnsi="Times New Roman" w:cs="Times New Roman"/>
          <w:b/>
          <w:sz w:val="24"/>
          <w:szCs w:val="24"/>
        </w:rPr>
      </w:pPr>
    </w:p>
    <w:p w14:paraId="68B27A51" w14:textId="77777777" w:rsidR="00D24EE0" w:rsidRPr="00891B13" w:rsidRDefault="00D24EE0" w:rsidP="00E37887">
      <w:pPr>
        <w:spacing w:after="0" w:line="360" w:lineRule="auto"/>
        <w:jc w:val="both"/>
        <w:rPr>
          <w:rFonts w:ascii="Times New Roman" w:hAnsi="Times New Roman" w:cs="Times New Roman"/>
          <w:b/>
          <w:sz w:val="24"/>
          <w:szCs w:val="24"/>
        </w:rPr>
      </w:pPr>
    </w:p>
    <w:p w14:paraId="220B666B" w14:textId="77777777" w:rsidR="00D24EE0" w:rsidRPr="00D24EE0" w:rsidRDefault="00D24EE0" w:rsidP="00D24E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Verzia: 1.0 z 10</w:t>
      </w:r>
      <w:r w:rsidRPr="00D24EE0">
        <w:rPr>
          <w:rFonts w:ascii="Times New Roman" w:hAnsi="Times New Roman" w:cs="Times New Roman"/>
          <w:b/>
          <w:sz w:val="24"/>
          <w:szCs w:val="24"/>
        </w:rPr>
        <w:t>.12.2018</w:t>
      </w:r>
    </w:p>
    <w:p w14:paraId="2A64ED6A" w14:textId="77777777" w:rsidR="00D24EE0" w:rsidRPr="00D24EE0" w:rsidRDefault="00D24EE0" w:rsidP="00D24E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 znení dodatkov: č. 2 z 27</w:t>
      </w:r>
      <w:r w:rsidRPr="00D24EE0">
        <w:rPr>
          <w:rFonts w:ascii="Times New Roman" w:hAnsi="Times New Roman" w:cs="Times New Roman"/>
          <w:b/>
          <w:sz w:val="24"/>
          <w:szCs w:val="24"/>
        </w:rPr>
        <w:t>.6.2017</w:t>
      </w:r>
    </w:p>
    <w:p w14:paraId="7CF4CD7A" w14:textId="77777777" w:rsidR="009520AB" w:rsidRPr="00891B13" w:rsidRDefault="00D24EE0" w:rsidP="00D24E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 znení dodatkov: č. 1 z 24</w:t>
      </w:r>
      <w:r w:rsidRPr="00D24EE0">
        <w:rPr>
          <w:rFonts w:ascii="Times New Roman" w:hAnsi="Times New Roman" w:cs="Times New Roman"/>
          <w:b/>
          <w:sz w:val="24"/>
          <w:szCs w:val="24"/>
        </w:rPr>
        <w:t>.11.2016</w:t>
      </w:r>
    </w:p>
    <w:p w14:paraId="567BB695" w14:textId="77777777" w:rsidR="009520AB" w:rsidRDefault="009520AB" w:rsidP="00E37887">
      <w:pPr>
        <w:spacing w:after="0" w:line="360" w:lineRule="auto"/>
        <w:jc w:val="both"/>
        <w:rPr>
          <w:rFonts w:ascii="Times New Roman" w:hAnsi="Times New Roman" w:cs="Times New Roman"/>
          <w:b/>
          <w:sz w:val="24"/>
          <w:szCs w:val="24"/>
        </w:rPr>
      </w:pPr>
    </w:p>
    <w:p w14:paraId="6318564E" w14:textId="77777777" w:rsidR="00D24EE0" w:rsidRDefault="00D24EE0" w:rsidP="00E37887">
      <w:pPr>
        <w:spacing w:after="0" w:line="360" w:lineRule="auto"/>
        <w:jc w:val="both"/>
        <w:rPr>
          <w:rFonts w:ascii="Times New Roman" w:hAnsi="Times New Roman" w:cs="Times New Roman"/>
          <w:b/>
          <w:sz w:val="24"/>
          <w:szCs w:val="24"/>
        </w:rPr>
      </w:pPr>
    </w:p>
    <w:p w14:paraId="37B3E8EB" w14:textId="77777777" w:rsidR="00D24EE0" w:rsidRDefault="00D24EE0" w:rsidP="00E37887">
      <w:pPr>
        <w:spacing w:after="0" w:line="360" w:lineRule="auto"/>
        <w:jc w:val="both"/>
        <w:rPr>
          <w:rFonts w:ascii="Times New Roman" w:hAnsi="Times New Roman" w:cs="Times New Roman"/>
          <w:b/>
          <w:sz w:val="24"/>
          <w:szCs w:val="24"/>
        </w:rPr>
      </w:pPr>
    </w:p>
    <w:p w14:paraId="0BFB5F82" w14:textId="77777777" w:rsidR="00D24EE0" w:rsidRDefault="00D24EE0" w:rsidP="00E37887">
      <w:pPr>
        <w:spacing w:after="0" w:line="360" w:lineRule="auto"/>
        <w:jc w:val="both"/>
        <w:rPr>
          <w:rFonts w:ascii="Times New Roman" w:hAnsi="Times New Roman" w:cs="Times New Roman"/>
          <w:b/>
          <w:sz w:val="24"/>
          <w:szCs w:val="24"/>
        </w:rPr>
      </w:pPr>
    </w:p>
    <w:p w14:paraId="458BB36D" w14:textId="77777777" w:rsidR="00D24EE0" w:rsidRDefault="00D24EE0" w:rsidP="00E37887">
      <w:pPr>
        <w:spacing w:after="0" w:line="360" w:lineRule="auto"/>
        <w:jc w:val="both"/>
        <w:rPr>
          <w:rFonts w:ascii="Times New Roman" w:hAnsi="Times New Roman" w:cs="Times New Roman"/>
          <w:b/>
          <w:sz w:val="24"/>
          <w:szCs w:val="24"/>
        </w:rPr>
      </w:pPr>
    </w:p>
    <w:p w14:paraId="1B6F3517" w14:textId="77777777" w:rsidR="00D24EE0" w:rsidRDefault="00D24EE0" w:rsidP="00E37887">
      <w:pPr>
        <w:spacing w:after="0" w:line="360" w:lineRule="auto"/>
        <w:jc w:val="both"/>
        <w:rPr>
          <w:rFonts w:ascii="Times New Roman" w:hAnsi="Times New Roman" w:cs="Times New Roman"/>
          <w:b/>
          <w:sz w:val="24"/>
          <w:szCs w:val="24"/>
        </w:rPr>
      </w:pPr>
    </w:p>
    <w:p w14:paraId="14547AB1" w14:textId="77777777" w:rsidR="00D24EE0" w:rsidRPr="00891B13" w:rsidRDefault="00D24EE0" w:rsidP="00E37887">
      <w:pPr>
        <w:spacing w:after="0" w:line="360" w:lineRule="auto"/>
        <w:jc w:val="both"/>
        <w:rPr>
          <w:rFonts w:ascii="Times New Roman" w:hAnsi="Times New Roman" w:cs="Times New Roman"/>
          <w:b/>
          <w:sz w:val="24"/>
          <w:szCs w:val="24"/>
        </w:rPr>
      </w:pPr>
    </w:p>
    <w:p w14:paraId="07F388C8" w14:textId="77777777" w:rsidR="00AE0CC7" w:rsidRPr="005173A5" w:rsidRDefault="00AE0CC7" w:rsidP="00AE0CC7">
      <w:pPr>
        <w:jc w:val="both"/>
        <w:rPr>
          <w:rFonts w:ascii="Times New Roman" w:hAnsi="Times New Roman" w:cs="Times New Roman"/>
          <w:i/>
          <w:sz w:val="24"/>
          <w:szCs w:val="24"/>
        </w:rPr>
      </w:pPr>
      <w:r w:rsidRPr="005173A5">
        <w:rPr>
          <w:rFonts w:ascii="Times New Roman" w:hAnsi="Times New Roman" w:cs="Times New Roman"/>
          <w:i/>
          <w:sz w:val="24"/>
          <w:szCs w:val="24"/>
        </w:rPr>
        <w:t xml:space="preserve">Kancelária KR-MAS pripravila návrh </w:t>
      </w:r>
      <w:r w:rsidR="00D24EE0">
        <w:rPr>
          <w:rFonts w:ascii="Times New Roman" w:hAnsi="Times New Roman" w:cs="Times New Roman"/>
          <w:i/>
          <w:sz w:val="24"/>
          <w:szCs w:val="24"/>
        </w:rPr>
        <w:t>aktualizácie stratégie</w:t>
      </w:r>
      <w:r w:rsidRPr="005173A5">
        <w:rPr>
          <w:rFonts w:ascii="Times New Roman" w:hAnsi="Times New Roman" w:cs="Times New Roman"/>
          <w:i/>
          <w:sz w:val="24"/>
          <w:szCs w:val="24"/>
        </w:rPr>
        <w:t xml:space="preserve">, ktorý predložila predsedníctvu na schválenie. Predsedníctvo tento návrh pripomienkovalo na svojom zasadnutí dňa </w:t>
      </w:r>
      <w:r>
        <w:rPr>
          <w:rFonts w:ascii="Times New Roman" w:hAnsi="Times New Roman" w:cs="Times New Roman"/>
          <w:i/>
          <w:sz w:val="24"/>
          <w:szCs w:val="24"/>
        </w:rPr>
        <w:t>2</w:t>
      </w:r>
      <w:r w:rsidR="00D24EE0">
        <w:rPr>
          <w:rFonts w:ascii="Times New Roman" w:hAnsi="Times New Roman" w:cs="Times New Roman"/>
          <w:i/>
          <w:sz w:val="24"/>
          <w:szCs w:val="24"/>
        </w:rPr>
        <w:t>7</w:t>
      </w:r>
      <w:r w:rsidRPr="005173A5">
        <w:rPr>
          <w:rFonts w:ascii="Times New Roman" w:hAnsi="Times New Roman" w:cs="Times New Roman"/>
          <w:i/>
          <w:sz w:val="24"/>
          <w:szCs w:val="24"/>
        </w:rPr>
        <w:t xml:space="preserve">. </w:t>
      </w:r>
      <w:r w:rsidR="00D24EE0">
        <w:rPr>
          <w:rFonts w:ascii="Times New Roman" w:hAnsi="Times New Roman" w:cs="Times New Roman"/>
          <w:i/>
          <w:sz w:val="24"/>
          <w:szCs w:val="24"/>
        </w:rPr>
        <w:t>11</w:t>
      </w:r>
      <w:r w:rsidRPr="005173A5">
        <w:rPr>
          <w:rFonts w:ascii="Times New Roman" w:hAnsi="Times New Roman" w:cs="Times New Roman"/>
          <w:i/>
          <w:sz w:val="24"/>
          <w:szCs w:val="24"/>
        </w:rPr>
        <w:t>. 201</w:t>
      </w:r>
      <w:r w:rsidR="00D24EE0">
        <w:rPr>
          <w:rFonts w:ascii="Times New Roman" w:hAnsi="Times New Roman" w:cs="Times New Roman"/>
          <w:i/>
          <w:sz w:val="24"/>
          <w:szCs w:val="24"/>
        </w:rPr>
        <w:t>8</w:t>
      </w:r>
      <w:r w:rsidRPr="005173A5">
        <w:rPr>
          <w:rFonts w:ascii="Times New Roman" w:hAnsi="Times New Roman" w:cs="Times New Roman"/>
          <w:i/>
          <w:sz w:val="24"/>
          <w:szCs w:val="24"/>
        </w:rPr>
        <w:t>. Kancelária KR-MAS následne pripomienky predsedníctva zapracovala a predložila k schváleniu členskej schôdzi. Tá na svojom zasadnutí konanom dňa 2</w:t>
      </w:r>
      <w:r>
        <w:rPr>
          <w:rFonts w:ascii="Times New Roman" w:hAnsi="Times New Roman" w:cs="Times New Roman"/>
          <w:i/>
          <w:sz w:val="24"/>
          <w:szCs w:val="24"/>
        </w:rPr>
        <w:t>7</w:t>
      </w:r>
      <w:r w:rsidRPr="005173A5">
        <w:rPr>
          <w:rFonts w:ascii="Times New Roman" w:hAnsi="Times New Roman" w:cs="Times New Roman"/>
          <w:i/>
          <w:sz w:val="24"/>
          <w:szCs w:val="24"/>
        </w:rPr>
        <w:t xml:space="preserve">. </w:t>
      </w:r>
      <w:r>
        <w:rPr>
          <w:rFonts w:ascii="Times New Roman" w:hAnsi="Times New Roman" w:cs="Times New Roman"/>
          <w:i/>
          <w:sz w:val="24"/>
          <w:szCs w:val="24"/>
        </w:rPr>
        <w:t>6</w:t>
      </w:r>
      <w:r w:rsidRPr="005173A5">
        <w:rPr>
          <w:rFonts w:ascii="Times New Roman" w:hAnsi="Times New Roman" w:cs="Times New Roman"/>
          <w:i/>
          <w:sz w:val="24"/>
          <w:szCs w:val="24"/>
        </w:rPr>
        <w:t>. 201</w:t>
      </w:r>
      <w:r>
        <w:rPr>
          <w:rFonts w:ascii="Times New Roman" w:hAnsi="Times New Roman" w:cs="Times New Roman"/>
          <w:i/>
          <w:sz w:val="24"/>
          <w:szCs w:val="24"/>
        </w:rPr>
        <w:t>7</w:t>
      </w:r>
      <w:r w:rsidRPr="005173A5">
        <w:rPr>
          <w:rFonts w:ascii="Times New Roman" w:hAnsi="Times New Roman" w:cs="Times New Roman"/>
          <w:i/>
          <w:sz w:val="24"/>
          <w:szCs w:val="24"/>
        </w:rPr>
        <w:t xml:space="preserve"> tento dodatok schválila. </w:t>
      </w:r>
    </w:p>
    <w:p w14:paraId="24D32824" w14:textId="77777777" w:rsidR="00AE0CC7" w:rsidRDefault="00AE0CC7" w:rsidP="00AE0CC7">
      <w:pPr>
        <w:rPr>
          <w:rFonts w:ascii="Times New Roman" w:hAnsi="Times New Roman" w:cs="Times New Roman"/>
          <w:i/>
          <w:sz w:val="24"/>
          <w:szCs w:val="24"/>
        </w:rPr>
      </w:pPr>
    </w:p>
    <w:p w14:paraId="53B7AB7E" w14:textId="77777777" w:rsidR="00AE0CC7" w:rsidRDefault="00AE0CC7" w:rsidP="00AE0CC7">
      <w:pPr>
        <w:rPr>
          <w:rFonts w:ascii="Times New Roman" w:hAnsi="Times New Roman" w:cs="Times New Roman"/>
          <w:i/>
          <w:sz w:val="24"/>
          <w:szCs w:val="24"/>
        </w:rPr>
      </w:pPr>
    </w:p>
    <w:p w14:paraId="483AE660" w14:textId="77777777" w:rsidR="00AE0CC7" w:rsidRDefault="00AE0CC7" w:rsidP="00AE0CC7">
      <w:pPr>
        <w:rPr>
          <w:rFonts w:ascii="Times New Roman" w:hAnsi="Times New Roman" w:cs="Times New Roman"/>
          <w:i/>
          <w:sz w:val="24"/>
          <w:szCs w:val="24"/>
        </w:rPr>
      </w:pPr>
    </w:p>
    <w:p w14:paraId="16A4D668" w14:textId="77777777" w:rsidR="00AE0CC7" w:rsidRDefault="00AE0CC7" w:rsidP="00AE0CC7">
      <w:pPr>
        <w:rPr>
          <w:rFonts w:ascii="Times New Roman" w:hAnsi="Times New Roman" w:cs="Times New Roman"/>
          <w:i/>
          <w:sz w:val="24"/>
          <w:szCs w:val="24"/>
        </w:rPr>
      </w:pPr>
    </w:p>
    <w:p w14:paraId="4CC20BFA" w14:textId="77777777" w:rsidR="00AE0CC7" w:rsidRDefault="00AE0CC7" w:rsidP="00AE0CC7">
      <w:pPr>
        <w:rPr>
          <w:rFonts w:ascii="Times New Roman" w:hAnsi="Times New Roman" w:cs="Times New Roman"/>
          <w:i/>
          <w:sz w:val="24"/>
          <w:szCs w:val="24"/>
        </w:rPr>
      </w:pPr>
    </w:p>
    <w:p w14:paraId="4B525880" w14:textId="77777777" w:rsidR="00AE0CC7" w:rsidRPr="002A7F15" w:rsidRDefault="00AE0CC7" w:rsidP="00AE0CC7">
      <w:pPr>
        <w:spacing w:after="0" w:line="240" w:lineRule="auto"/>
        <w:rPr>
          <w:rFonts w:ascii="Times New Roman" w:hAnsi="Times New Roman" w:cs="Times New Roman"/>
          <w:sz w:val="24"/>
          <w:szCs w:val="24"/>
        </w:rPr>
      </w:pPr>
      <w:r w:rsidRPr="002A7F15">
        <w:rPr>
          <w:rFonts w:ascii="Times New Roman" w:hAnsi="Times New Roman" w:cs="Times New Roman"/>
          <w:sz w:val="24"/>
          <w:szCs w:val="24"/>
        </w:rPr>
        <w:t>V Myjave, .....................................</w:t>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t>____________________________</w:t>
      </w:r>
    </w:p>
    <w:p w14:paraId="311A08CF" w14:textId="77777777" w:rsidR="00AE0CC7" w:rsidRDefault="00AE0CC7" w:rsidP="00AE0CC7">
      <w:pPr>
        <w:spacing w:after="0" w:line="240" w:lineRule="auto"/>
        <w:rPr>
          <w:rFonts w:ascii="Times New Roman" w:hAnsi="Times New Roman" w:cs="Times New Roman"/>
          <w:sz w:val="24"/>
          <w:szCs w:val="24"/>
        </w:rPr>
      </w:pP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r>
      <w:r w:rsidRPr="002A7F1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A7F15">
        <w:rPr>
          <w:rFonts w:ascii="Times New Roman" w:hAnsi="Times New Roman" w:cs="Times New Roman"/>
          <w:sz w:val="24"/>
          <w:szCs w:val="24"/>
        </w:rPr>
        <w:t xml:space="preserve"> Podpis predsedu združenia</w:t>
      </w:r>
    </w:p>
    <w:p w14:paraId="4ED0ACAA" w14:textId="77777777" w:rsidR="009520AB" w:rsidRPr="00891B13" w:rsidRDefault="009520AB" w:rsidP="003F623E">
      <w:pPr>
        <w:spacing w:after="0" w:line="360" w:lineRule="auto"/>
        <w:jc w:val="both"/>
        <w:rPr>
          <w:rFonts w:ascii="Times New Roman" w:hAnsi="Times New Roman" w:cs="Times New Roman"/>
          <w:b/>
          <w:sz w:val="24"/>
          <w:szCs w:val="24"/>
        </w:rPr>
      </w:pPr>
    </w:p>
    <w:p w14:paraId="367CC9D4" w14:textId="77777777" w:rsidR="00B83389" w:rsidRPr="00891B13" w:rsidRDefault="00B83389" w:rsidP="00E37887">
      <w:pPr>
        <w:spacing w:after="0" w:line="360" w:lineRule="auto"/>
        <w:jc w:val="both"/>
        <w:rPr>
          <w:rFonts w:ascii="Times New Roman" w:hAnsi="Times New Roman" w:cs="Times New Roman"/>
          <w:b/>
          <w:sz w:val="28"/>
          <w:szCs w:val="28"/>
        </w:rPr>
      </w:pPr>
      <w:r w:rsidRPr="00891B13">
        <w:rPr>
          <w:rFonts w:ascii="Times New Roman" w:hAnsi="Times New Roman" w:cs="Times New Roman"/>
          <w:b/>
          <w:sz w:val="28"/>
          <w:szCs w:val="28"/>
        </w:rPr>
        <w:lastRenderedPageBreak/>
        <w:t xml:space="preserve">Abstrakt </w:t>
      </w:r>
    </w:p>
    <w:p w14:paraId="6C579C36" w14:textId="77777777" w:rsidR="00A21B3A" w:rsidRDefault="00A21B3A" w:rsidP="00A21B3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279B">
        <w:rPr>
          <w:rFonts w:ascii="Times New Roman" w:hAnsi="Times New Roman" w:cs="Times New Roman"/>
          <w:sz w:val="24"/>
          <w:szCs w:val="24"/>
        </w:rPr>
        <w:t xml:space="preserve">Stratégia komunitne vedeného miestneho rozvoja MAS </w:t>
      </w:r>
      <w:r>
        <w:rPr>
          <w:rFonts w:ascii="Times New Roman" w:hAnsi="Times New Roman" w:cs="Times New Roman"/>
          <w:sz w:val="24"/>
          <w:szCs w:val="24"/>
        </w:rPr>
        <w:t>Kopaničiarsky región</w:t>
      </w:r>
      <w:r w:rsidRPr="00BD279B">
        <w:rPr>
          <w:rFonts w:ascii="Times New Roman" w:hAnsi="Times New Roman" w:cs="Times New Roman"/>
          <w:sz w:val="24"/>
          <w:szCs w:val="24"/>
        </w:rPr>
        <w:t xml:space="preserve"> pre obdobie</w:t>
      </w:r>
      <w:r>
        <w:rPr>
          <w:rFonts w:ascii="Times New Roman" w:hAnsi="Times New Roman" w:cs="Times New Roman"/>
          <w:sz w:val="24"/>
          <w:szCs w:val="24"/>
        </w:rPr>
        <w:t xml:space="preserve"> 2014-2020 (</w:t>
      </w:r>
      <w:r w:rsidRPr="00BD279B">
        <w:rPr>
          <w:rFonts w:ascii="Times New Roman" w:hAnsi="Times New Roman" w:cs="Times New Roman"/>
          <w:sz w:val="24"/>
          <w:szCs w:val="24"/>
        </w:rPr>
        <w:t>CLLD) je hlavným nástrojom pre podporu rozvoja územia MAS v</w:t>
      </w:r>
      <w:r>
        <w:rPr>
          <w:rFonts w:ascii="Times New Roman" w:hAnsi="Times New Roman" w:cs="Times New Roman"/>
          <w:sz w:val="24"/>
          <w:szCs w:val="24"/>
        </w:rPr>
        <w:t> </w:t>
      </w:r>
      <w:r w:rsidRPr="00BD279B">
        <w:rPr>
          <w:rFonts w:ascii="Times New Roman" w:hAnsi="Times New Roman" w:cs="Times New Roman"/>
          <w:sz w:val="24"/>
          <w:szCs w:val="24"/>
        </w:rPr>
        <w:t>danom</w:t>
      </w:r>
      <w:r>
        <w:rPr>
          <w:rFonts w:ascii="Times New Roman" w:hAnsi="Times New Roman" w:cs="Times New Roman"/>
          <w:sz w:val="24"/>
          <w:szCs w:val="24"/>
        </w:rPr>
        <w:t xml:space="preserve"> </w:t>
      </w:r>
      <w:r w:rsidRPr="00BD279B">
        <w:rPr>
          <w:rFonts w:ascii="Times New Roman" w:hAnsi="Times New Roman" w:cs="Times New Roman"/>
          <w:sz w:val="24"/>
          <w:szCs w:val="24"/>
        </w:rPr>
        <w:t>programovom období EÚ a pre uplatnenie komunitne vedeného miestneho rozvoja (CLLD).</w:t>
      </w:r>
    </w:p>
    <w:p w14:paraId="7810A76B" w14:textId="77777777" w:rsidR="00A21B3A" w:rsidRDefault="00A21B3A" w:rsidP="00A21B3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Tvorba </w:t>
      </w:r>
      <w:r w:rsidRPr="00AB1337">
        <w:rPr>
          <w:rFonts w:ascii="Times New Roman" w:hAnsi="Times New Roman" w:cs="Times New Roman"/>
          <w:sz w:val="24"/>
          <w:szCs w:val="24"/>
        </w:rPr>
        <w:t xml:space="preserve">CLLD </w:t>
      </w:r>
      <w:r w:rsidRPr="00B215F7">
        <w:rPr>
          <w:rFonts w:ascii="Times New Roman" w:hAnsi="Times New Roman" w:cs="Times New Roman"/>
          <w:sz w:val="24"/>
          <w:szCs w:val="24"/>
        </w:rPr>
        <w:t xml:space="preserve">stratégie </w:t>
      </w:r>
      <w:r w:rsidRPr="00AB1337">
        <w:rPr>
          <w:rFonts w:ascii="Times New Roman" w:hAnsi="Times New Roman" w:cs="Times New Roman"/>
          <w:sz w:val="24"/>
          <w:szCs w:val="24"/>
        </w:rPr>
        <w:t xml:space="preserve">prebiehala kombináciou komunitných prístupov a expertného spracovania výstupov a diskusií miestnych aktérov. </w:t>
      </w:r>
      <w:r w:rsidRPr="00B215F7">
        <w:rPr>
          <w:rFonts w:ascii="Times New Roman" w:hAnsi="Times New Roman" w:cs="Times New Roman"/>
          <w:sz w:val="24"/>
          <w:szCs w:val="24"/>
        </w:rPr>
        <w:t>Pre prípravu samotnej CLLD stratégie boli zostavené 3 pracovné skupiny</w:t>
      </w:r>
      <w:r>
        <w:rPr>
          <w:rFonts w:ascii="Times New Roman" w:hAnsi="Times New Roman" w:cs="Times New Roman"/>
          <w:sz w:val="24"/>
          <w:szCs w:val="24"/>
        </w:rPr>
        <w:t xml:space="preserve"> a to zo zástupcov verejného, súkromného i neziskového sektora</w:t>
      </w:r>
      <w:r w:rsidRPr="00AB1337">
        <w:rPr>
          <w:rFonts w:ascii="Times New Roman" w:hAnsi="Times New Roman" w:cs="Times New Roman"/>
          <w:sz w:val="24"/>
          <w:szCs w:val="24"/>
        </w:rPr>
        <w:t>.</w:t>
      </w:r>
      <w:r>
        <w:rPr>
          <w:rFonts w:ascii="Times New Roman" w:hAnsi="Times New Roman" w:cs="Times New Roman"/>
          <w:sz w:val="24"/>
          <w:szCs w:val="24"/>
        </w:rPr>
        <w:t xml:space="preserve"> </w:t>
      </w:r>
      <w:r w:rsidRPr="00AB1337">
        <w:rPr>
          <w:rFonts w:ascii="Times New Roman" w:hAnsi="Times New Roman" w:cs="Times New Roman"/>
          <w:sz w:val="24"/>
          <w:szCs w:val="24"/>
        </w:rPr>
        <w:t>Pri zbere problémov záujmového úz</w:t>
      </w:r>
      <w:r>
        <w:rPr>
          <w:rFonts w:ascii="Times New Roman" w:hAnsi="Times New Roman" w:cs="Times New Roman"/>
          <w:sz w:val="24"/>
          <w:szCs w:val="24"/>
        </w:rPr>
        <w:t>emia bol</w:t>
      </w:r>
      <w:r w:rsidRPr="00AB1337">
        <w:rPr>
          <w:rFonts w:ascii="Times New Roman" w:hAnsi="Times New Roman" w:cs="Times New Roman"/>
          <w:sz w:val="24"/>
          <w:szCs w:val="24"/>
        </w:rPr>
        <w:t xml:space="preserve"> vykonan</w:t>
      </w:r>
      <w:r>
        <w:rPr>
          <w:rFonts w:ascii="Times New Roman" w:hAnsi="Times New Roman" w:cs="Times New Roman"/>
          <w:sz w:val="24"/>
          <w:szCs w:val="24"/>
        </w:rPr>
        <w:t>ý</w:t>
      </w:r>
      <w:r w:rsidRPr="00AB1337">
        <w:rPr>
          <w:rFonts w:ascii="Times New Roman" w:hAnsi="Times New Roman" w:cs="Times New Roman"/>
          <w:sz w:val="24"/>
          <w:szCs w:val="24"/>
        </w:rPr>
        <w:t xml:space="preserve"> dotazníkový prieskum medzi miestnymi podnikateľmi, občan</w:t>
      </w:r>
      <w:r>
        <w:rPr>
          <w:rFonts w:ascii="Times New Roman" w:hAnsi="Times New Roman" w:cs="Times New Roman"/>
          <w:sz w:val="24"/>
          <w:szCs w:val="24"/>
        </w:rPr>
        <w:t>mi</w:t>
      </w:r>
      <w:r w:rsidRPr="00AB1337">
        <w:rPr>
          <w:rFonts w:ascii="Times New Roman" w:hAnsi="Times New Roman" w:cs="Times New Roman"/>
          <w:sz w:val="24"/>
          <w:szCs w:val="24"/>
        </w:rPr>
        <w:t xml:space="preserve"> a zástupc</w:t>
      </w:r>
      <w:r>
        <w:rPr>
          <w:rFonts w:ascii="Times New Roman" w:hAnsi="Times New Roman" w:cs="Times New Roman"/>
          <w:sz w:val="24"/>
          <w:szCs w:val="24"/>
        </w:rPr>
        <w:t>ami</w:t>
      </w:r>
      <w:r w:rsidRPr="00AB1337">
        <w:rPr>
          <w:rFonts w:ascii="Times New Roman" w:hAnsi="Times New Roman" w:cs="Times New Roman"/>
          <w:sz w:val="24"/>
          <w:szCs w:val="24"/>
        </w:rPr>
        <w:t xml:space="preserve"> neziskovýc</w:t>
      </w:r>
      <w:r>
        <w:rPr>
          <w:rFonts w:ascii="Times New Roman" w:hAnsi="Times New Roman" w:cs="Times New Roman"/>
          <w:sz w:val="24"/>
          <w:szCs w:val="24"/>
        </w:rPr>
        <w:t>h záujmových organizácií s cieľom pripraviť návrhy, resp. opatrenia na ich elimináciu.</w:t>
      </w:r>
      <w:r w:rsidRPr="00AB1337">
        <w:rPr>
          <w:rFonts w:ascii="Times New Roman" w:hAnsi="Times New Roman" w:cs="Times New Roman"/>
          <w:sz w:val="24"/>
          <w:szCs w:val="24"/>
        </w:rPr>
        <w:t xml:space="preserve"> Súčasne boli od predstaviteľov všetkých obcí MAS zhromaždené informácie o situácii v obci a</w:t>
      </w:r>
      <w:r>
        <w:rPr>
          <w:rFonts w:ascii="Times New Roman" w:hAnsi="Times New Roman" w:cs="Times New Roman"/>
          <w:sz w:val="24"/>
          <w:szCs w:val="24"/>
        </w:rPr>
        <w:t xml:space="preserve"> </w:t>
      </w:r>
      <w:r w:rsidRPr="00AB1337">
        <w:rPr>
          <w:rFonts w:ascii="Times New Roman" w:hAnsi="Times New Roman" w:cs="Times New Roman"/>
          <w:sz w:val="24"/>
          <w:szCs w:val="24"/>
        </w:rPr>
        <w:t xml:space="preserve">o hlavných </w:t>
      </w:r>
      <w:r>
        <w:rPr>
          <w:rFonts w:ascii="Times New Roman" w:hAnsi="Times New Roman" w:cs="Times New Roman"/>
          <w:sz w:val="24"/>
          <w:szCs w:val="24"/>
        </w:rPr>
        <w:t>problémoch a potrebnom smerovaní</w:t>
      </w:r>
      <w:r w:rsidRPr="00AB1337">
        <w:rPr>
          <w:rFonts w:ascii="Times New Roman" w:hAnsi="Times New Roman" w:cs="Times New Roman"/>
          <w:sz w:val="24"/>
          <w:szCs w:val="24"/>
        </w:rPr>
        <w:t xml:space="preserve"> rozvoja. </w:t>
      </w:r>
    </w:p>
    <w:p w14:paraId="31F3B1FA" w14:textId="77777777" w:rsidR="00A21B3A" w:rsidRDefault="00A21B3A" w:rsidP="00A21B3A">
      <w:pPr>
        <w:spacing w:after="0" w:line="360" w:lineRule="auto"/>
        <w:ind w:firstLine="708"/>
        <w:jc w:val="both"/>
        <w:rPr>
          <w:rFonts w:ascii="Times New Roman" w:hAnsi="Times New Roman" w:cs="Times New Roman"/>
          <w:sz w:val="24"/>
          <w:szCs w:val="24"/>
        </w:rPr>
      </w:pPr>
      <w:r w:rsidRPr="00E63456">
        <w:rPr>
          <w:rFonts w:ascii="Times New Roman" w:hAnsi="Times New Roman" w:cs="Times New Roman"/>
          <w:sz w:val="24"/>
          <w:szCs w:val="24"/>
        </w:rPr>
        <w:t xml:space="preserve">Integrovaná stratégia je v zmysle logiky programu postavená na troch strategických prioritách, do ktorých bude Kopaničiarsky región – miestna akčná skupina v nasledujúcich rokoch investovať svoju energiu, čas, finančné prostriedky a zhodnocovať vlastné vnútorné zdroje. Očakávaná zmena je sformulovaná do špecifických cieľov, ktoré spadajú pod </w:t>
      </w:r>
      <w:r>
        <w:rPr>
          <w:rFonts w:ascii="Times New Roman" w:hAnsi="Times New Roman" w:cs="Times New Roman"/>
          <w:sz w:val="24"/>
          <w:szCs w:val="24"/>
        </w:rPr>
        <w:t>hlavný</w:t>
      </w:r>
      <w:r w:rsidRPr="00E63456">
        <w:rPr>
          <w:rFonts w:ascii="Times New Roman" w:hAnsi="Times New Roman" w:cs="Times New Roman"/>
          <w:sz w:val="24"/>
          <w:szCs w:val="24"/>
        </w:rPr>
        <w:t xml:space="preserve"> strategick</w:t>
      </w:r>
      <w:r>
        <w:rPr>
          <w:rFonts w:ascii="Times New Roman" w:hAnsi="Times New Roman" w:cs="Times New Roman"/>
          <w:sz w:val="24"/>
          <w:szCs w:val="24"/>
        </w:rPr>
        <w:t>ý</w:t>
      </w:r>
      <w:r w:rsidRPr="00E63456">
        <w:rPr>
          <w:rFonts w:ascii="Times New Roman" w:hAnsi="Times New Roman" w:cs="Times New Roman"/>
          <w:sz w:val="24"/>
          <w:szCs w:val="24"/>
        </w:rPr>
        <w:t xml:space="preserve"> </w:t>
      </w:r>
      <w:r>
        <w:rPr>
          <w:rFonts w:ascii="Times New Roman" w:hAnsi="Times New Roman" w:cs="Times New Roman"/>
          <w:sz w:val="24"/>
          <w:szCs w:val="24"/>
        </w:rPr>
        <w:t>cieľ</w:t>
      </w:r>
      <w:r w:rsidRPr="00E63456">
        <w:rPr>
          <w:rFonts w:ascii="Times New Roman" w:hAnsi="Times New Roman" w:cs="Times New Roman"/>
          <w:sz w:val="24"/>
          <w:szCs w:val="24"/>
        </w:rPr>
        <w:t>.</w:t>
      </w:r>
      <w:r>
        <w:rPr>
          <w:rFonts w:ascii="Times New Roman" w:hAnsi="Times New Roman" w:cs="Times New Roman"/>
          <w:sz w:val="24"/>
          <w:szCs w:val="24"/>
        </w:rPr>
        <w:t xml:space="preserve"> Špecifické ciele sú:</w:t>
      </w:r>
    </w:p>
    <w:p w14:paraId="6CFF9245" w14:textId="77777777" w:rsidR="00A21B3A" w:rsidRPr="00E63456" w:rsidRDefault="00A21B3A" w:rsidP="003301D6">
      <w:pPr>
        <w:pStyle w:val="Odsekzoznamu"/>
        <w:numPr>
          <w:ilvl w:val="0"/>
          <w:numId w:val="27"/>
        </w:numPr>
        <w:spacing w:after="0" w:line="360" w:lineRule="auto"/>
        <w:jc w:val="both"/>
        <w:rPr>
          <w:rFonts w:ascii="Times New Roman" w:hAnsi="Times New Roman" w:cs="Times New Roman"/>
          <w:i/>
          <w:iCs/>
          <w:sz w:val="24"/>
          <w:szCs w:val="24"/>
        </w:rPr>
      </w:pPr>
      <w:r w:rsidRPr="00E63456">
        <w:rPr>
          <w:rFonts w:ascii="Times New Roman" w:hAnsi="Times New Roman" w:cs="Times New Roman"/>
          <w:i/>
          <w:iCs/>
          <w:sz w:val="24"/>
          <w:szCs w:val="24"/>
        </w:rPr>
        <w:t>Špecifický cieľ 1.1 Zvýšenie kvality infraštruktúry a verejných služieb</w:t>
      </w:r>
    </w:p>
    <w:p w14:paraId="239B41BA" w14:textId="77777777" w:rsidR="00A21B3A" w:rsidRPr="00E63456" w:rsidRDefault="00A21B3A" w:rsidP="003301D6">
      <w:pPr>
        <w:pStyle w:val="Odsekzoznamu"/>
        <w:numPr>
          <w:ilvl w:val="0"/>
          <w:numId w:val="27"/>
        </w:numPr>
        <w:spacing w:after="0" w:line="360" w:lineRule="auto"/>
        <w:jc w:val="both"/>
        <w:rPr>
          <w:rFonts w:ascii="Times New Roman" w:hAnsi="Times New Roman" w:cs="Times New Roman"/>
          <w:i/>
          <w:iCs/>
          <w:sz w:val="24"/>
          <w:szCs w:val="24"/>
        </w:rPr>
      </w:pPr>
      <w:r w:rsidRPr="00E63456">
        <w:rPr>
          <w:rFonts w:ascii="Times New Roman" w:hAnsi="Times New Roman" w:cs="Times New Roman"/>
          <w:i/>
          <w:iCs/>
          <w:sz w:val="24"/>
          <w:szCs w:val="24"/>
        </w:rPr>
        <w:t>Špecifický cieľ 2.1 Zlepšiť podmienky pre rozvoj potenciálu vidieckeho cestovného ruchu a spolupráce</w:t>
      </w:r>
    </w:p>
    <w:p w14:paraId="16353C56" w14:textId="77777777" w:rsidR="00A21B3A" w:rsidRPr="00E63456" w:rsidRDefault="00A21B3A" w:rsidP="003301D6">
      <w:pPr>
        <w:pStyle w:val="Odsekzoznamu"/>
        <w:numPr>
          <w:ilvl w:val="0"/>
          <w:numId w:val="27"/>
        </w:numPr>
        <w:spacing w:after="0" w:line="360" w:lineRule="auto"/>
        <w:jc w:val="both"/>
        <w:rPr>
          <w:rFonts w:ascii="Times New Roman" w:hAnsi="Times New Roman" w:cs="Times New Roman"/>
          <w:sz w:val="24"/>
          <w:szCs w:val="24"/>
        </w:rPr>
      </w:pPr>
      <w:r w:rsidRPr="00E63456">
        <w:rPr>
          <w:rFonts w:ascii="Times New Roman" w:hAnsi="Times New Roman" w:cs="Times New Roman"/>
          <w:i/>
          <w:iCs/>
          <w:sz w:val="24"/>
          <w:szCs w:val="24"/>
        </w:rPr>
        <w:t>Špecifický cieľ 3.1 Vytvoriť kvalitné podmienky pre rozvoj podnikania</w:t>
      </w:r>
      <w:r>
        <w:rPr>
          <w:rFonts w:ascii="Times New Roman" w:hAnsi="Times New Roman" w:cs="Times New Roman"/>
          <w:i/>
          <w:iCs/>
          <w:sz w:val="24"/>
          <w:szCs w:val="24"/>
        </w:rPr>
        <w:t xml:space="preserve"> </w:t>
      </w:r>
      <w:r w:rsidRPr="00F27959">
        <w:rPr>
          <w:rFonts w:ascii="Times New Roman" w:hAnsi="Times New Roman" w:cs="Times New Roman"/>
          <w:i/>
          <w:iCs/>
          <w:sz w:val="24"/>
          <w:szCs w:val="24"/>
        </w:rPr>
        <w:t>a zamestnanosti</w:t>
      </w:r>
    </w:p>
    <w:p w14:paraId="135878D3" w14:textId="77777777" w:rsidR="00A21B3A" w:rsidRDefault="00A21B3A" w:rsidP="00A21B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Napĺňanie týchto cieľov bude realizované prostredníctvom aktivít z navrhnutých opatrení, ktoré budú financované zo zdrojov PRV SR 2014 – 2020 a IROP pre roky 2014 – 2020. Jednotlivé opatrenia zohľadňujú podporu zamestnanosti, začleňovanie marginalizovaných skupín obyvateľstva a inovácie s ohľadom na </w:t>
      </w:r>
      <w:r w:rsidRPr="003C5BE0">
        <w:rPr>
          <w:rFonts w:ascii="Times New Roman" w:hAnsi="Times New Roman" w:cs="Times New Roman"/>
          <w:sz w:val="24"/>
          <w:szCs w:val="24"/>
        </w:rPr>
        <w:t>ochranou živ</w:t>
      </w:r>
      <w:r>
        <w:rPr>
          <w:rFonts w:ascii="Times New Roman" w:hAnsi="Times New Roman" w:cs="Times New Roman"/>
          <w:sz w:val="24"/>
          <w:szCs w:val="24"/>
        </w:rPr>
        <w:t>otného prostredia a racionálne využívanie</w:t>
      </w:r>
      <w:r w:rsidRPr="003C5BE0">
        <w:rPr>
          <w:rFonts w:ascii="Times New Roman" w:hAnsi="Times New Roman" w:cs="Times New Roman"/>
          <w:sz w:val="24"/>
          <w:szCs w:val="24"/>
        </w:rPr>
        <w:t xml:space="preserve"> prírodných zdrojov</w:t>
      </w:r>
    </w:p>
    <w:p w14:paraId="441FF85D" w14:textId="77777777" w:rsidR="00B83389" w:rsidRPr="00891B13" w:rsidRDefault="00A21B3A" w:rsidP="00A21B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215F7">
        <w:rPr>
          <w:rFonts w:ascii="Times New Roman" w:hAnsi="Times New Roman" w:cs="Times New Roman"/>
          <w:sz w:val="24"/>
          <w:szCs w:val="24"/>
        </w:rPr>
        <w:t xml:space="preserve">Hlavným zámerom stratégie je zapojenie viacerých subjektov </w:t>
      </w:r>
      <w:r>
        <w:rPr>
          <w:rFonts w:ascii="Times New Roman" w:hAnsi="Times New Roman" w:cs="Times New Roman"/>
          <w:sz w:val="24"/>
          <w:szCs w:val="24"/>
        </w:rPr>
        <w:t xml:space="preserve">do rozvoja regiónu </w:t>
      </w:r>
      <w:r w:rsidRPr="00B215F7">
        <w:rPr>
          <w:rFonts w:ascii="Times New Roman" w:hAnsi="Times New Roman" w:cs="Times New Roman"/>
          <w:sz w:val="24"/>
          <w:szCs w:val="24"/>
        </w:rPr>
        <w:t>a postup riešenia danej problematiky v rámci partnerstva.</w:t>
      </w:r>
      <w:r w:rsidRPr="00B215F7">
        <w:t xml:space="preserve"> </w:t>
      </w:r>
      <w:r w:rsidRPr="00B215F7">
        <w:rPr>
          <w:rFonts w:ascii="Times New Roman" w:hAnsi="Times New Roman" w:cs="Times New Roman"/>
          <w:sz w:val="24"/>
          <w:szCs w:val="24"/>
        </w:rPr>
        <w:t>Stratégia je založená na eliminácii kľúčových disparít, ktoré sú bariérou rozvoja a na využití pozitívnych výhod, ktoré poskytujú príležitosti pre dlhodobý rast. To je možné uskutočniť len na úrovni partnerstva spoluprácou verejného a súkromného sektora a integrovaným prístupom k riešeniu ekonomických, sociálnych a environmentálnych aspektov</w:t>
      </w:r>
      <w:r>
        <w:rPr>
          <w:rFonts w:ascii="Times New Roman" w:hAnsi="Times New Roman" w:cs="Times New Roman"/>
          <w:sz w:val="24"/>
          <w:szCs w:val="24"/>
        </w:rPr>
        <w:t>.</w:t>
      </w:r>
      <w:r w:rsidR="00B83389" w:rsidRPr="00891B13">
        <w:rPr>
          <w:rFonts w:ascii="Times New Roman" w:hAnsi="Times New Roman" w:cs="Times New Roman"/>
          <w:sz w:val="24"/>
          <w:szCs w:val="24"/>
        </w:rPr>
        <w:t xml:space="preserve"> </w:t>
      </w:r>
    </w:p>
    <w:p w14:paraId="1987ED17" w14:textId="77777777" w:rsidR="00ED12BD" w:rsidRPr="00891B13" w:rsidRDefault="00EA1F5B" w:rsidP="00E37887">
      <w:pPr>
        <w:spacing w:after="0" w:line="360" w:lineRule="auto"/>
        <w:jc w:val="both"/>
        <w:rPr>
          <w:rFonts w:ascii="Times New Roman" w:hAnsi="Times New Roman" w:cs="Times New Roman"/>
          <w:sz w:val="24"/>
          <w:szCs w:val="24"/>
        </w:rPr>
      </w:pPr>
      <w:r w:rsidRPr="00891B13">
        <w:rPr>
          <w:rFonts w:ascii="Times New Roman" w:hAnsi="Times New Roman" w:cs="Times New Roman"/>
          <w:b/>
          <w:sz w:val="24"/>
          <w:szCs w:val="24"/>
        </w:rPr>
        <w:lastRenderedPageBreak/>
        <w:t>Obsah</w:t>
      </w:r>
    </w:p>
    <w:p w14:paraId="0E9F5503" w14:textId="77777777" w:rsidR="00682ED5" w:rsidRPr="00866300" w:rsidRDefault="00682ED5" w:rsidP="00E37887">
      <w:pPr>
        <w:spacing w:after="0" w:line="360" w:lineRule="auto"/>
        <w:jc w:val="both"/>
        <w:rPr>
          <w:rFonts w:ascii="Times New Roman" w:hAnsi="Times New Roman" w:cs="Times New Roman"/>
          <w:b/>
          <w:sz w:val="24"/>
          <w:szCs w:val="24"/>
        </w:rPr>
      </w:pPr>
    </w:p>
    <w:p w14:paraId="118D1CC6" w14:textId="77777777" w:rsidR="00A948EA" w:rsidRDefault="00477FA8">
      <w:pPr>
        <w:pStyle w:val="Obsah1"/>
        <w:rPr>
          <w:rFonts w:eastAsiaTheme="minorEastAsia"/>
          <w:b w:val="0"/>
          <w:sz w:val="22"/>
          <w:szCs w:val="22"/>
          <w:lang w:eastAsia="sk-SK"/>
        </w:rPr>
      </w:pPr>
      <w:r w:rsidRPr="00866300">
        <w:rPr>
          <w:rFonts w:ascii="Times New Roman" w:hAnsi="Times New Roman" w:cs="Times New Roman"/>
        </w:rPr>
        <w:fldChar w:fldCharType="begin"/>
      </w:r>
      <w:r w:rsidR="00461AEA" w:rsidRPr="00866300">
        <w:rPr>
          <w:rFonts w:ascii="Times New Roman" w:hAnsi="Times New Roman" w:cs="Times New Roman"/>
        </w:rPr>
        <w:instrText xml:space="preserve"> TOC \o "1-2" \h \z \u </w:instrText>
      </w:r>
      <w:r w:rsidRPr="00866300">
        <w:rPr>
          <w:rFonts w:ascii="Times New Roman" w:hAnsi="Times New Roman" w:cs="Times New Roman"/>
        </w:rPr>
        <w:fldChar w:fldCharType="separate"/>
      </w:r>
      <w:hyperlink w:anchor="_Toc485645746" w:history="1">
        <w:r w:rsidR="00A948EA" w:rsidRPr="00204BCA">
          <w:rPr>
            <w:rStyle w:val="Hypertextovprepojenie"/>
          </w:rPr>
          <w:t>1.</w:t>
        </w:r>
        <w:r w:rsidR="00A948EA">
          <w:rPr>
            <w:rFonts w:eastAsiaTheme="minorEastAsia"/>
            <w:b w:val="0"/>
            <w:sz w:val="22"/>
            <w:szCs w:val="22"/>
            <w:lang w:eastAsia="sk-SK"/>
          </w:rPr>
          <w:tab/>
        </w:r>
        <w:r w:rsidR="00A948EA" w:rsidRPr="00204BCA">
          <w:rPr>
            <w:rStyle w:val="Hypertextovprepojenie"/>
          </w:rPr>
          <w:t>Základné informácie o MAS</w:t>
        </w:r>
        <w:r w:rsidR="00A948EA">
          <w:rPr>
            <w:webHidden/>
          </w:rPr>
          <w:tab/>
        </w:r>
        <w:r w:rsidR="00A948EA">
          <w:rPr>
            <w:webHidden/>
          </w:rPr>
          <w:fldChar w:fldCharType="begin"/>
        </w:r>
        <w:r w:rsidR="00A948EA">
          <w:rPr>
            <w:webHidden/>
          </w:rPr>
          <w:instrText xml:space="preserve"> PAGEREF _Toc485645746 \h </w:instrText>
        </w:r>
        <w:r w:rsidR="00A948EA">
          <w:rPr>
            <w:webHidden/>
          </w:rPr>
        </w:r>
        <w:r w:rsidR="00A948EA">
          <w:rPr>
            <w:webHidden/>
          </w:rPr>
          <w:fldChar w:fldCharType="separate"/>
        </w:r>
        <w:r w:rsidR="00134DCA">
          <w:rPr>
            <w:webHidden/>
          </w:rPr>
          <w:t>8</w:t>
        </w:r>
        <w:r w:rsidR="00A948EA">
          <w:rPr>
            <w:webHidden/>
          </w:rPr>
          <w:fldChar w:fldCharType="end"/>
        </w:r>
      </w:hyperlink>
    </w:p>
    <w:p w14:paraId="6D9592BF" w14:textId="77777777" w:rsidR="00A948EA" w:rsidRDefault="00134DCA" w:rsidP="00A948EA">
      <w:pPr>
        <w:pStyle w:val="Obsah2"/>
        <w:rPr>
          <w:rFonts w:eastAsiaTheme="minorEastAsia"/>
          <w:noProof/>
          <w:lang w:eastAsia="sk-SK"/>
        </w:rPr>
      </w:pPr>
      <w:hyperlink w:anchor="_Toc485645747" w:history="1">
        <w:r w:rsidR="00A948EA" w:rsidRPr="00204BCA">
          <w:rPr>
            <w:rStyle w:val="Hypertextovprepojenie"/>
            <w:noProof/>
          </w:rPr>
          <w:t>1.1</w:t>
        </w:r>
        <w:r w:rsidR="00A948EA">
          <w:rPr>
            <w:rFonts w:eastAsiaTheme="minorEastAsia"/>
            <w:noProof/>
            <w:lang w:eastAsia="sk-SK"/>
          </w:rPr>
          <w:tab/>
        </w:r>
        <w:r w:rsidR="00A948EA" w:rsidRPr="00204BCA">
          <w:rPr>
            <w:rStyle w:val="Hypertextovprepojenie"/>
            <w:noProof/>
          </w:rPr>
          <w:t>Identifikačné údaje MAS</w:t>
        </w:r>
        <w:r w:rsidR="00A948EA">
          <w:rPr>
            <w:noProof/>
            <w:webHidden/>
          </w:rPr>
          <w:tab/>
        </w:r>
        <w:r w:rsidR="00A948EA">
          <w:rPr>
            <w:noProof/>
            <w:webHidden/>
          </w:rPr>
          <w:fldChar w:fldCharType="begin"/>
        </w:r>
        <w:r w:rsidR="00A948EA">
          <w:rPr>
            <w:noProof/>
            <w:webHidden/>
          </w:rPr>
          <w:instrText xml:space="preserve"> PAGEREF _Toc485645747 \h </w:instrText>
        </w:r>
        <w:r w:rsidR="00A948EA">
          <w:rPr>
            <w:noProof/>
            <w:webHidden/>
          </w:rPr>
        </w:r>
        <w:r w:rsidR="00A948EA">
          <w:rPr>
            <w:noProof/>
            <w:webHidden/>
          </w:rPr>
          <w:fldChar w:fldCharType="separate"/>
        </w:r>
        <w:r>
          <w:rPr>
            <w:noProof/>
            <w:webHidden/>
          </w:rPr>
          <w:t>8</w:t>
        </w:r>
        <w:r w:rsidR="00A948EA">
          <w:rPr>
            <w:noProof/>
            <w:webHidden/>
          </w:rPr>
          <w:fldChar w:fldCharType="end"/>
        </w:r>
      </w:hyperlink>
    </w:p>
    <w:p w14:paraId="1E2B99C8" w14:textId="77777777" w:rsidR="00A948EA" w:rsidRDefault="00134DCA" w:rsidP="00A948EA">
      <w:pPr>
        <w:pStyle w:val="Obsah2"/>
        <w:rPr>
          <w:rFonts w:eastAsiaTheme="minorEastAsia"/>
          <w:noProof/>
          <w:lang w:eastAsia="sk-SK"/>
        </w:rPr>
      </w:pPr>
      <w:hyperlink w:anchor="_Toc485645750" w:history="1">
        <w:r w:rsidR="00A948EA" w:rsidRPr="00204BCA">
          <w:rPr>
            <w:rStyle w:val="Hypertextovprepojenie"/>
            <w:noProof/>
          </w:rPr>
          <w:t>1.2</w:t>
        </w:r>
        <w:r w:rsidR="00A948EA">
          <w:rPr>
            <w:rFonts w:eastAsiaTheme="minorEastAsia"/>
            <w:noProof/>
            <w:lang w:eastAsia="sk-SK"/>
          </w:rPr>
          <w:tab/>
        </w:r>
        <w:r w:rsidR="00A948EA" w:rsidRPr="00204BCA">
          <w:rPr>
            <w:rStyle w:val="Hypertextovprepojenie"/>
            <w:noProof/>
          </w:rPr>
          <w:t>Vymedzenie oblasti a obyvateľstva, na ktoré sa stratégia CLLD vzťahuje</w:t>
        </w:r>
        <w:r w:rsidR="00A948EA">
          <w:rPr>
            <w:noProof/>
            <w:webHidden/>
          </w:rPr>
          <w:tab/>
        </w:r>
        <w:r w:rsidR="00A948EA">
          <w:rPr>
            <w:noProof/>
            <w:webHidden/>
          </w:rPr>
          <w:fldChar w:fldCharType="begin"/>
        </w:r>
        <w:r w:rsidR="00A948EA">
          <w:rPr>
            <w:noProof/>
            <w:webHidden/>
          </w:rPr>
          <w:instrText xml:space="preserve"> PAGEREF _Toc485645750 \h </w:instrText>
        </w:r>
        <w:r w:rsidR="00A948EA">
          <w:rPr>
            <w:noProof/>
            <w:webHidden/>
          </w:rPr>
        </w:r>
        <w:r w:rsidR="00A948EA">
          <w:rPr>
            <w:noProof/>
            <w:webHidden/>
          </w:rPr>
          <w:fldChar w:fldCharType="separate"/>
        </w:r>
        <w:r>
          <w:rPr>
            <w:noProof/>
            <w:webHidden/>
          </w:rPr>
          <w:t>8</w:t>
        </w:r>
        <w:r w:rsidR="00A948EA">
          <w:rPr>
            <w:noProof/>
            <w:webHidden/>
          </w:rPr>
          <w:fldChar w:fldCharType="end"/>
        </w:r>
      </w:hyperlink>
    </w:p>
    <w:p w14:paraId="09B752D2" w14:textId="77777777" w:rsidR="00A948EA" w:rsidRDefault="00134DCA">
      <w:pPr>
        <w:pStyle w:val="Obsah1"/>
        <w:rPr>
          <w:rFonts w:eastAsiaTheme="minorEastAsia"/>
          <w:b w:val="0"/>
          <w:sz w:val="22"/>
          <w:szCs w:val="22"/>
          <w:lang w:eastAsia="sk-SK"/>
        </w:rPr>
      </w:pPr>
      <w:hyperlink w:anchor="_Toc485645751" w:history="1">
        <w:r w:rsidR="00A948EA" w:rsidRPr="00204BCA">
          <w:rPr>
            <w:rStyle w:val="Hypertextovprepojenie"/>
          </w:rPr>
          <w:t>2.</w:t>
        </w:r>
        <w:r w:rsidR="00A948EA">
          <w:rPr>
            <w:rFonts w:eastAsiaTheme="minorEastAsia"/>
            <w:b w:val="0"/>
            <w:sz w:val="22"/>
            <w:szCs w:val="22"/>
            <w:lang w:eastAsia="sk-SK"/>
          </w:rPr>
          <w:tab/>
        </w:r>
        <w:r w:rsidR="00A948EA" w:rsidRPr="00204BCA">
          <w:rPr>
            <w:rStyle w:val="Hypertextovprepojenie"/>
          </w:rPr>
          <w:t>Vznik, história a tvorba partnerstva a stratégie CLLD</w:t>
        </w:r>
        <w:r w:rsidR="00A948EA">
          <w:rPr>
            <w:webHidden/>
          </w:rPr>
          <w:tab/>
        </w:r>
        <w:r w:rsidR="00A948EA">
          <w:rPr>
            <w:webHidden/>
          </w:rPr>
          <w:fldChar w:fldCharType="begin"/>
        </w:r>
        <w:r w:rsidR="00A948EA">
          <w:rPr>
            <w:webHidden/>
          </w:rPr>
          <w:instrText xml:space="preserve"> PAGEREF _Toc485645751 \h </w:instrText>
        </w:r>
        <w:r w:rsidR="00A948EA">
          <w:rPr>
            <w:webHidden/>
          </w:rPr>
        </w:r>
        <w:r w:rsidR="00A948EA">
          <w:rPr>
            <w:webHidden/>
          </w:rPr>
          <w:fldChar w:fldCharType="separate"/>
        </w:r>
        <w:r>
          <w:rPr>
            <w:webHidden/>
          </w:rPr>
          <w:t>10</w:t>
        </w:r>
        <w:r w:rsidR="00A948EA">
          <w:rPr>
            <w:webHidden/>
          </w:rPr>
          <w:fldChar w:fldCharType="end"/>
        </w:r>
      </w:hyperlink>
    </w:p>
    <w:p w14:paraId="58F0E880" w14:textId="77777777" w:rsidR="00A948EA" w:rsidRDefault="00134DCA" w:rsidP="00A948EA">
      <w:pPr>
        <w:pStyle w:val="Obsah2"/>
        <w:rPr>
          <w:rFonts w:eastAsiaTheme="minorEastAsia"/>
          <w:noProof/>
          <w:lang w:eastAsia="sk-SK"/>
        </w:rPr>
      </w:pPr>
      <w:hyperlink w:anchor="_Toc485645752" w:history="1">
        <w:r w:rsidR="00A948EA" w:rsidRPr="00204BCA">
          <w:rPr>
            <w:rStyle w:val="Hypertextovprepojenie"/>
            <w:noProof/>
          </w:rPr>
          <w:t>2.1</w:t>
        </w:r>
        <w:r w:rsidR="00A948EA">
          <w:rPr>
            <w:rFonts w:eastAsiaTheme="minorEastAsia"/>
            <w:noProof/>
            <w:lang w:eastAsia="sk-SK"/>
          </w:rPr>
          <w:tab/>
        </w:r>
        <w:r w:rsidR="00A948EA" w:rsidRPr="00204BCA">
          <w:rPr>
            <w:rStyle w:val="Hypertextovprepojenie"/>
            <w:noProof/>
          </w:rPr>
          <w:t>Vznik a história partnerstva</w:t>
        </w:r>
        <w:r w:rsidR="00A948EA">
          <w:rPr>
            <w:noProof/>
            <w:webHidden/>
          </w:rPr>
          <w:tab/>
        </w:r>
        <w:r w:rsidR="00A948EA">
          <w:rPr>
            <w:noProof/>
            <w:webHidden/>
          </w:rPr>
          <w:fldChar w:fldCharType="begin"/>
        </w:r>
        <w:r w:rsidR="00A948EA">
          <w:rPr>
            <w:noProof/>
            <w:webHidden/>
          </w:rPr>
          <w:instrText xml:space="preserve"> PAGEREF _Toc485645752 \h </w:instrText>
        </w:r>
        <w:r w:rsidR="00A948EA">
          <w:rPr>
            <w:noProof/>
            <w:webHidden/>
          </w:rPr>
        </w:r>
        <w:r w:rsidR="00A948EA">
          <w:rPr>
            <w:noProof/>
            <w:webHidden/>
          </w:rPr>
          <w:fldChar w:fldCharType="separate"/>
        </w:r>
        <w:r>
          <w:rPr>
            <w:noProof/>
            <w:webHidden/>
          </w:rPr>
          <w:t>10</w:t>
        </w:r>
        <w:r w:rsidR="00A948EA">
          <w:rPr>
            <w:noProof/>
            <w:webHidden/>
          </w:rPr>
          <w:fldChar w:fldCharType="end"/>
        </w:r>
      </w:hyperlink>
    </w:p>
    <w:p w14:paraId="2D1468C4" w14:textId="77777777" w:rsidR="00A948EA" w:rsidRDefault="00134DCA" w:rsidP="00A948EA">
      <w:pPr>
        <w:pStyle w:val="Obsah2"/>
        <w:rPr>
          <w:rFonts w:eastAsiaTheme="minorEastAsia"/>
          <w:noProof/>
          <w:lang w:eastAsia="sk-SK"/>
        </w:rPr>
      </w:pPr>
      <w:hyperlink w:anchor="_Toc485645756" w:history="1">
        <w:r w:rsidR="00A948EA" w:rsidRPr="00204BCA">
          <w:rPr>
            <w:rStyle w:val="Hypertextovprepojenie"/>
            <w:noProof/>
          </w:rPr>
          <w:t>2.2</w:t>
        </w:r>
        <w:r w:rsidR="00A948EA">
          <w:rPr>
            <w:rFonts w:eastAsiaTheme="minorEastAsia"/>
            <w:noProof/>
            <w:lang w:eastAsia="sk-SK"/>
          </w:rPr>
          <w:tab/>
        </w:r>
        <w:r w:rsidR="00A948EA" w:rsidRPr="00204BCA">
          <w:rPr>
            <w:rStyle w:val="Hypertextovprepojenie"/>
            <w:noProof/>
          </w:rPr>
          <w:t>Tvorba partnerstva a stratégie CLLD</w:t>
        </w:r>
        <w:r w:rsidR="00A948EA">
          <w:rPr>
            <w:noProof/>
            <w:webHidden/>
          </w:rPr>
          <w:tab/>
        </w:r>
        <w:r w:rsidR="00A948EA">
          <w:rPr>
            <w:noProof/>
            <w:webHidden/>
          </w:rPr>
          <w:fldChar w:fldCharType="begin"/>
        </w:r>
        <w:r w:rsidR="00A948EA">
          <w:rPr>
            <w:noProof/>
            <w:webHidden/>
          </w:rPr>
          <w:instrText xml:space="preserve"> PAGEREF _Toc485645756 \h </w:instrText>
        </w:r>
        <w:r w:rsidR="00A948EA">
          <w:rPr>
            <w:noProof/>
            <w:webHidden/>
          </w:rPr>
        </w:r>
        <w:r w:rsidR="00A948EA">
          <w:rPr>
            <w:noProof/>
            <w:webHidden/>
          </w:rPr>
          <w:fldChar w:fldCharType="separate"/>
        </w:r>
        <w:r>
          <w:rPr>
            <w:noProof/>
            <w:webHidden/>
          </w:rPr>
          <w:t>13</w:t>
        </w:r>
        <w:r w:rsidR="00A948EA">
          <w:rPr>
            <w:noProof/>
            <w:webHidden/>
          </w:rPr>
          <w:fldChar w:fldCharType="end"/>
        </w:r>
      </w:hyperlink>
    </w:p>
    <w:p w14:paraId="0304011F" w14:textId="77777777" w:rsidR="00A948EA" w:rsidRDefault="00134DCA">
      <w:pPr>
        <w:pStyle w:val="Obsah1"/>
        <w:rPr>
          <w:rFonts w:eastAsiaTheme="minorEastAsia"/>
          <w:b w:val="0"/>
          <w:sz w:val="22"/>
          <w:szCs w:val="22"/>
          <w:lang w:eastAsia="sk-SK"/>
        </w:rPr>
      </w:pPr>
      <w:hyperlink w:anchor="_Toc485645757" w:history="1">
        <w:r w:rsidR="00A948EA" w:rsidRPr="00204BCA">
          <w:rPr>
            <w:rStyle w:val="Hypertextovprepojenie"/>
          </w:rPr>
          <w:t>3.</w:t>
        </w:r>
        <w:r w:rsidR="00A948EA">
          <w:rPr>
            <w:rFonts w:eastAsiaTheme="minorEastAsia"/>
            <w:b w:val="0"/>
            <w:sz w:val="22"/>
            <w:szCs w:val="22"/>
            <w:lang w:eastAsia="sk-SK"/>
          </w:rPr>
          <w:tab/>
        </w:r>
        <w:r w:rsidR="00A948EA" w:rsidRPr="00204BCA">
          <w:rPr>
            <w:rStyle w:val="Hypertextovprepojenie"/>
          </w:rPr>
          <w:t>Analytický rámec</w:t>
        </w:r>
        <w:r w:rsidR="00A948EA">
          <w:rPr>
            <w:webHidden/>
          </w:rPr>
          <w:tab/>
        </w:r>
        <w:r w:rsidR="00A948EA">
          <w:rPr>
            <w:webHidden/>
          </w:rPr>
          <w:fldChar w:fldCharType="begin"/>
        </w:r>
        <w:r w:rsidR="00A948EA">
          <w:rPr>
            <w:webHidden/>
          </w:rPr>
          <w:instrText xml:space="preserve"> PAGEREF _Toc485645757 \h </w:instrText>
        </w:r>
        <w:r w:rsidR="00A948EA">
          <w:rPr>
            <w:webHidden/>
          </w:rPr>
        </w:r>
        <w:r w:rsidR="00A948EA">
          <w:rPr>
            <w:webHidden/>
          </w:rPr>
          <w:fldChar w:fldCharType="separate"/>
        </w:r>
        <w:r>
          <w:rPr>
            <w:webHidden/>
          </w:rPr>
          <w:t>18</w:t>
        </w:r>
        <w:r w:rsidR="00A948EA">
          <w:rPr>
            <w:webHidden/>
          </w:rPr>
          <w:fldChar w:fldCharType="end"/>
        </w:r>
      </w:hyperlink>
    </w:p>
    <w:p w14:paraId="4BABB48A" w14:textId="77777777" w:rsidR="00A948EA" w:rsidRDefault="00134DCA" w:rsidP="00A948EA">
      <w:pPr>
        <w:pStyle w:val="Obsah2"/>
        <w:rPr>
          <w:rFonts w:eastAsiaTheme="minorEastAsia"/>
          <w:noProof/>
          <w:lang w:eastAsia="sk-SK"/>
        </w:rPr>
      </w:pPr>
      <w:hyperlink w:anchor="_Toc485645758" w:history="1">
        <w:r w:rsidR="00A948EA" w:rsidRPr="00204BCA">
          <w:rPr>
            <w:rStyle w:val="Hypertextovprepojenie"/>
            <w:noProof/>
          </w:rPr>
          <w:t>3.1  Analýza zdrojov územia</w:t>
        </w:r>
        <w:r w:rsidR="00A948EA">
          <w:rPr>
            <w:noProof/>
            <w:webHidden/>
          </w:rPr>
          <w:tab/>
        </w:r>
        <w:r w:rsidR="00A948EA">
          <w:rPr>
            <w:noProof/>
            <w:webHidden/>
          </w:rPr>
          <w:fldChar w:fldCharType="begin"/>
        </w:r>
        <w:r w:rsidR="00A948EA">
          <w:rPr>
            <w:noProof/>
            <w:webHidden/>
          </w:rPr>
          <w:instrText xml:space="preserve"> PAGEREF _Toc485645758 \h </w:instrText>
        </w:r>
        <w:r w:rsidR="00A948EA">
          <w:rPr>
            <w:noProof/>
            <w:webHidden/>
          </w:rPr>
        </w:r>
        <w:r w:rsidR="00A948EA">
          <w:rPr>
            <w:noProof/>
            <w:webHidden/>
          </w:rPr>
          <w:fldChar w:fldCharType="separate"/>
        </w:r>
        <w:r>
          <w:rPr>
            <w:noProof/>
            <w:webHidden/>
          </w:rPr>
          <w:t>18</w:t>
        </w:r>
        <w:r w:rsidR="00A948EA">
          <w:rPr>
            <w:noProof/>
            <w:webHidden/>
          </w:rPr>
          <w:fldChar w:fldCharType="end"/>
        </w:r>
      </w:hyperlink>
    </w:p>
    <w:p w14:paraId="1539E768" w14:textId="77777777" w:rsidR="00A948EA" w:rsidRDefault="00134DCA" w:rsidP="00A948EA">
      <w:pPr>
        <w:pStyle w:val="Obsah2"/>
        <w:rPr>
          <w:rFonts w:eastAsiaTheme="minorEastAsia"/>
          <w:noProof/>
          <w:lang w:eastAsia="sk-SK"/>
        </w:rPr>
      </w:pPr>
      <w:hyperlink w:anchor="_Toc485645766" w:history="1">
        <w:r w:rsidR="00A948EA" w:rsidRPr="00204BCA">
          <w:rPr>
            <w:rStyle w:val="Hypertextovprepojenie"/>
            <w:noProof/>
          </w:rPr>
          <w:t>3.2</w:t>
        </w:r>
        <w:r w:rsidR="00A948EA">
          <w:rPr>
            <w:rFonts w:eastAsiaTheme="minorEastAsia"/>
            <w:noProof/>
            <w:lang w:eastAsia="sk-SK"/>
          </w:rPr>
          <w:tab/>
        </w:r>
        <w:r w:rsidR="00A948EA" w:rsidRPr="00204BCA">
          <w:rPr>
            <w:rStyle w:val="Hypertextovprepojenie"/>
            <w:noProof/>
          </w:rPr>
          <w:t>SWOT analýza</w:t>
        </w:r>
        <w:r w:rsidR="00A948EA">
          <w:rPr>
            <w:noProof/>
            <w:webHidden/>
          </w:rPr>
          <w:tab/>
        </w:r>
        <w:r w:rsidR="00A948EA">
          <w:rPr>
            <w:noProof/>
            <w:webHidden/>
          </w:rPr>
          <w:fldChar w:fldCharType="begin"/>
        </w:r>
        <w:r w:rsidR="00A948EA">
          <w:rPr>
            <w:noProof/>
            <w:webHidden/>
          </w:rPr>
          <w:instrText xml:space="preserve"> PAGEREF _Toc485645766 \h </w:instrText>
        </w:r>
        <w:r w:rsidR="00A948EA">
          <w:rPr>
            <w:noProof/>
            <w:webHidden/>
          </w:rPr>
        </w:r>
        <w:r w:rsidR="00A948EA">
          <w:rPr>
            <w:noProof/>
            <w:webHidden/>
          </w:rPr>
          <w:fldChar w:fldCharType="separate"/>
        </w:r>
        <w:r>
          <w:rPr>
            <w:noProof/>
            <w:webHidden/>
          </w:rPr>
          <w:t>74</w:t>
        </w:r>
        <w:r w:rsidR="00A948EA">
          <w:rPr>
            <w:noProof/>
            <w:webHidden/>
          </w:rPr>
          <w:fldChar w:fldCharType="end"/>
        </w:r>
      </w:hyperlink>
    </w:p>
    <w:p w14:paraId="696F4005" w14:textId="77777777" w:rsidR="00A948EA" w:rsidRDefault="00134DCA" w:rsidP="00A948EA">
      <w:pPr>
        <w:pStyle w:val="Obsah2"/>
        <w:rPr>
          <w:rFonts w:eastAsiaTheme="minorEastAsia"/>
          <w:noProof/>
          <w:lang w:eastAsia="sk-SK"/>
        </w:rPr>
      </w:pPr>
      <w:hyperlink w:anchor="_Toc485645777" w:history="1">
        <w:r w:rsidR="00A948EA" w:rsidRPr="00204BCA">
          <w:rPr>
            <w:rStyle w:val="Hypertextovprepojenie"/>
            <w:noProof/>
          </w:rPr>
          <w:t>3.3</w:t>
        </w:r>
        <w:r w:rsidR="00A948EA">
          <w:rPr>
            <w:rFonts w:eastAsiaTheme="minorEastAsia"/>
            <w:noProof/>
            <w:lang w:eastAsia="sk-SK"/>
          </w:rPr>
          <w:tab/>
        </w:r>
        <w:r w:rsidR="00A948EA" w:rsidRPr="00204BCA">
          <w:rPr>
            <w:rStyle w:val="Hypertextovprepojenie"/>
            <w:noProof/>
          </w:rPr>
          <w:t>Identifikácia potrieb</w:t>
        </w:r>
        <w:r w:rsidR="00A948EA">
          <w:rPr>
            <w:noProof/>
            <w:webHidden/>
          </w:rPr>
          <w:tab/>
        </w:r>
        <w:r w:rsidR="00A948EA">
          <w:rPr>
            <w:noProof/>
            <w:webHidden/>
          </w:rPr>
          <w:fldChar w:fldCharType="begin"/>
        </w:r>
        <w:r w:rsidR="00A948EA">
          <w:rPr>
            <w:noProof/>
            <w:webHidden/>
          </w:rPr>
          <w:instrText xml:space="preserve"> PAGEREF _Toc485645777 \h </w:instrText>
        </w:r>
        <w:r w:rsidR="00A948EA">
          <w:rPr>
            <w:noProof/>
            <w:webHidden/>
          </w:rPr>
        </w:r>
        <w:r w:rsidR="00A948EA">
          <w:rPr>
            <w:noProof/>
            <w:webHidden/>
          </w:rPr>
          <w:fldChar w:fldCharType="separate"/>
        </w:r>
        <w:r>
          <w:rPr>
            <w:noProof/>
            <w:webHidden/>
          </w:rPr>
          <w:t>82</w:t>
        </w:r>
        <w:r w:rsidR="00A948EA">
          <w:rPr>
            <w:noProof/>
            <w:webHidden/>
          </w:rPr>
          <w:fldChar w:fldCharType="end"/>
        </w:r>
      </w:hyperlink>
    </w:p>
    <w:p w14:paraId="6BF7E558" w14:textId="77777777" w:rsidR="00A948EA" w:rsidRDefault="00134DCA">
      <w:pPr>
        <w:pStyle w:val="Obsah1"/>
        <w:rPr>
          <w:rFonts w:eastAsiaTheme="minorEastAsia"/>
          <w:b w:val="0"/>
          <w:sz w:val="22"/>
          <w:szCs w:val="22"/>
          <w:lang w:eastAsia="sk-SK"/>
        </w:rPr>
      </w:pPr>
      <w:hyperlink w:anchor="_Toc485645781" w:history="1">
        <w:r w:rsidR="00A948EA" w:rsidRPr="00204BCA">
          <w:rPr>
            <w:rStyle w:val="Hypertextovprepojenie"/>
          </w:rPr>
          <w:t>4.</w:t>
        </w:r>
        <w:r w:rsidR="00A948EA">
          <w:rPr>
            <w:rFonts w:eastAsiaTheme="minorEastAsia"/>
            <w:b w:val="0"/>
            <w:sz w:val="22"/>
            <w:szCs w:val="22"/>
            <w:lang w:eastAsia="sk-SK"/>
          </w:rPr>
          <w:tab/>
        </w:r>
        <w:r w:rsidR="00A948EA" w:rsidRPr="00204BCA">
          <w:rPr>
            <w:rStyle w:val="Hypertextovprepojenie"/>
          </w:rPr>
          <w:t>Strategický rámec</w:t>
        </w:r>
        <w:r w:rsidR="00A948EA">
          <w:rPr>
            <w:webHidden/>
          </w:rPr>
          <w:tab/>
        </w:r>
        <w:r w:rsidR="00A948EA">
          <w:rPr>
            <w:webHidden/>
          </w:rPr>
          <w:fldChar w:fldCharType="begin"/>
        </w:r>
        <w:r w:rsidR="00A948EA">
          <w:rPr>
            <w:webHidden/>
          </w:rPr>
          <w:instrText xml:space="preserve"> PAGEREF _Toc485645781 \h </w:instrText>
        </w:r>
        <w:r w:rsidR="00A948EA">
          <w:rPr>
            <w:webHidden/>
          </w:rPr>
        </w:r>
        <w:r w:rsidR="00A948EA">
          <w:rPr>
            <w:webHidden/>
          </w:rPr>
          <w:fldChar w:fldCharType="separate"/>
        </w:r>
        <w:r>
          <w:rPr>
            <w:webHidden/>
          </w:rPr>
          <w:t>86</w:t>
        </w:r>
        <w:r w:rsidR="00A948EA">
          <w:rPr>
            <w:webHidden/>
          </w:rPr>
          <w:fldChar w:fldCharType="end"/>
        </w:r>
      </w:hyperlink>
    </w:p>
    <w:p w14:paraId="20263F88" w14:textId="77777777" w:rsidR="00A948EA" w:rsidRDefault="00134DCA" w:rsidP="00A948EA">
      <w:pPr>
        <w:pStyle w:val="Obsah2"/>
        <w:rPr>
          <w:rFonts w:eastAsiaTheme="minorEastAsia"/>
          <w:noProof/>
          <w:lang w:eastAsia="sk-SK"/>
        </w:rPr>
      </w:pPr>
      <w:hyperlink w:anchor="_Toc485645782" w:history="1">
        <w:r w:rsidR="00A948EA" w:rsidRPr="00204BCA">
          <w:rPr>
            <w:rStyle w:val="Hypertextovprepojenie"/>
            <w:noProof/>
          </w:rPr>
          <w:t>4.1 Definovanie vízie a strategického cieľa</w:t>
        </w:r>
        <w:r w:rsidR="00A948EA">
          <w:rPr>
            <w:noProof/>
            <w:webHidden/>
          </w:rPr>
          <w:tab/>
        </w:r>
        <w:r w:rsidR="00A948EA">
          <w:rPr>
            <w:noProof/>
            <w:webHidden/>
          </w:rPr>
          <w:fldChar w:fldCharType="begin"/>
        </w:r>
        <w:r w:rsidR="00A948EA">
          <w:rPr>
            <w:noProof/>
            <w:webHidden/>
          </w:rPr>
          <w:instrText xml:space="preserve"> PAGEREF _Toc485645782 \h </w:instrText>
        </w:r>
        <w:r w:rsidR="00A948EA">
          <w:rPr>
            <w:noProof/>
            <w:webHidden/>
          </w:rPr>
        </w:r>
        <w:r w:rsidR="00A948EA">
          <w:rPr>
            <w:noProof/>
            <w:webHidden/>
          </w:rPr>
          <w:fldChar w:fldCharType="separate"/>
        </w:r>
        <w:r>
          <w:rPr>
            <w:noProof/>
            <w:webHidden/>
          </w:rPr>
          <w:t>86</w:t>
        </w:r>
        <w:r w:rsidR="00A948EA">
          <w:rPr>
            <w:noProof/>
            <w:webHidden/>
          </w:rPr>
          <w:fldChar w:fldCharType="end"/>
        </w:r>
      </w:hyperlink>
    </w:p>
    <w:p w14:paraId="766000DF" w14:textId="77777777" w:rsidR="00A948EA" w:rsidRDefault="00134DCA" w:rsidP="00A948EA">
      <w:pPr>
        <w:pStyle w:val="Obsah2"/>
        <w:rPr>
          <w:rFonts w:eastAsiaTheme="minorEastAsia"/>
          <w:noProof/>
          <w:lang w:eastAsia="sk-SK"/>
        </w:rPr>
      </w:pPr>
      <w:hyperlink w:anchor="_Toc485645783" w:history="1">
        <w:r w:rsidR="00A948EA" w:rsidRPr="00204BCA">
          <w:rPr>
            <w:rStyle w:val="Hypertextovprepojenie"/>
            <w:noProof/>
          </w:rPr>
          <w:t>4.2 Stanovenie priorít, špecifických cieľov a opatrení</w:t>
        </w:r>
        <w:r w:rsidR="00A948EA">
          <w:rPr>
            <w:noProof/>
            <w:webHidden/>
          </w:rPr>
          <w:tab/>
        </w:r>
        <w:r w:rsidR="00A948EA">
          <w:rPr>
            <w:noProof/>
            <w:webHidden/>
          </w:rPr>
          <w:fldChar w:fldCharType="begin"/>
        </w:r>
        <w:r w:rsidR="00A948EA">
          <w:rPr>
            <w:noProof/>
            <w:webHidden/>
          </w:rPr>
          <w:instrText xml:space="preserve"> PAGEREF _Toc485645783 \h </w:instrText>
        </w:r>
        <w:r w:rsidR="00A948EA">
          <w:rPr>
            <w:noProof/>
            <w:webHidden/>
          </w:rPr>
        </w:r>
        <w:r w:rsidR="00A948EA">
          <w:rPr>
            <w:noProof/>
            <w:webHidden/>
          </w:rPr>
          <w:fldChar w:fldCharType="separate"/>
        </w:r>
        <w:r>
          <w:rPr>
            <w:noProof/>
            <w:webHidden/>
          </w:rPr>
          <w:t>87</w:t>
        </w:r>
        <w:r w:rsidR="00A948EA">
          <w:rPr>
            <w:noProof/>
            <w:webHidden/>
          </w:rPr>
          <w:fldChar w:fldCharType="end"/>
        </w:r>
      </w:hyperlink>
    </w:p>
    <w:p w14:paraId="5C0E5B41" w14:textId="77777777" w:rsidR="00A948EA" w:rsidRDefault="00134DCA" w:rsidP="00A948EA">
      <w:pPr>
        <w:pStyle w:val="Obsah2"/>
        <w:rPr>
          <w:rFonts w:eastAsiaTheme="minorEastAsia"/>
          <w:noProof/>
          <w:lang w:eastAsia="sk-SK"/>
        </w:rPr>
      </w:pPr>
      <w:hyperlink w:anchor="_Toc485645796" w:history="1">
        <w:r w:rsidR="00A948EA" w:rsidRPr="00204BCA">
          <w:rPr>
            <w:rStyle w:val="Hypertextovprepojenie"/>
            <w:noProof/>
          </w:rPr>
          <w:t>4.3</w:t>
        </w:r>
        <w:r w:rsidR="00A948EA">
          <w:rPr>
            <w:rFonts w:eastAsiaTheme="minorEastAsia"/>
            <w:noProof/>
            <w:lang w:eastAsia="sk-SK"/>
          </w:rPr>
          <w:tab/>
        </w:r>
        <w:r w:rsidR="00A948EA" w:rsidRPr="00204BCA">
          <w:rPr>
            <w:rStyle w:val="Hypertextovprepojenie"/>
            <w:noProof/>
          </w:rPr>
          <w:t>Súhrn strategického rámca</w:t>
        </w:r>
        <w:r w:rsidR="00A948EA">
          <w:rPr>
            <w:noProof/>
            <w:webHidden/>
          </w:rPr>
          <w:tab/>
        </w:r>
        <w:r w:rsidR="00A948EA">
          <w:rPr>
            <w:noProof/>
            <w:webHidden/>
          </w:rPr>
          <w:fldChar w:fldCharType="begin"/>
        </w:r>
        <w:r w:rsidR="00A948EA">
          <w:rPr>
            <w:noProof/>
            <w:webHidden/>
          </w:rPr>
          <w:instrText xml:space="preserve"> PAGEREF _Toc485645796 \h </w:instrText>
        </w:r>
        <w:r w:rsidR="00A948EA">
          <w:rPr>
            <w:noProof/>
            <w:webHidden/>
          </w:rPr>
        </w:r>
        <w:r w:rsidR="00A948EA">
          <w:rPr>
            <w:noProof/>
            <w:webHidden/>
          </w:rPr>
          <w:fldChar w:fldCharType="separate"/>
        </w:r>
        <w:r>
          <w:rPr>
            <w:noProof/>
            <w:webHidden/>
          </w:rPr>
          <w:t>91</w:t>
        </w:r>
        <w:r w:rsidR="00A948EA">
          <w:rPr>
            <w:noProof/>
            <w:webHidden/>
          </w:rPr>
          <w:fldChar w:fldCharType="end"/>
        </w:r>
      </w:hyperlink>
    </w:p>
    <w:p w14:paraId="2DCFAA5A" w14:textId="77777777" w:rsidR="00A948EA" w:rsidRDefault="00134DCA" w:rsidP="00A948EA">
      <w:pPr>
        <w:pStyle w:val="Obsah2"/>
        <w:rPr>
          <w:rFonts w:eastAsiaTheme="minorEastAsia"/>
          <w:noProof/>
          <w:lang w:eastAsia="sk-SK"/>
        </w:rPr>
      </w:pPr>
      <w:hyperlink w:anchor="_Toc485645797" w:history="1">
        <w:r w:rsidR="00A948EA" w:rsidRPr="00204BCA">
          <w:rPr>
            <w:rStyle w:val="Hypertextovprepojenie"/>
            <w:rFonts w:cs="Times New Roman"/>
            <w:noProof/>
          </w:rPr>
          <w:t xml:space="preserve">4.4. </w:t>
        </w:r>
        <w:r w:rsidR="00A948EA" w:rsidRPr="00204BCA">
          <w:rPr>
            <w:rStyle w:val="Hypertextovprepojenie"/>
            <w:noProof/>
          </w:rPr>
          <w:t>Integrované znaky stratégie CLLD</w:t>
        </w:r>
        <w:r w:rsidR="00A948EA">
          <w:rPr>
            <w:noProof/>
            <w:webHidden/>
          </w:rPr>
          <w:tab/>
        </w:r>
        <w:r w:rsidR="00A948EA">
          <w:rPr>
            <w:noProof/>
            <w:webHidden/>
          </w:rPr>
          <w:fldChar w:fldCharType="begin"/>
        </w:r>
        <w:r w:rsidR="00A948EA">
          <w:rPr>
            <w:noProof/>
            <w:webHidden/>
          </w:rPr>
          <w:instrText xml:space="preserve"> PAGEREF _Toc485645797 \h </w:instrText>
        </w:r>
        <w:r w:rsidR="00A948EA">
          <w:rPr>
            <w:noProof/>
            <w:webHidden/>
          </w:rPr>
        </w:r>
        <w:r w:rsidR="00A948EA">
          <w:rPr>
            <w:noProof/>
            <w:webHidden/>
          </w:rPr>
          <w:fldChar w:fldCharType="separate"/>
        </w:r>
        <w:r>
          <w:rPr>
            <w:noProof/>
            <w:webHidden/>
          </w:rPr>
          <w:t>94</w:t>
        </w:r>
        <w:r w:rsidR="00A948EA">
          <w:rPr>
            <w:noProof/>
            <w:webHidden/>
          </w:rPr>
          <w:fldChar w:fldCharType="end"/>
        </w:r>
      </w:hyperlink>
    </w:p>
    <w:p w14:paraId="12C6FB17" w14:textId="77777777" w:rsidR="00A948EA" w:rsidRDefault="00134DCA" w:rsidP="00A948EA">
      <w:pPr>
        <w:pStyle w:val="Obsah2"/>
        <w:rPr>
          <w:rFonts w:eastAsiaTheme="minorEastAsia"/>
          <w:noProof/>
          <w:lang w:eastAsia="sk-SK"/>
        </w:rPr>
      </w:pPr>
      <w:hyperlink w:anchor="_Toc485645814" w:history="1">
        <w:r w:rsidR="00A948EA" w:rsidRPr="00204BCA">
          <w:rPr>
            <w:rStyle w:val="Hypertextovprepojenie"/>
            <w:noProof/>
          </w:rPr>
          <w:t>4.5</w:t>
        </w:r>
        <w:r w:rsidR="00A948EA">
          <w:rPr>
            <w:rFonts w:eastAsiaTheme="minorEastAsia"/>
            <w:noProof/>
            <w:lang w:eastAsia="sk-SK"/>
          </w:rPr>
          <w:tab/>
        </w:r>
        <w:r w:rsidR="00A948EA" w:rsidRPr="00204BCA">
          <w:rPr>
            <w:rStyle w:val="Hypertextovprepojenie"/>
            <w:noProof/>
          </w:rPr>
          <w:t>Inovatívne znaky stratégie CLLD</w:t>
        </w:r>
        <w:r w:rsidR="00A948EA">
          <w:rPr>
            <w:noProof/>
            <w:webHidden/>
          </w:rPr>
          <w:tab/>
        </w:r>
        <w:r w:rsidR="00A948EA">
          <w:rPr>
            <w:noProof/>
            <w:webHidden/>
          </w:rPr>
          <w:fldChar w:fldCharType="begin"/>
        </w:r>
        <w:r w:rsidR="00A948EA">
          <w:rPr>
            <w:noProof/>
            <w:webHidden/>
          </w:rPr>
          <w:instrText xml:space="preserve"> PAGEREF _Toc485645814 \h </w:instrText>
        </w:r>
        <w:r w:rsidR="00A948EA">
          <w:rPr>
            <w:noProof/>
            <w:webHidden/>
          </w:rPr>
        </w:r>
        <w:r w:rsidR="00A948EA">
          <w:rPr>
            <w:noProof/>
            <w:webHidden/>
          </w:rPr>
          <w:fldChar w:fldCharType="separate"/>
        </w:r>
        <w:r>
          <w:rPr>
            <w:noProof/>
            <w:webHidden/>
          </w:rPr>
          <w:t>96</w:t>
        </w:r>
        <w:r w:rsidR="00A948EA">
          <w:rPr>
            <w:noProof/>
            <w:webHidden/>
          </w:rPr>
          <w:fldChar w:fldCharType="end"/>
        </w:r>
      </w:hyperlink>
    </w:p>
    <w:p w14:paraId="769B6443" w14:textId="77777777" w:rsidR="00A948EA" w:rsidRDefault="00134DCA">
      <w:pPr>
        <w:pStyle w:val="Obsah1"/>
        <w:rPr>
          <w:rFonts w:eastAsiaTheme="minorEastAsia"/>
          <w:b w:val="0"/>
          <w:sz w:val="22"/>
          <w:szCs w:val="22"/>
          <w:lang w:eastAsia="sk-SK"/>
        </w:rPr>
      </w:pPr>
      <w:hyperlink w:anchor="_Toc485645815" w:history="1">
        <w:r w:rsidR="00A948EA" w:rsidRPr="00204BCA">
          <w:rPr>
            <w:rStyle w:val="Hypertextovprepojenie"/>
          </w:rPr>
          <w:t>5.</w:t>
        </w:r>
        <w:r w:rsidR="00A948EA">
          <w:rPr>
            <w:rFonts w:eastAsiaTheme="minorEastAsia"/>
            <w:b w:val="0"/>
            <w:sz w:val="22"/>
            <w:szCs w:val="22"/>
            <w:lang w:eastAsia="sk-SK"/>
          </w:rPr>
          <w:tab/>
        </w:r>
        <w:r w:rsidR="00A948EA" w:rsidRPr="00204BCA">
          <w:rPr>
            <w:rStyle w:val="Hypertextovprepojenie"/>
          </w:rPr>
          <w:t>Implementačný rámec</w:t>
        </w:r>
        <w:r w:rsidR="00A948EA">
          <w:rPr>
            <w:webHidden/>
          </w:rPr>
          <w:tab/>
        </w:r>
        <w:r w:rsidR="00A948EA">
          <w:rPr>
            <w:webHidden/>
          </w:rPr>
          <w:fldChar w:fldCharType="begin"/>
        </w:r>
        <w:r w:rsidR="00A948EA">
          <w:rPr>
            <w:webHidden/>
          </w:rPr>
          <w:instrText xml:space="preserve"> PAGEREF _Toc485645815 \h </w:instrText>
        </w:r>
        <w:r w:rsidR="00A948EA">
          <w:rPr>
            <w:webHidden/>
          </w:rPr>
        </w:r>
        <w:r w:rsidR="00A948EA">
          <w:rPr>
            <w:webHidden/>
          </w:rPr>
          <w:fldChar w:fldCharType="separate"/>
        </w:r>
        <w:r>
          <w:rPr>
            <w:webHidden/>
          </w:rPr>
          <w:t>99</w:t>
        </w:r>
        <w:r w:rsidR="00A948EA">
          <w:rPr>
            <w:webHidden/>
          </w:rPr>
          <w:fldChar w:fldCharType="end"/>
        </w:r>
      </w:hyperlink>
    </w:p>
    <w:p w14:paraId="42626669" w14:textId="77777777" w:rsidR="00A948EA" w:rsidRDefault="00134DCA" w:rsidP="00A948EA">
      <w:pPr>
        <w:pStyle w:val="Obsah2"/>
        <w:rPr>
          <w:rFonts w:eastAsiaTheme="minorEastAsia"/>
          <w:noProof/>
          <w:lang w:eastAsia="sk-SK"/>
        </w:rPr>
      </w:pPr>
      <w:hyperlink w:anchor="_Toc485645821" w:history="1">
        <w:r w:rsidR="00A948EA" w:rsidRPr="00204BCA">
          <w:rPr>
            <w:rStyle w:val="Hypertextovprepojenie"/>
            <w:noProof/>
          </w:rPr>
          <w:t>5.1</w:t>
        </w:r>
        <w:r w:rsidR="00A948EA">
          <w:rPr>
            <w:rFonts w:eastAsiaTheme="minorEastAsia"/>
            <w:noProof/>
            <w:lang w:eastAsia="sk-SK"/>
          </w:rPr>
          <w:tab/>
        </w:r>
        <w:r w:rsidR="00A948EA" w:rsidRPr="00204BCA">
          <w:rPr>
            <w:rStyle w:val="Hypertextovprepojenie"/>
            <w:noProof/>
          </w:rPr>
          <w:t>Popis riadiaceho a implementačného procesu</w:t>
        </w:r>
        <w:r w:rsidR="00A948EA">
          <w:rPr>
            <w:noProof/>
            <w:webHidden/>
          </w:rPr>
          <w:tab/>
        </w:r>
        <w:r w:rsidR="00A948EA">
          <w:rPr>
            <w:noProof/>
            <w:webHidden/>
          </w:rPr>
          <w:fldChar w:fldCharType="begin"/>
        </w:r>
        <w:r w:rsidR="00A948EA">
          <w:rPr>
            <w:noProof/>
            <w:webHidden/>
          </w:rPr>
          <w:instrText xml:space="preserve"> PAGEREF _Toc485645821 \h </w:instrText>
        </w:r>
        <w:r w:rsidR="00A948EA">
          <w:rPr>
            <w:noProof/>
            <w:webHidden/>
          </w:rPr>
        </w:r>
        <w:r w:rsidR="00A948EA">
          <w:rPr>
            <w:noProof/>
            <w:webHidden/>
          </w:rPr>
          <w:fldChar w:fldCharType="separate"/>
        </w:r>
        <w:r>
          <w:rPr>
            <w:noProof/>
            <w:webHidden/>
          </w:rPr>
          <w:t>99</w:t>
        </w:r>
        <w:r w:rsidR="00A948EA">
          <w:rPr>
            <w:noProof/>
            <w:webHidden/>
          </w:rPr>
          <w:fldChar w:fldCharType="end"/>
        </w:r>
      </w:hyperlink>
    </w:p>
    <w:p w14:paraId="53FF9E96" w14:textId="77777777" w:rsidR="00A948EA" w:rsidRDefault="00134DCA" w:rsidP="00A948EA">
      <w:pPr>
        <w:pStyle w:val="Obsah2"/>
        <w:rPr>
          <w:rFonts w:eastAsiaTheme="minorEastAsia"/>
          <w:noProof/>
          <w:lang w:eastAsia="sk-SK"/>
        </w:rPr>
      </w:pPr>
      <w:hyperlink w:anchor="_Toc485645828" w:history="1">
        <w:r w:rsidR="00A948EA" w:rsidRPr="00204BCA">
          <w:rPr>
            <w:rStyle w:val="Hypertextovprepojenie"/>
            <w:noProof/>
          </w:rPr>
          <w:t>5.1.1</w:t>
        </w:r>
        <w:r w:rsidR="00A948EA">
          <w:rPr>
            <w:rFonts w:eastAsiaTheme="minorEastAsia"/>
            <w:noProof/>
            <w:lang w:eastAsia="sk-SK"/>
          </w:rPr>
          <w:tab/>
        </w:r>
        <w:r w:rsidR="00A948EA" w:rsidRPr="00204BCA">
          <w:rPr>
            <w:rStyle w:val="Hypertextovprepojenie"/>
            <w:noProof/>
          </w:rPr>
          <w:t>Riadiaci proces - organizačná štruktúra MAS</w:t>
        </w:r>
        <w:r w:rsidR="00A948EA">
          <w:rPr>
            <w:noProof/>
            <w:webHidden/>
          </w:rPr>
          <w:tab/>
        </w:r>
        <w:r w:rsidR="00A948EA">
          <w:rPr>
            <w:noProof/>
            <w:webHidden/>
          </w:rPr>
          <w:fldChar w:fldCharType="begin"/>
        </w:r>
        <w:r w:rsidR="00A948EA">
          <w:rPr>
            <w:noProof/>
            <w:webHidden/>
          </w:rPr>
          <w:instrText xml:space="preserve"> PAGEREF _Toc485645828 \h </w:instrText>
        </w:r>
        <w:r w:rsidR="00A948EA">
          <w:rPr>
            <w:noProof/>
            <w:webHidden/>
          </w:rPr>
        </w:r>
        <w:r w:rsidR="00A948EA">
          <w:rPr>
            <w:noProof/>
            <w:webHidden/>
          </w:rPr>
          <w:fldChar w:fldCharType="separate"/>
        </w:r>
        <w:r>
          <w:rPr>
            <w:noProof/>
            <w:webHidden/>
          </w:rPr>
          <w:t>99</w:t>
        </w:r>
        <w:r w:rsidR="00A948EA">
          <w:rPr>
            <w:noProof/>
            <w:webHidden/>
          </w:rPr>
          <w:fldChar w:fldCharType="end"/>
        </w:r>
      </w:hyperlink>
    </w:p>
    <w:p w14:paraId="1073D589" w14:textId="77777777" w:rsidR="00A948EA" w:rsidRDefault="00134DCA" w:rsidP="00A948EA">
      <w:pPr>
        <w:pStyle w:val="Obsah2"/>
        <w:rPr>
          <w:rFonts w:eastAsiaTheme="minorEastAsia"/>
          <w:noProof/>
          <w:lang w:eastAsia="sk-SK"/>
        </w:rPr>
      </w:pPr>
      <w:hyperlink w:anchor="_Toc485645836" w:history="1">
        <w:r w:rsidR="00A948EA" w:rsidRPr="00204BCA">
          <w:rPr>
            <w:rStyle w:val="Hypertextovprepojenie"/>
            <w:noProof/>
          </w:rPr>
          <w:t>5.1.2</w:t>
        </w:r>
        <w:r w:rsidR="00A948EA">
          <w:rPr>
            <w:rFonts w:eastAsiaTheme="minorEastAsia"/>
            <w:noProof/>
            <w:lang w:eastAsia="sk-SK"/>
          </w:rPr>
          <w:tab/>
        </w:r>
        <w:r w:rsidR="00A948EA" w:rsidRPr="00204BCA">
          <w:rPr>
            <w:rStyle w:val="Hypertextovprepojenie"/>
            <w:noProof/>
          </w:rPr>
          <w:t>Implementačný proces</w:t>
        </w:r>
        <w:r w:rsidR="00A948EA">
          <w:rPr>
            <w:noProof/>
            <w:webHidden/>
          </w:rPr>
          <w:tab/>
        </w:r>
        <w:r w:rsidR="00A948EA">
          <w:rPr>
            <w:noProof/>
            <w:webHidden/>
          </w:rPr>
          <w:fldChar w:fldCharType="begin"/>
        </w:r>
        <w:r w:rsidR="00A948EA">
          <w:rPr>
            <w:noProof/>
            <w:webHidden/>
          </w:rPr>
          <w:instrText xml:space="preserve"> PAGEREF _Toc485645836 \h </w:instrText>
        </w:r>
        <w:r w:rsidR="00A948EA">
          <w:rPr>
            <w:noProof/>
            <w:webHidden/>
          </w:rPr>
        </w:r>
        <w:r w:rsidR="00A948EA">
          <w:rPr>
            <w:noProof/>
            <w:webHidden/>
          </w:rPr>
          <w:fldChar w:fldCharType="separate"/>
        </w:r>
        <w:r>
          <w:rPr>
            <w:noProof/>
            <w:webHidden/>
          </w:rPr>
          <w:t>108</w:t>
        </w:r>
        <w:r w:rsidR="00A948EA">
          <w:rPr>
            <w:noProof/>
            <w:webHidden/>
          </w:rPr>
          <w:fldChar w:fldCharType="end"/>
        </w:r>
      </w:hyperlink>
    </w:p>
    <w:p w14:paraId="46D3919B" w14:textId="069D2E1A" w:rsidR="00A948EA" w:rsidRDefault="009D4638" w:rsidP="00A948EA">
      <w:pPr>
        <w:pStyle w:val="Obsah2"/>
        <w:rPr>
          <w:rFonts w:eastAsiaTheme="minorEastAsia"/>
          <w:noProof/>
          <w:lang w:eastAsia="sk-SK"/>
        </w:rPr>
      </w:pPr>
      <w:hyperlink w:anchor="_Toc485645843" w:history="1">
        <w:r w:rsidR="00A948EA" w:rsidRPr="00204BCA">
          <w:rPr>
            <w:rStyle w:val="Hypertextovprepojenie"/>
            <w:noProof/>
          </w:rPr>
          <w:t>5.2</w:t>
        </w:r>
        <w:r w:rsidR="00A948EA">
          <w:rPr>
            <w:rFonts w:eastAsiaTheme="minorEastAsia"/>
            <w:noProof/>
            <w:lang w:eastAsia="sk-SK"/>
          </w:rPr>
          <w:tab/>
        </w:r>
        <w:r w:rsidR="00A948EA" w:rsidRPr="00204BCA">
          <w:rPr>
            <w:rStyle w:val="Hypertextovprepojenie"/>
            <w:noProof/>
          </w:rPr>
          <w:t>Akčný plán</w:t>
        </w:r>
        <w:r w:rsidR="00A948EA">
          <w:rPr>
            <w:noProof/>
            <w:webHidden/>
          </w:rPr>
          <w:tab/>
        </w:r>
        <w:r w:rsidR="00A948EA">
          <w:rPr>
            <w:noProof/>
            <w:webHidden/>
          </w:rPr>
          <w:fldChar w:fldCharType="begin"/>
        </w:r>
        <w:r w:rsidR="00A948EA">
          <w:rPr>
            <w:noProof/>
            <w:webHidden/>
          </w:rPr>
          <w:instrText xml:space="preserve"> PAGEREF _Toc485645843 \h </w:instrText>
        </w:r>
        <w:r w:rsidR="00A948EA">
          <w:rPr>
            <w:noProof/>
            <w:webHidden/>
          </w:rPr>
        </w:r>
        <w:r w:rsidR="00A948EA">
          <w:rPr>
            <w:noProof/>
            <w:webHidden/>
          </w:rPr>
          <w:fldChar w:fldCharType="separate"/>
        </w:r>
        <w:r w:rsidR="00134DCA">
          <w:rPr>
            <w:noProof/>
            <w:webHidden/>
          </w:rPr>
          <w:t>115</w:t>
        </w:r>
        <w:r w:rsidR="00A948EA">
          <w:rPr>
            <w:noProof/>
            <w:webHidden/>
          </w:rPr>
          <w:fldChar w:fldCharType="end"/>
        </w:r>
      </w:hyperlink>
    </w:p>
    <w:p w14:paraId="3D85C0EC" w14:textId="5B787414" w:rsidR="00A948EA" w:rsidRDefault="009D4638" w:rsidP="00A948EA">
      <w:pPr>
        <w:pStyle w:val="Obsah2"/>
        <w:rPr>
          <w:rFonts w:eastAsiaTheme="minorEastAsia"/>
          <w:noProof/>
          <w:lang w:eastAsia="sk-SK"/>
        </w:rPr>
      </w:pPr>
      <w:hyperlink w:anchor="_Toc485645851" w:history="1">
        <w:r w:rsidR="00A948EA" w:rsidRPr="00204BCA">
          <w:rPr>
            <w:rStyle w:val="Hypertextovprepojenie"/>
            <w:noProof/>
          </w:rPr>
          <w:t>5.3</w:t>
        </w:r>
        <w:r w:rsidR="00A948EA">
          <w:rPr>
            <w:rFonts w:eastAsiaTheme="minorEastAsia"/>
            <w:noProof/>
            <w:lang w:eastAsia="sk-SK"/>
          </w:rPr>
          <w:tab/>
        </w:r>
        <w:r w:rsidR="00A948EA" w:rsidRPr="00204BCA">
          <w:rPr>
            <w:rStyle w:val="Hypertextovprepojenie"/>
            <w:noProof/>
          </w:rPr>
          <w:t>Monitorovanie a hodnotenie stratégie CLLD</w:t>
        </w:r>
        <w:r w:rsidR="00A948EA">
          <w:rPr>
            <w:noProof/>
            <w:webHidden/>
          </w:rPr>
          <w:tab/>
        </w:r>
        <w:r w:rsidR="00A948EA">
          <w:rPr>
            <w:noProof/>
            <w:webHidden/>
          </w:rPr>
          <w:fldChar w:fldCharType="begin"/>
        </w:r>
        <w:r w:rsidR="00A948EA">
          <w:rPr>
            <w:noProof/>
            <w:webHidden/>
          </w:rPr>
          <w:instrText xml:space="preserve"> PAGEREF _Toc485645851 \h </w:instrText>
        </w:r>
        <w:r w:rsidR="00A948EA">
          <w:rPr>
            <w:noProof/>
            <w:webHidden/>
          </w:rPr>
        </w:r>
        <w:r w:rsidR="00A948EA">
          <w:rPr>
            <w:noProof/>
            <w:webHidden/>
          </w:rPr>
          <w:fldChar w:fldCharType="separate"/>
        </w:r>
        <w:r w:rsidR="00134DCA">
          <w:rPr>
            <w:noProof/>
            <w:webHidden/>
          </w:rPr>
          <w:t>147</w:t>
        </w:r>
        <w:r w:rsidR="00A948EA">
          <w:rPr>
            <w:noProof/>
            <w:webHidden/>
          </w:rPr>
          <w:fldChar w:fldCharType="end"/>
        </w:r>
      </w:hyperlink>
    </w:p>
    <w:p w14:paraId="4F4700DD" w14:textId="370A026D" w:rsidR="00A948EA" w:rsidRDefault="009D4638" w:rsidP="00A948EA">
      <w:pPr>
        <w:pStyle w:val="Obsah2"/>
        <w:rPr>
          <w:rFonts w:eastAsiaTheme="minorEastAsia"/>
          <w:noProof/>
          <w:lang w:eastAsia="sk-SK"/>
        </w:rPr>
      </w:pPr>
      <w:hyperlink w:anchor="_Toc485645860" w:history="1">
        <w:r w:rsidR="00A948EA" w:rsidRPr="00204BCA">
          <w:rPr>
            <w:rStyle w:val="Hypertextovprepojenie"/>
            <w:noProof/>
          </w:rPr>
          <w:t>5.3.1</w:t>
        </w:r>
        <w:r w:rsidR="00A948EA">
          <w:rPr>
            <w:rFonts w:eastAsiaTheme="minorEastAsia"/>
            <w:noProof/>
            <w:lang w:eastAsia="sk-SK"/>
          </w:rPr>
          <w:tab/>
        </w:r>
        <w:r w:rsidR="00A948EA" w:rsidRPr="00204BCA">
          <w:rPr>
            <w:rStyle w:val="Hypertextovprepojenie"/>
            <w:noProof/>
          </w:rPr>
          <w:t>Opis monitorovania a hodnotenia stratégie CLLD</w:t>
        </w:r>
        <w:r w:rsidR="00A948EA">
          <w:rPr>
            <w:noProof/>
            <w:webHidden/>
          </w:rPr>
          <w:tab/>
        </w:r>
        <w:r w:rsidR="00A948EA">
          <w:rPr>
            <w:noProof/>
            <w:webHidden/>
          </w:rPr>
          <w:fldChar w:fldCharType="begin"/>
        </w:r>
        <w:r w:rsidR="00A948EA">
          <w:rPr>
            <w:noProof/>
            <w:webHidden/>
          </w:rPr>
          <w:instrText xml:space="preserve"> PAGEREF _Toc485645860 \h </w:instrText>
        </w:r>
        <w:r w:rsidR="00A948EA">
          <w:rPr>
            <w:noProof/>
            <w:webHidden/>
          </w:rPr>
        </w:r>
        <w:r w:rsidR="00A948EA">
          <w:rPr>
            <w:noProof/>
            <w:webHidden/>
          </w:rPr>
          <w:fldChar w:fldCharType="separate"/>
        </w:r>
        <w:r w:rsidR="00134DCA">
          <w:rPr>
            <w:noProof/>
            <w:webHidden/>
          </w:rPr>
          <w:t>147</w:t>
        </w:r>
        <w:r w:rsidR="00A948EA">
          <w:rPr>
            <w:noProof/>
            <w:webHidden/>
          </w:rPr>
          <w:fldChar w:fldCharType="end"/>
        </w:r>
      </w:hyperlink>
    </w:p>
    <w:p w14:paraId="71F90409" w14:textId="160BDD4D" w:rsidR="00A948EA" w:rsidRDefault="009D4638" w:rsidP="00A948EA">
      <w:pPr>
        <w:pStyle w:val="Obsah2"/>
        <w:rPr>
          <w:rFonts w:eastAsiaTheme="minorEastAsia"/>
          <w:noProof/>
          <w:lang w:eastAsia="sk-SK"/>
        </w:rPr>
      </w:pPr>
      <w:hyperlink w:anchor="_Toc485645870" w:history="1">
        <w:r w:rsidR="00A948EA" w:rsidRPr="00204BCA">
          <w:rPr>
            <w:rStyle w:val="Hypertextovprepojenie"/>
            <w:noProof/>
          </w:rPr>
          <w:t>5.3.2</w:t>
        </w:r>
        <w:r w:rsidR="00A948EA">
          <w:rPr>
            <w:rFonts w:eastAsiaTheme="minorEastAsia"/>
            <w:noProof/>
            <w:lang w:eastAsia="sk-SK"/>
          </w:rPr>
          <w:tab/>
        </w:r>
        <w:r w:rsidR="00A948EA" w:rsidRPr="00204BCA">
          <w:rPr>
            <w:rStyle w:val="Hypertextovprepojenie"/>
            <w:noProof/>
          </w:rPr>
          <w:t>Monitorovacie ukazovatele</w:t>
        </w:r>
        <w:r w:rsidR="00A948EA">
          <w:rPr>
            <w:noProof/>
            <w:webHidden/>
          </w:rPr>
          <w:tab/>
        </w:r>
        <w:r w:rsidR="00A948EA">
          <w:rPr>
            <w:noProof/>
            <w:webHidden/>
          </w:rPr>
          <w:fldChar w:fldCharType="begin"/>
        </w:r>
        <w:r w:rsidR="00A948EA">
          <w:rPr>
            <w:noProof/>
            <w:webHidden/>
          </w:rPr>
          <w:instrText xml:space="preserve"> PAGEREF _Toc485645870 \h </w:instrText>
        </w:r>
        <w:r w:rsidR="00A948EA">
          <w:rPr>
            <w:noProof/>
            <w:webHidden/>
          </w:rPr>
        </w:r>
        <w:r w:rsidR="00A948EA">
          <w:rPr>
            <w:noProof/>
            <w:webHidden/>
          </w:rPr>
          <w:fldChar w:fldCharType="separate"/>
        </w:r>
        <w:r w:rsidR="00134DCA">
          <w:rPr>
            <w:noProof/>
            <w:webHidden/>
          </w:rPr>
          <w:t>153</w:t>
        </w:r>
        <w:r w:rsidR="00A948EA">
          <w:rPr>
            <w:noProof/>
            <w:webHidden/>
          </w:rPr>
          <w:fldChar w:fldCharType="end"/>
        </w:r>
      </w:hyperlink>
    </w:p>
    <w:p w14:paraId="791CC0BB" w14:textId="6035944F" w:rsidR="00A948EA" w:rsidRDefault="009D4638">
      <w:pPr>
        <w:pStyle w:val="Obsah1"/>
        <w:rPr>
          <w:rFonts w:eastAsiaTheme="minorEastAsia"/>
          <w:b w:val="0"/>
          <w:sz w:val="22"/>
          <w:szCs w:val="22"/>
          <w:lang w:eastAsia="sk-SK"/>
        </w:rPr>
      </w:pPr>
      <w:hyperlink w:anchor="_Toc485645871" w:history="1">
        <w:r w:rsidR="00A948EA" w:rsidRPr="00204BCA">
          <w:rPr>
            <w:rStyle w:val="Hypertextovprepojenie"/>
          </w:rPr>
          <w:t>6.</w:t>
        </w:r>
        <w:r w:rsidR="00A948EA">
          <w:rPr>
            <w:rFonts w:eastAsiaTheme="minorEastAsia"/>
            <w:b w:val="0"/>
            <w:sz w:val="22"/>
            <w:szCs w:val="22"/>
            <w:lang w:eastAsia="sk-SK"/>
          </w:rPr>
          <w:tab/>
        </w:r>
        <w:r w:rsidR="00A948EA" w:rsidRPr="00204BCA">
          <w:rPr>
            <w:rStyle w:val="Hypertextovprepojenie"/>
          </w:rPr>
          <w:t>Finančný rámec</w:t>
        </w:r>
        <w:r w:rsidR="00A948EA">
          <w:rPr>
            <w:webHidden/>
          </w:rPr>
          <w:tab/>
        </w:r>
        <w:r w:rsidR="00A948EA">
          <w:rPr>
            <w:webHidden/>
          </w:rPr>
          <w:fldChar w:fldCharType="begin"/>
        </w:r>
        <w:r w:rsidR="00A948EA">
          <w:rPr>
            <w:webHidden/>
          </w:rPr>
          <w:instrText xml:space="preserve"> PAGEREF _Toc485645871 \h </w:instrText>
        </w:r>
        <w:r w:rsidR="00A948EA">
          <w:rPr>
            <w:webHidden/>
          </w:rPr>
        </w:r>
        <w:r w:rsidR="00A948EA">
          <w:rPr>
            <w:webHidden/>
          </w:rPr>
          <w:fldChar w:fldCharType="separate"/>
        </w:r>
        <w:r w:rsidR="00134DCA">
          <w:rPr>
            <w:webHidden/>
          </w:rPr>
          <w:t>155</w:t>
        </w:r>
        <w:r w:rsidR="00A948EA">
          <w:rPr>
            <w:webHidden/>
          </w:rPr>
          <w:fldChar w:fldCharType="end"/>
        </w:r>
      </w:hyperlink>
    </w:p>
    <w:p w14:paraId="5F1AC2B0" w14:textId="02878387" w:rsidR="00A948EA" w:rsidRDefault="009D4638" w:rsidP="00A948EA">
      <w:pPr>
        <w:pStyle w:val="Obsah2"/>
        <w:rPr>
          <w:rFonts w:eastAsiaTheme="minorEastAsia"/>
          <w:noProof/>
          <w:lang w:eastAsia="sk-SK"/>
        </w:rPr>
      </w:pPr>
      <w:hyperlink w:anchor="_Toc485645878" w:history="1">
        <w:r w:rsidR="00A948EA" w:rsidRPr="00204BCA">
          <w:rPr>
            <w:rStyle w:val="Hypertextovprepojenie"/>
            <w:noProof/>
          </w:rPr>
          <w:t>6.1</w:t>
        </w:r>
        <w:r w:rsidR="00A948EA">
          <w:rPr>
            <w:rFonts w:eastAsiaTheme="minorEastAsia"/>
            <w:noProof/>
            <w:lang w:eastAsia="sk-SK"/>
          </w:rPr>
          <w:tab/>
        </w:r>
        <w:r w:rsidR="00A948EA" w:rsidRPr="00204BCA">
          <w:rPr>
            <w:rStyle w:val="Hypertextovprepojenie"/>
            <w:noProof/>
          </w:rPr>
          <w:t>Financovanie stratégie CLLD</w:t>
        </w:r>
        <w:r w:rsidR="00A948EA">
          <w:rPr>
            <w:noProof/>
            <w:webHidden/>
          </w:rPr>
          <w:tab/>
        </w:r>
        <w:r w:rsidR="00A948EA">
          <w:rPr>
            <w:noProof/>
            <w:webHidden/>
          </w:rPr>
          <w:fldChar w:fldCharType="begin"/>
        </w:r>
        <w:r w:rsidR="00A948EA">
          <w:rPr>
            <w:noProof/>
            <w:webHidden/>
          </w:rPr>
          <w:instrText xml:space="preserve"> PAGEREF _Toc485645878 \h </w:instrText>
        </w:r>
        <w:r w:rsidR="00A948EA">
          <w:rPr>
            <w:noProof/>
            <w:webHidden/>
          </w:rPr>
        </w:r>
        <w:r w:rsidR="00A948EA">
          <w:rPr>
            <w:noProof/>
            <w:webHidden/>
          </w:rPr>
          <w:fldChar w:fldCharType="separate"/>
        </w:r>
        <w:r w:rsidR="00134DCA">
          <w:rPr>
            <w:noProof/>
            <w:webHidden/>
          </w:rPr>
          <w:t>155</w:t>
        </w:r>
        <w:r w:rsidR="00A948EA">
          <w:rPr>
            <w:noProof/>
            <w:webHidden/>
          </w:rPr>
          <w:fldChar w:fldCharType="end"/>
        </w:r>
      </w:hyperlink>
    </w:p>
    <w:p w14:paraId="20ABC46A" w14:textId="23CD89F1" w:rsidR="00A948EA" w:rsidRDefault="009D4638" w:rsidP="00A948EA">
      <w:pPr>
        <w:pStyle w:val="Obsah2"/>
        <w:rPr>
          <w:rFonts w:eastAsiaTheme="minorEastAsia"/>
          <w:noProof/>
          <w:lang w:eastAsia="sk-SK"/>
        </w:rPr>
      </w:pPr>
      <w:hyperlink w:anchor="_Toc485645886" w:history="1">
        <w:r w:rsidR="00A948EA" w:rsidRPr="00204BCA">
          <w:rPr>
            <w:rStyle w:val="Hypertextovprepojenie"/>
            <w:noProof/>
          </w:rPr>
          <w:t>6.2</w:t>
        </w:r>
        <w:r w:rsidR="00A948EA">
          <w:rPr>
            <w:rFonts w:eastAsiaTheme="minorEastAsia"/>
            <w:noProof/>
            <w:lang w:eastAsia="sk-SK"/>
          </w:rPr>
          <w:tab/>
        </w:r>
        <w:r w:rsidR="00A948EA" w:rsidRPr="00204BCA">
          <w:rPr>
            <w:rStyle w:val="Hypertextovprepojenie"/>
            <w:noProof/>
          </w:rPr>
          <w:t>Finančný plán pre opatrenia</w:t>
        </w:r>
        <w:r w:rsidR="00A948EA">
          <w:rPr>
            <w:noProof/>
            <w:webHidden/>
          </w:rPr>
          <w:tab/>
        </w:r>
        <w:r w:rsidR="00A948EA">
          <w:rPr>
            <w:noProof/>
            <w:webHidden/>
          </w:rPr>
          <w:fldChar w:fldCharType="begin"/>
        </w:r>
        <w:r w:rsidR="00A948EA">
          <w:rPr>
            <w:noProof/>
            <w:webHidden/>
          </w:rPr>
          <w:instrText xml:space="preserve"> PAGEREF _Toc485645886 \h </w:instrText>
        </w:r>
        <w:r w:rsidR="00A948EA">
          <w:rPr>
            <w:noProof/>
            <w:webHidden/>
          </w:rPr>
        </w:r>
        <w:r w:rsidR="00A948EA">
          <w:rPr>
            <w:noProof/>
            <w:webHidden/>
          </w:rPr>
          <w:fldChar w:fldCharType="separate"/>
        </w:r>
        <w:r w:rsidR="00134DCA">
          <w:rPr>
            <w:noProof/>
            <w:webHidden/>
          </w:rPr>
          <w:t>157</w:t>
        </w:r>
        <w:r w:rsidR="00A948EA">
          <w:rPr>
            <w:noProof/>
            <w:webHidden/>
          </w:rPr>
          <w:fldChar w:fldCharType="end"/>
        </w:r>
      </w:hyperlink>
    </w:p>
    <w:p w14:paraId="789ACE40" w14:textId="1F31A95D" w:rsidR="00A948EA" w:rsidRDefault="009D4638">
      <w:pPr>
        <w:pStyle w:val="Obsah1"/>
        <w:rPr>
          <w:rFonts w:eastAsiaTheme="minorEastAsia"/>
          <w:b w:val="0"/>
          <w:sz w:val="22"/>
          <w:szCs w:val="22"/>
          <w:lang w:eastAsia="sk-SK"/>
        </w:rPr>
      </w:pPr>
      <w:hyperlink w:anchor="_Toc485645893" w:history="1">
        <w:r w:rsidR="00A948EA" w:rsidRPr="00204BCA">
          <w:rPr>
            <w:rStyle w:val="Hypertextovprepojenie"/>
          </w:rPr>
          <w:t>7.</w:t>
        </w:r>
        <w:r w:rsidR="00A948EA">
          <w:rPr>
            <w:rFonts w:eastAsiaTheme="minorEastAsia"/>
            <w:b w:val="0"/>
            <w:sz w:val="22"/>
            <w:szCs w:val="22"/>
            <w:lang w:eastAsia="sk-SK"/>
          </w:rPr>
          <w:tab/>
        </w:r>
        <w:r w:rsidR="00A948EA" w:rsidRPr="00204BCA">
          <w:rPr>
            <w:rStyle w:val="Hypertextovprepojenie"/>
          </w:rPr>
          <w:t>Zhodnotenie prínosov stratégie CLLD, jej synergie a doplnkovosť</w:t>
        </w:r>
        <w:r w:rsidR="00A948EA">
          <w:rPr>
            <w:webHidden/>
          </w:rPr>
          <w:tab/>
        </w:r>
        <w:r w:rsidR="00A948EA">
          <w:rPr>
            <w:webHidden/>
          </w:rPr>
          <w:fldChar w:fldCharType="begin"/>
        </w:r>
        <w:r w:rsidR="00A948EA">
          <w:rPr>
            <w:webHidden/>
          </w:rPr>
          <w:instrText xml:space="preserve"> PAGEREF _Toc485645893 \h </w:instrText>
        </w:r>
        <w:r w:rsidR="00A948EA">
          <w:rPr>
            <w:webHidden/>
          </w:rPr>
        </w:r>
        <w:r w:rsidR="00A948EA">
          <w:rPr>
            <w:webHidden/>
          </w:rPr>
          <w:fldChar w:fldCharType="separate"/>
        </w:r>
        <w:r w:rsidR="00134DCA">
          <w:rPr>
            <w:webHidden/>
          </w:rPr>
          <w:t>161</w:t>
        </w:r>
        <w:r w:rsidR="00A948EA">
          <w:rPr>
            <w:webHidden/>
          </w:rPr>
          <w:fldChar w:fldCharType="end"/>
        </w:r>
      </w:hyperlink>
    </w:p>
    <w:p w14:paraId="65E772D8" w14:textId="4F3B11DA" w:rsidR="00A948EA" w:rsidRDefault="009D4638" w:rsidP="00A948EA">
      <w:pPr>
        <w:pStyle w:val="Obsah2"/>
        <w:rPr>
          <w:rFonts w:eastAsiaTheme="minorEastAsia"/>
          <w:noProof/>
          <w:lang w:eastAsia="sk-SK"/>
        </w:rPr>
      </w:pPr>
      <w:hyperlink w:anchor="_Toc485645894" w:history="1">
        <w:r w:rsidR="00A948EA" w:rsidRPr="00204BCA">
          <w:rPr>
            <w:rStyle w:val="Hypertextovprepojenie"/>
            <w:noProof/>
          </w:rPr>
          <w:t>7.1</w:t>
        </w:r>
        <w:r w:rsidR="00A948EA">
          <w:rPr>
            <w:rFonts w:eastAsiaTheme="minorEastAsia"/>
            <w:noProof/>
            <w:lang w:eastAsia="sk-SK"/>
          </w:rPr>
          <w:tab/>
        </w:r>
        <w:r w:rsidR="00A948EA" w:rsidRPr="00204BCA">
          <w:rPr>
            <w:rStyle w:val="Hypertextovprepojenie"/>
            <w:noProof/>
          </w:rPr>
          <w:t>Prínosy k zlepšovaniu ekonomického rozvoja územia</w:t>
        </w:r>
        <w:r w:rsidR="00A948EA">
          <w:rPr>
            <w:noProof/>
            <w:webHidden/>
          </w:rPr>
          <w:tab/>
        </w:r>
        <w:r w:rsidR="00A948EA">
          <w:rPr>
            <w:noProof/>
            <w:webHidden/>
          </w:rPr>
          <w:fldChar w:fldCharType="begin"/>
        </w:r>
        <w:r w:rsidR="00A948EA">
          <w:rPr>
            <w:noProof/>
            <w:webHidden/>
          </w:rPr>
          <w:instrText xml:space="preserve"> PAGEREF _Toc485645894 \h </w:instrText>
        </w:r>
        <w:r w:rsidR="00A948EA">
          <w:rPr>
            <w:noProof/>
            <w:webHidden/>
          </w:rPr>
        </w:r>
        <w:r w:rsidR="00A948EA">
          <w:rPr>
            <w:noProof/>
            <w:webHidden/>
          </w:rPr>
          <w:fldChar w:fldCharType="separate"/>
        </w:r>
        <w:r w:rsidR="00134DCA">
          <w:rPr>
            <w:noProof/>
            <w:webHidden/>
          </w:rPr>
          <w:t>161</w:t>
        </w:r>
        <w:r w:rsidR="00A948EA">
          <w:rPr>
            <w:noProof/>
            <w:webHidden/>
          </w:rPr>
          <w:fldChar w:fldCharType="end"/>
        </w:r>
      </w:hyperlink>
    </w:p>
    <w:p w14:paraId="7B2DC393" w14:textId="2828B376" w:rsidR="00A948EA" w:rsidRDefault="009D4638" w:rsidP="00A948EA">
      <w:pPr>
        <w:pStyle w:val="Obsah2"/>
        <w:rPr>
          <w:rFonts w:eastAsiaTheme="minorEastAsia"/>
          <w:noProof/>
          <w:lang w:eastAsia="sk-SK"/>
        </w:rPr>
      </w:pPr>
      <w:hyperlink w:anchor="_Toc485645896" w:history="1">
        <w:r w:rsidR="00A948EA" w:rsidRPr="00204BCA">
          <w:rPr>
            <w:rStyle w:val="Hypertextovprepojenie"/>
            <w:noProof/>
          </w:rPr>
          <w:t>7.2</w:t>
        </w:r>
        <w:r w:rsidR="00A948EA">
          <w:rPr>
            <w:rFonts w:eastAsiaTheme="minorEastAsia"/>
            <w:noProof/>
            <w:lang w:eastAsia="sk-SK"/>
          </w:rPr>
          <w:tab/>
        </w:r>
        <w:r w:rsidR="00A948EA" w:rsidRPr="00204BCA">
          <w:rPr>
            <w:rStyle w:val="Hypertextovprepojenie"/>
            <w:noProof/>
          </w:rPr>
          <w:t>Prínosy k napĺňaniu cieľov PRV</w:t>
        </w:r>
        <w:r w:rsidR="00A948EA">
          <w:rPr>
            <w:noProof/>
            <w:webHidden/>
          </w:rPr>
          <w:tab/>
        </w:r>
        <w:r w:rsidR="00A948EA">
          <w:rPr>
            <w:noProof/>
            <w:webHidden/>
          </w:rPr>
          <w:fldChar w:fldCharType="begin"/>
        </w:r>
        <w:r w:rsidR="00A948EA">
          <w:rPr>
            <w:noProof/>
            <w:webHidden/>
          </w:rPr>
          <w:instrText xml:space="preserve"> PAGEREF _Toc485645896 \h </w:instrText>
        </w:r>
        <w:r w:rsidR="00A948EA">
          <w:rPr>
            <w:noProof/>
            <w:webHidden/>
          </w:rPr>
        </w:r>
        <w:r w:rsidR="00A948EA">
          <w:rPr>
            <w:noProof/>
            <w:webHidden/>
          </w:rPr>
          <w:fldChar w:fldCharType="separate"/>
        </w:r>
        <w:r w:rsidR="00134DCA">
          <w:rPr>
            <w:noProof/>
            <w:webHidden/>
          </w:rPr>
          <w:t>163</w:t>
        </w:r>
        <w:r w:rsidR="00A948EA">
          <w:rPr>
            <w:noProof/>
            <w:webHidden/>
          </w:rPr>
          <w:fldChar w:fldCharType="end"/>
        </w:r>
      </w:hyperlink>
    </w:p>
    <w:p w14:paraId="25B4C8F4" w14:textId="3C79727C" w:rsidR="00A948EA" w:rsidRDefault="009D4638" w:rsidP="00A948EA">
      <w:pPr>
        <w:pStyle w:val="Obsah2"/>
        <w:rPr>
          <w:rFonts w:eastAsiaTheme="minorEastAsia"/>
          <w:noProof/>
          <w:lang w:eastAsia="sk-SK"/>
        </w:rPr>
      </w:pPr>
      <w:hyperlink w:anchor="_Toc485645897" w:history="1">
        <w:r w:rsidR="00A948EA" w:rsidRPr="00204BCA">
          <w:rPr>
            <w:rStyle w:val="Hypertextovprepojenie"/>
            <w:noProof/>
          </w:rPr>
          <w:t xml:space="preserve">7.3 </w:t>
        </w:r>
        <w:r w:rsidR="00A948EA">
          <w:rPr>
            <w:rStyle w:val="Hypertextovprepojenie"/>
            <w:noProof/>
          </w:rPr>
          <w:t xml:space="preserve">      </w:t>
        </w:r>
        <w:r w:rsidR="00A948EA" w:rsidRPr="00204BCA">
          <w:rPr>
            <w:rStyle w:val="Hypertextovprepojenie"/>
            <w:noProof/>
          </w:rPr>
          <w:t>Prínosy k napĺňaniu cieľov IROP</w:t>
        </w:r>
        <w:r w:rsidR="00A948EA">
          <w:rPr>
            <w:noProof/>
            <w:webHidden/>
          </w:rPr>
          <w:tab/>
        </w:r>
        <w:r w:rsidR="00A948EA">
          <w:rPr>
            <w:noProof/>
            <w:webHidden/>
          </w:rPr>
          <w:fldChar w:fldCharType="begin"/>
        </w:r>
        <w:r w:rsidR="00A948EA">
          <w:rPr>
            <w:noProof/>
            <w:webHidden/>
          </w:rPr>
          <w:instrText xml:space="preserve"> PAGEREF _Toc485645897 \h </w:instrText>
        </w:r>
        <w:r w:rsidR="00A948EA">
          <w:rPr>
            <w:noProof/>
            <w:webHidden/>
          </w:rPr>
        </w:r>
        <w:r w:rsidR="00A948EA">
          <w:rPr>
            <w:noProof/>
            <w:webHidden/>
          </w:rPr>
          <w:fldChar w:fldCharType="separate"/>
        </w:r>
        <w:r w:rsidR="00134DCA">
          <w:rPr>
            <w:noProof/>
            <w:webHidden/>
          </w:rPr>
          <w:t>166</w:t>
        </w:r>
        <w:r w:rsidR="00A948EA">
          <w:rPr>
            <w:noProof/>
            <w:webHidden/>
          </w:rPr>
          <w:fldChar w:fldCharType="end"/>
        </w:r>
      </w:hyperlink>
    </w:p>
    <w:p w14:paraId="238DF782" w14:textId="1A29D6DE" w:rsidR="00A948EA" w:rsidRDefault="009D4638" w:rsidP="00A948EA">
      <w:pPr>
        <w:pStyle w:val="Obsah2"/>
        <w:rPr>
          <w:rFonts w:eastAsiaTheme="minorEastAsia"/>
          <w:noProof/>
          <w:lang w:eastAsia="sk-SK"/>
        </w:rPr>
      </w:pPr>
      <w:hyperlink w:anchor="_Toc485645898" w:history="1">
        <w:r w:rsidR="00A948EA" w:rsidRPr="00204BCA">
          <w:rPr>
            <w:rStyle w:val="Hypertextovprepojenie"/>
            <w:noProof/>
          </w:rPr>
          <w:t xml:space="preserve">7.4 </w:t>
        </w:r>
        <w:r w:rsidR="00A948EA">
          <w:rPr>
            <w:rStyle w:val="Hypertextovprepojenie"/>
            <w:noProof/>
          </w:rPr>
          <w:t xml:space="preserve">       </w:t>
        </w:r>
        <w:r w:rsidR="00A948EA" w:rsidRPr="00204BCA">
          <w:rPr>
            <w:rStyle w:val="Hypertextovprepojenie"/>
            <w:noProof/>
          </w:rPr>
          <w:t>Synergie a doplnkovosť stratégie CLLD</w:t>
        </w:r>
        <w:r w:rsidR="00A948EA">
          <w:rPr>
            <w:noProof/>
            <w:webHidden/>
          </w:rPr>
          <w:tab/>
        </w:r>
        <w:r w:rsidR="00A948EA">
          <w:rPr>
            <w:noProof/>
            <w:webHidden/>
          </w:rPr>
          <w:fldChar w:fldCharType="begin"/>
        </w:r>
        <w:r w:rsidR="00A948EA">
          <w:rPr>
            <w:noProof/>
            <w:webHidden/>
          </w:rPr>
          <w:instrText xml:space="preserve"> PAGEREF _Toc485645898 \h </w:instrText>
        </w:r>
        <w:r w:rsidR="00A948EA">
          <w:rPr>
            <w:noProof/>
            <w:webHidden/>
          </w:rPr>
        </w:r>
        <w:r w:rsidR="00A948EA">
          <w:rPr>
            <w:noProof/>
            <w:webHidden/>
          </w:rPr>
          <w:fldChar w:fldCharType="separate"/>
        </w:r>
        <w:r w:rsidR="00134DCA">
          <w:rPr>
            <w:noProof/>
            <w:webHidden/>
          </w:rPr>
          <w:t>168</w:t>
        </w:r>
        <w:r w:rsidR="00A948EA">
          <w:rPr>
            <w:noProof/>
            <w:webHidden/>
          </w:rPr>
          <w:fldChar w:fldCharType="end"/>
        </w:r>
      </w:hyperlink>
    </w:p>
    <w:p w14:paraId="185CF8EA" w14:textId="5224B1A1" w:rsidR="00A948EA" w:rsidRDefault="009D4638" w:rsidP="00A948EA">
      <w:pPr>
        <w:pStyle w:val="Obsah2"/>
        <w:rPr>
          <w:rFonts w:eastAsiaTheme="minorEastAsia"/>
          <w:noProof/>
          <w:lang w:eastAsia="sk-SK"/>
        </w:rPr>
      </w:pPr>
      <w:hyperlink w:anchor="_Toc485645899" w:history="1">
        <w:r w:rsidR="00A948EA" w:rsidRPr="00204BCA">
          <w:rPr>
            <w:rStyle w:val="Hypertextovprepojenie"/>
            <w:noProof/>
          </w:rPr>
          <w:t>7.4.1</w:t>
        </w:r>
        <w:r w:rsidR="00A948EA">
          <w:rPr>
            <w:rFonts w:eastAsiaTheme="minorEastAsia"/>
            <w:noProof/>
            <w:lang w:eastAsia="sk-SK"/>
          </w:rPr>
          <w:tab/>
        </w:r>
        <w:r w:rsidR="00A948EA" w:rsidRPr="00204BCA">
          <w:rPr>
            <w:rStyle w:val="Hypertextovprepojenie"/>
            <w:noProof/>
          </w:rPr>
          <w:t>Popis iných stratégií, ktoré sa na danom území realizujú, resp. plánujú realizovať</w:t>
        </w:r>
        <w:r w:rsidR="00A948EA">
          <w:rPr>
            <w:noProof/>
            <w:webHidden/>
          </w:rPr>
          <w:tab/>
        </w:r>
        <w:r w:rsidR="00A948EA">
          <w:rPr>
            <w:noProof/>
            <w:webHidden/>
          </w:rPr>
          <w:fldChar w:fldCharType="begin"/>
        </w:r>
        <w:r w:rsidR="00A948EA">
          <w:rPr>
            <w:noProof/>
            <w:webHidden/>
          </w:rPr>
          <w:instrText xml:space="preserve"> PAGEREF _Toc485645899 \h </w:instrText>
        </w:r>
        <w:r w:rsidR="00A948EA">
          <w:rPr>
            <w:noProof/>
            <w:webHidden/>
          </w:rPr>
        </w:r>
        <w:r w:rsidR="00A948EA">
          <w:rPr>
            <w:noProof/>
            <w:webHidden/>
          </w:rPr>
          <w:fldChar w:fldCharType="separate"/>
        </w:r>
        <w:r w:rsidR="00134DCA">
          <w:rPr>
            <w:noProof/>
            <w:webHidden/>
          </w:rPr>
          <w:t>169</w:t>
        </w:r>
        <w:r w:rsidR="00A948EA">
          <w:rPr>
            <w:noProof/>
            <w:webHidden/>
          </w:rPr>
          <w:fldChar w:fldCharType="end"/>
        </w:r>
      </w:hyperlink>
    </w:p>
    <w:p w14:paraId="41C5F5CF" w14:textId="64BF430E" w:rsidR="00A948EA" w:rsidRDefault="009D4638" w:rsidP="00A948EA">
      <w:pPr>
        <w:pStyle w:val="Obsah2"/>
        <w:rPr>
          <w:rFonts w:eastAsiaTheme="minorEastAsia"/>
          <w:noProof/>
          <w:lang w:eastAsia="sk-SK"/>
        </w:rPr>
      </w:pPr>
      <w:hyperlink w:anchor="_Toc485645900" w:history="1">
        <w:r w:rsidR="00A948EA" w:rsidRPr="00204BCA">
          <w:rPr>
            <w:rStyle w:val="Hypertextovprepojenie"/>
            <w:noProof/>
          </w:rPr>
          <w:t>7.4.2</w:t>
        </w:r>
        <w:r w:rsidR="00A948EA">
          <w:rPr>
            <w:rFonts w:eastAsiaTheme="minorEastAsia"/>
            <w:noProof/>
            <w:lang w:eastAsia="sk-SK"/>
          </w:rPr>
          <w:tab/>
        </w:r>
        <w:r w:rsidR="00A948EA" w:rsidRPr="00204BCA">
          <w:rPr>
            <w:rStyle w:val="Hypertextovprepojenie"/>
            <w:noProof/>
          </w:rPr>
          <w:t>Synergie a komplementarity</w:t>
        </w:r>
        <w:r w:rsidR="00A948EA">
          <w:rPr>
            <w:noProof/>
            <w:webHidden/>
          </w:rPr>
          <w:tab/>
        </w:r>
        <w:r w:rsidR="00A948EA">
          <w:rPr>
            <w:noProof/>
            <w:webHidden/>
          </w:rPr>
          <w:fldChar w:fldCharType="begin"/>
        </w:r>
        <w:r w:rsidR="00A948EA">
          <w:rPr>
            <w:noProof/>
            <w:webHidden/>
          </w:rPr>
          <w:instrText xml:space="preserve"> PAGEREF _Toc485645900 \h </w:instrText>
        </w:r>
        <w:r w:rsidR="00A948EA">
          <w:rPr>
            <w:noProof/>
            <w:webHidden/>
          </w:rPr>
        </w:r>
        <w:r w:rsidR="00A948EA">
          <w:rPr>
            <w:noProof/>
            <w:webHidden/>
          </w:rPr>
          <w:fldChar w:fldCharType="separate"/>
        </w:r>
        <w:r w:rsidR="00134DCA">
          <w:rPr>
            <w:noProof/>
            <w:webHidden/>
          </w:rPr>
          <w:t>172</w:t>
        </w:r>
        <w:r w:rsidR="00A948EA">
          <w:rPr>
            <w:noProof/>
            <w:webHidden/>
          </w:rPr>
          <w:fldChar w:fldCharType="end"/>
        </w:r>
      </w:hyperlink>
    </w:p>
    <w:p w14:paraId="6273E701" w14:textId="187C5A90" w:rsidR="00A948EA" w:rsidRDefault="009D4638" w:rsidP="00A948EA">
      <w:pPr>
        <w:pStyle w:val="Obsah2"/>
        <w:rPr>
          <w:rFonts w:eastAsiaTheme="minorEastAsia"/>
          <w:noProof/>
          <w:lang w:eastAsia="sk-SK"/>
        </w:rPr>
      </w:pPr>
      <w:hyperlink w:anchor="_Toc485645901" w:history="1">
        <w:r w:rsidR="00A948EA" w:rsidRPr="00204BCA">
          <w:rPr>
            <w:rStyle w:val="Hypertextovprepojenie"/>
            <w:noProof/>
          </w:rPr>
          <w:t xml:space="preserve">7.5 </w:t>
        </w:r>
        <w:r w:rsidR="00A948EA">
          <w:rPr>
            <w:rStyle w:val="Hypertextovprepojenie"/>
            <w:noProof/>
          </w:rPr>
          <w:t xml:space="preserve">      </w:t>
        </w:r>
        <w:r w:rsidR="00A948EA" w:rsidRPr="00204BCA">
          <w:rPr>
            <w:rStyle w:val="Hypertextovprepojenie"/>
            <w:noProof/>
          </w:rPr>
          <w:t>Popis multiplikačných efektov</w:t>
        </w:r>
        <w:r w:rsidR="00A948EA">
          <w:rPr>
            <w:noProof/>
            <w:webHidden/>
          </w:rPr>
          <w:tab/>
        </w:r>
        <w:r w:rsidR="00A948EA">
          <w:rPr>
            <w:noProof/>
            <w:webHidden/>
          </w:rPr>
          <w:fldChar w:fldCharType="begin"/>
        </w:r>
        <w:r w:rsidR="00A948EA">
          <w:rPr>
            <w:noProof/>
            <w:webHidden/>
          </w:rPr>
          <w:instrText xml:space="preserve"> PAGEREF _Toc485645901 \h </w:instrText>
        </w:r>
        <w:r w:rsidR="00A948EA">
          <w:rPr>
            <w:noProof/>
            <w:webHidden/>
          </w:rPr>
        </w:r>
        <w:r w:rsidR="00A948EA">
          <w:rPr>
            <w:noProof/>
            <w:webHidden/>
          </w:rPr>
          <w:fldChar w:fldCharType="separate"/>
        </w:r>
        <w:r w:rsidR="00134DCA">
          <w:rPr>
            <w:noProof/>
            <w:webHidden/>
          </w:rPr>
          <w:t>174</w:t>
        </w:r>
        <w:r w:rsidR="00A948EA">
          <w:rPr>
            <w:noProof/>
            <w:webHidden/>
          </w:rPr>
          <w:fldChar w:fldCharType="end"/>
        </w:r>
      </w:hyperlink>
    </w:p>
    <w:p w14:paraId="13720548" w14:textId="75AAFE0E" w:rsidR="00A948EA" w:rsidRDefault="009D4638">
      <w:pPr>
        <w:pStyle w:val="Obsah1"/>
        <w:rPr>
          <w:rFonts w:eastAsiaTheme="minorEastAsia"/>
          <w:b w:val="0"/>
          <w:sz w:val="22"/>
          <w:szCs w:val="22"/>
          <w:lang w:eastAsia="sk-SK"/>
        </w:rPr>
      </w:pPr>
      <w:hyperlink w:anchor="_Toc485645902" w:history="1">
        <w:r w:rsidR="00A948EA" w:rsidRPr="00204BCA">
          <w:rPr>
            <w:rStyle w:val="Hypertextovprepojenie"/>
          </w:rPr>
          <w:t>8.</w:t>
        </w:r>
        <w:r w:rsidR="00A948EA">
          <w:rPr>
            <w:rFonts w:eastAsiaTheme="minorEastAsia"/>
            <w:b w:val="0"/>
            <w:sz w:val="22"/>
            <w:szCs w:val="22"/>
            <w:lang w:eastAsia="sk-SK"/>
          </w:rPr>
          <w:tab/>
        </w:r>
        <w:r w:rsidR="00A948EA" w:rsidRPr="00204BCA">
          <w:rPr>
            <w:rStyle w:val="Hypertextovprepojenie"/>
          </w:rPr>
          <w:t>Prílohy k stratégii CLLD</w:t>
        </w:r>
        <w:r w:rsidR="00A948EA">
          <w:rPr>
            <w:webHidden/>
          </w:rPr>
          <w:tab/>
        </w:r>
        <w:r w:rsidR="00A948EA">
          <w:rPr>
            <w:webHidden/>
          </w:rPr>
          <w:fldChar w:fldCharType="begin"/>
        </w:r>
        <w:r w:rsidR="00A948EA">
          <w:rPr>
            <w:webHidden/>
          </w:rPr>
          <w:instrText xml:space="preserve"> PAGEREF _Toc485645902 \h </w:instrText>
        </w:r>
        <w:r w:rsidR="00A948EA">
          <w:rPr>
            <w:webHidden/>
          </w:rPr>
        </w:r>
        <w:r w:rsidR="00A948EA">
          <w:rPr>
            <w:webHidden/>
          </w:rPr>
          <w:fldChar w:fldCharType="separate"/>
        </w:r>
        <w:r w:rsidR="00134DCA">
          <w:rPr>
            <w:webHidden/>
          </w:rPr>
          <w:t>176</w:t>
        </w:r>
        <w:r w:rsidR="00A948EA">
          <w:rPr>
            <w:webHidden/>
          </w:rPr>
          <w:fldChar w:fldCharType="end"/>
        </w:r>
      </w:hyperlink>
    </w:p>
    <w:p w14:paraId="18414E8F" w14:textId="77777777" w:rsidR="00682ED5" w:rsidRDefault="00477FA8">
      <w:pPr>
        <w:rPr>
          <w:rFonts w:ascii="Times New Roman" w:hAnsi="Times New Roman" w:cs="Times New Roman"/>
          <w:b/>
          <w:sz w:val="24"/>
          <w:szCs w:val="24"/>
        </w:rPr>
      </w:pPr>
      <w:r w:rsidRPr="00866300">
        <w:rPr>
          <w:rFonts w:ascii="Times New Roman" w:hAnsi="Times New Roman" w:cs="Times New Roman"/>
          <w:b/>
          <w:sz w:val="24"/>
          <w:szCs w:val="24"/>
        </w:rPr>
        <w:fldChar w:fldCharType="end"/>
      </w:r>
      <w:r w:rsidR="00682ED5">
        <w:rPr>
          <w:rFonts w:ascii="Times New Roman" w:hAnsi="Times New Roman" w:cs="Times New Roman"/>
          <w:b/>
          <w:sz w:val="24"/>
          <w:szCs w:val="24"/>
        </w:rPr>
        <w:br w:type="page"/>
      </w:r>
    </w:p>
    <w:p w14:paraId="1C6F8EA8" w14:textId="77777777" w:rsidR="00E46F43" w:rsidRPr="00891B13" w:rsidRDefault="00E46F43" w:rsidP="00E37887">
      <w:pPr>
        <w:spacing w:after="0" w:line="360" w:lineRule="auto"/>
        <w:jc w:val="both"/>
        <w:rPr>
          <w:rFonts w:ascii="Times New Roman" w:hAnsi="Times New Roman" w:cs="Times New Roman"/>
          <w:b/>
          <w:sz w:val="24"/>
          <w:szCs w:val="24"/>
        </w:rPr>
      </w:pPr>
      <w:r w:rsidRPr="00891B13">
        <w:rPr>
          <w:rFonts w:ascii="Times New Roman" w:hAnsi="Times New Roman" w:cs="Times New Roman"/>
          <w:b/>
          <w:sz w:val="24"/>
          <w:szCs w:val="24"/>
        </w:rPr>
        <w:lastRenderedPageBreak/>
        <w:t xml:space="preserve">Zoznam tabuliek </w:t>
      </w:r>
    </w:p>
    <w:p w14:paraId="7EC07A2D" w14:textId="77777777" w:rsidR="004561F3" w:rsidRPr="004561F3" w:rsidRDefault="004561F3" w:rsidP="0000117E">
      <w:pPr>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Tabuľka 1.1.1 Identifikačné údaje MAS</w:t>
      </w:r>
      <w:r w:rsidR="0000117E">
        <w:rPr>
          <w:rFonts w:ascii="Times New Roman" w:hAnsi="Times New Roman" w:cs="Times New Roman"/>
          <w:sz w:val="24"/>
          <w:szCs w:val="24"/>
        </w:rPr>
        <w:tab/>
      </w:r>
      <w:r w:rsidR="002A0E09">
        <w:rPr>
          <w:rFonts w:ascii="Times New Roman" w:hAnsi="Times New Roman" w:cs="Times New Roman"/>
          <w:sz w:val="24"/>
          <w:szCs w:val="24"/>
        </w:rPr>
        <w:t>8</w:t>
      </w:r>
    </w:p>
    <w:p w14:paraId="391C0490"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w:t>
      </w:r>
      <w:r w:rsidRPr="005D2E80">
        <w:rPr>
          <w:rFonts w:ascii="Times New Roman" w:hAnsi="Times New Roman" w:cs="Times New Roman"/>
          <w:sz w:val="24"/>
          <w:szCs w:val="24"/>
        </w:rPr>
        <w:t xml:space="preserve"> 1.2.</w:t>
      </w:r>
      <w:r>
        <w:rPr>
          <w:rFonts w:ascii="Times New Roman" w:hAnsi="Times New Roman" w:cs="Times New Roman"/>
          <w:sz w:val="24"/>
          <w:szCs w:val="24"/>
        </w:rPr>
        <w:t>1</w:t>
      </w:r>
      <w:r w:rsidRPr="005D2E80">
        <w:rPr>
          <w:rFonts w:ascii="Times New Roman" w:hAnsi="Times New Roman" w:cs="Times New Roman"/>
          <w:sz w:val="24"/>
          <w:szCs w:val="24"/>
        </w:rPr>
        <w:t xml:space="preserve"> Vymedzenie územia a obyvateľstva MAS</w:t>
      </w:r>
      <w:r w:rsidR="0000117E">
        <w:rPr>
          <w:rFonts w:ascii="Times New Roman" w:hAnsi="Times New Roman" w:cs="Times New Roman"/>
          <w:sz w:val="24"/>
          <w:szCs w:val="24"/>
        </w:rPr>
        <w:tab/>
      </w:r>
      <w:r w:rsidR="002A0E09">
        <w:rPr>
          <w:rFonts w:ascii="Times New Roman" w:hAnsi="Times New Roman" w:cs="Times New Roman"/>
          <w:sz w:val="24"/>
          <w:szCs w:val="24"/>
        </w:rPr>
        <w:t>8</w:t>
      </w:r>
    </w:p>
    <w:p w14:paraId="02E7D7AA" w14:textId="77777777" w:rsidR="005D2E80" w:rsidRPr="005D2E80" w:rsidRDefault="0000117E"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 2.1.</w:t>
      </w:r>
      <w:r w:rsidR="005B0404">
        <w:rPr>
          <w:rFonts w:ascii="Times New Roman" w:hAnsi="Times New Roman" w:cs="Times New Roman"/>
          <w:sz w:val="24"/>
          <w:szCs w:val="24"/>
        </w:rPr>
        <w:t>1</w:t>
      </w:r>
      <w:r w:rsidR="005D2E80" w:rsidRPr="005D2E80">
        <w:rPr>
          <w:rFonts w:ascii="Times New Roman" w:hAnsi="Times New Roman" w:cs="Times New Roman"/>
          <w:sz w:val="24"/>
          <w:szCs w:val="24"/>
        </w:rPr>
        <w:t xml:space="preserve"> Vyhodnotenie čerpania v programovom období 2007-2013</w:t>
      </w:r>
      <w:r>
        <w:rPr>
          <w:rFonts w:ascii="Times New Roman" w:hAnsi="Times New Roman" w:cs="Times New Roman"/>
          <w:sz w:val="24"/>
          <w:szCs w:val="24"/>
        </w:rPr>
        <w:tab/>
      </w:r>
      <w:r w:rsidR="00355A79">
        <w:rPr>
          <w:rFonts w:ascii="Times New Roman" w:hAnsi="Times New Roman" w:cs="Times New Roman"/>
          <w:sz w:val="24"/>
          <w:szCs w:val="24"/>
        </w:rPr>
        <w:t>1</w:t>
      </w:r>
      <w:r w:rsidR="002A0E09">
        <w:rPr>
          <w:rFonts w:ascii="Times New Roman" w:hAnsi="Times New Roman" w:cs="Times New Roman"/>
          <w:sz w:val="24"/>
          <w:szCs w:val="24"/>
        </w:rPr>
        <w:t>1</w:t>
      </w:r>
    </w:p>
    <w:p w14:paraId="134955F3" w14:textId="77777777" w:rsidR="00E5054D" w:rsidRDefault="005D2E80" w:rsidP="0000117E">
      <w:pPr>
        <w:tabs>
          <w:tab w:val="right" w:leader="dot" w:pos="9072"/>
        </w:tabs>
        <w:spacing w:after="0" w:line="360" w:lineRule="auto"/>
        <w:jc w:val="both"/>
        <w:rPr>
          <w:rFonts w:ascii="Times New Roman" w:hAnsi="Times New Roman" w:cs="Times New Roman"/>
          <w:sz w:val="24"/>
          <w:szCs w:val="24"/>
        </w:rPr>
      </w:pPr>
      <w:r w:rsidRPr="005D2E80">
        <w:rPr>
          <w:rFonts w:ascii="Times New Roman" w:hAnsi="Times New Roman" w:cs="Times New Roman"/>
          <w:sz w:val="24"/>
          <w:szCs w:val="24"/>
        </w:rPr>
        <w:t>Tabuľka 3.1.1. Štruktúra pôdneho fondu Kopaničiarskeho regiónu v roku 2014</w:t>
      </w:r>
      <w:r w:rsidR="0000117E">
        <w:rPr>
          <w:rFonts w:ascii="Times New Roman" w:hAnsi="Times New Roman" w:cs="Times New Roman"/>
          <w:sz w:val="24"/>
          <w:szCs w:val="24"/>
        </w:rPr>
        <w:tab/>
      </w:r>
      <w:r w:rsidR="002A0E09">
        <w:rPr>
          <w:rFonts w:ascii="Times New Roman" w:hAnsi="Times New Roman" w:cs="Times New Roman"/>
          <w:sz w:val="24"/>
          <w:szCs w:val="24"/>
        </w:rPr>
        <w:t>29</w:t>
      </w:r>
    </w:p>
    <w:p w14:paraId="7F72FFCD" w14:textId="77777777" w:rsidR="005D2E80" w:rsidRDefault="005D2E80" w:rsidP="0000117E">
      <w:pPr>
        <w:tabs>
          <w:tab w:val="right" w:leader="dot" w:pos="9072"/>
        </w:tabs>
        <w:spacing w:after="0" w:line="360" w:lineRule="auto"/>
        <w:jc w:val="both"/>
        <w:rPr>
          <w:rFonts w:ascii="Times New Roman" w:hAnsi="Times New Roman" w:cs="Times New Roman"/>
          <w:sz w:val="24"/>
          <w:szCs w:val="24"/>
        </w:rPr>
      </w:pPr>
      <w:r w:rsidRPr="005D2E80">
        <w:rPr>
          <w:rFonts w:ascii="Times New Roman" w:hAnsi="Times New Roman" w:cs="Times New Roman"/>
          <w:sz w:val="24"/>
          <w:szCs w:val="24"/>
        </w:rPr>
        <w:t>Tabuľka 3.1.2 Chránené územia na území Kopaničiarskeho regiónu v roku 2014</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2A0E09">
        <w:rPr>
          <w:rFonts w:ascii="Times New Roman" w:hAnsi="Times New Roman" w:cs="Times New Roman"/>
          <w:sz w:val="24"/>
          <w:szCs w:val="24"/>
        </w:rPr>
        <w:t>4</w:t>
      </w:r>
    </w:p>
    <w:p w14:paraId="79CC58F9" w14:textId="77777777" w:rsidR="005D2E80" w:rsidRPr="005D2E80" w:rsidRDefault="005D2E80" w:rsidP="0000117E">
      <w:pPr>
        <w:keepNext/>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3.1.3 Chránené stromy na území Kopaničiarskeho regiónu v roku 2014</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2A0E09">
        <w:rPr>
          <w:rFonts w:ascii="Times New Roman" w:hAnsi="Times New Roman" w:cs="Times New Roman"/>
          <w:sz w:val="24"/>
          <w:szCs w:val="24"/>
        </w:rPr>
        <w:t>5</w:t>
      </w:r>
    </w:p>
    <w:p w14:paraId="2F7E5240" w14:textId="77777777" w:rsidR="005D2E80" w:rsidRPr="005D2E80" w:rsidRDefault="005D2E80" w:rsidP="0000117E">
      <w:pPr>
        <w:keepNext/>
        <w:tabs>
          <w:tab w:val="right" w:leader="dot" w:pos="9072"/>
        </w:tabs>
        <w:spacing w:after="0" w:line="360" w:lineRule="auto"/>
        <w:jc w:val="both"/>
        <w:rPr>
          <w:rFonts w:ascii="Times New Roman" w:hAnsi="Times New Roman" w:cs="Times New Roman"/>
          <w:sz w:val="24"/>
          <w:szCs w:val="24"/>
        </w:rPr>
      </w:pPr>
      <w:r w:rsidRPr="005D2E80">
        <w:rPr>
          <w:rFonts w:ascii="Times New Roman" w:hAnsi="Times New Roman" w:cs="Times New Roman"/>
          <w:sz w:val="24"/>
          <w:szCs w:val="24"/>
        </w:rPr>
        <w:t>Tabuľka 3.1.4 Vývoj počtu obyvateľstva v Kopaničiarskom regióne</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2A0E09">
        <w:rPr>
          <w:rFonts w:ascii="Times New Roman" w:hAnsi="Times New Roman" w:cs="Times New Roman"/>
          <w:sz w:val="24"/>
          <w:szCs w:val="24"/>
        </w:rPr>
        <w:t>5</w:t>
      </w:r>
    </w:p>
    <w:p w14:paraId="1C263C97" w14:textId="77777777" w:rsidR="005D2E80" w:rsidRPr="005D2E80" w:rsidDel="009C38D1" w:rsidRDefault="005D2E80" w:rsidP="0000117E">
      <w:pPr>
        <w:tabs>
          <w:tab w:val="right" w:leader="dot" w:pos="9072"/>
        </w:tabs>
        <w:spacing w:after="0" w:line="360" w:lineRule="auto"/>
        <w:jc w:val="both"/>
        <w:rPr>
          <w:rFonts w:ascii="Times New Roman" w:hAnsi="Times New Roman" w:cs="Times New Roman"/>
          <w:sz w:val="24"/>
          <w:szCs w:val="24"/>
        </w:rPr>
      </w:pPr>
      <w:r w:rsidRPr="005D2E80">
        <w:rPr>
          <w:rFonts w:ascii="Times New Roman" w:hAnsi="Times New Roman" w:cs="Times New Roman"/>
          <w:sz w:val="24"/>
          <w:szCs w:val="24"/>
        </w:rPr>
        <w:t>Tabuľka 3.1.5 Podiel mužov a žien podľa veku v roku 2014</w:t>
      </w:r>
      <w:r w:rsidR="00EE2B7A">
        <w:rPr>
          <w:rFonts w:ascii="Times New Roman" w:hAnsi="Times New Roman" w:cs="Times New Roman"/>
          <w:sz w:val="24"/>
          <w:szCs w:val="24"/>
        </w:rPr>
        <w:tab/>
      </w:r>
      <w:r w:rsidR="00355A79">
        <w:rPr>
          <w:rFonts w:ascii="Times New Roman" w:hAnsi="Times New Roman" w:cs="Times New Roman"/>
          <w:sz w:val="24"/>
          <w:szCs w:val="24"/>
        </w:rPr>
        <w:t>3</w:t>
      </w:r>
      <w:r w:rsidR="002A0E09">
        <w:rPr>
          <w:rFonts w:ascii="Times New Roman" w:hAnsi="Times New Roman" w:cs="Times New Roman"/>
          <w:sz w:val="24"/>
          <w:szCs w:val="24"/>
        </w:rPr>
        <w:t>7</w:t>
      </w:r>
    </w:p>
    <w:p w14:paraId="01EF3072" w14:textId="77777777" w:rsidR="005D2E80" w:rsidRPr="005D2E80" w:rsidDel="009C38D1" w:rsidRDefault="005D2E80" w:rsidP="0000117E">
      <w:pPr>
        <w:keepNext/>
        <w:tabs>
          <w:tab w:val="right" w:leader="dot" w:pos="9072"/>
        </w:tabs>
        <w:spacing w:after="0" w:line="360" w:lineRule="auto"/>
        <w:jc w:val="both"/>
        <w:rPr>
          <w:rFonts w:ascii="Times New Roman" w:hAnsi="Times New Roman" w:cs="Times New Roman"/>
          <w:sz w:val="24"/>
          <w:szCs w:val="24"/>
        </w:rPr>
      </w:pPr>
      <w:r w:rsidRPr="005D2E80">
        <w:rPr>
          <w:rFonts w:ascii="Times New Roman" w:hAnsi="Times New Roman" w:cs="Times New Roman"/>
          <w:sz w:val="24"/>
          <w:szCs w:val="24"/>
        </w:rPr>
        <w:t>Tabuľka 3.1.6 Štruktúra populácie podľa produktívnosti v roku 2014</w:t>
      </w:r>
      <w:r w:rsidR="00EE2B7A">
        <w:rPr>
          <w:rFonts w:ascii="Times New Roman" w:hAnsi="Times New Roman" w:cs="Times New Roman"/>
          <w:sz w:val="24"/>
          <w:szCs w:val="24"/>
        </w:rPr>
        <w:tab/>
      </w:r>
      <w:r w:rsidR="00355A79">
        <w:rPr>
          <w:rFonts w:ascii="Times New Roman" w:hAnsi="Times New Roman" w:cs="Times New Roman"/>
          <w:sz w:val="24"/>
          <w:szCs w:val="24"/>
        </w:rPr>
        <w:t>38</w:t>
      </w:r>
    </w:p>
    <w:p w14:paraId="502232BF"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3.1.7 Pohyb obyvateľstva v Kopaničiarskom regióne za roky 1996-2014</w:t>
      </w:r>
      <w:r w:rsidR="00EE2B7A">
        <w:rPr>
          <w:rFonts w:ascii="Times New Roman" w:hAnsi="Times New Roman" w:cs="Times New Roman"/>
          <w:sz w:val="24"/>
          <w:szCs w:val="24"/>
        </w:rPr>
        <w:tab/>
      </w:r>
      <w:r w:rsidR="00355A79">
        <w:rPr>
          <w:rFonts w:ascii="Times New Roman" w:hAnsi="Times New Roman" w:cs="Times New Roman"/>
          <w:sz w:val="24"/>
          <w:szCs w:val="24"/>
        </w:rPr>
        <w:t>39</w:t>
      </w:r>
    </w:p>
    <w:p w14:paraId="4B019F1B" w14:textId="77777777" w:rsidR="005D2E80" w:rsidRPr="005D2E80" w:rsidRDefault="005D2E80" w:rsidP="0000117E">
      <w:pPr>
        <w:tabs>
          <w:tab w:val="right" w:leader="dot" w:pos="9072"/>
        </w:tabs>
        <w:spacing w:after="0" w:line="360" w:lineRule="auto"/>
        <w:ind w:left="1418" w:hanging="1418"/>
        <w:rPr>
          <w:rFonts w:ascii="Times New Roman" w:hAnsi="Times New Roman" w:cs="Times New Roman"/>
          <w:sz w:val="24"/>
          <w:szCs w:val="24"/>
        </w:rPr>
      </w:pPr>
      <w:r w:rsidRPr="005D2E80">
        <w:rPr>
          <w:rFonts w:ascii="Times New Roman" w:hAnsi="Times New Roman" w:cs="Times New Roman"/>
          <w:sz w:val="24"/>
          <w:szCs w:val="24"/>
        </w:rPr>
        <w:t>T</w:t>
      </w:r>
      <w:r w:rsidR="004B7EF4">
        <w:rPr>
          <w:rFonts w:ascii="Times New Roman" w:hAnsi="Times New Roman" w:cs="Times New Roman"/>
          <w:sz w:val="24"/>
          <w:szCs w:val="24"/>
        </w:rPr>
        <w:t>abuľka 3.1.8</w:t>
      </w:r>
      <w:r w:rsidRPr="005D2E80">
        <w:rPr>
          <w:rFonts w:ascii="Times New Roman" w:hAnsi="Times New Roman" w:cs="Times New Roman"/>
          <w:sz w:val="24"/>
          <w:szCs w:val="24"/>
        </w:rPr>
        <w:t xml:space="preserve"> Národnostné zloženie obyvateľstva Kopaničiarskeho regiónu v roku 2011 (%)</w:t>
      </w:r>
      <w:r w:rsidR="00EE2B7A">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1</w:t>
      </w:r>
      <w:r w:rsidRPr="005D2E80">
        <w:rPr>
          <w:rFonts w:ascii="Times New Roman" w:hAnsi="Times New Roman" w:cs="Times New Roman"/>
          <w:sz w:val="24"/>
          <w:szCs w:val="24"/>
        </w:rPr>
        <w:t xml:space="preserve"> </w:t>
      </w:r>
    </w:p>
    <w:p w14:paraId="1841B7DC" w14:textId="77777777" w:rsidR="005D2E80" w:rsidRPr="005D2E80" w:rsidRDefault="005D2E80" w:rsidP="0000117E">
      <w:pPr>
        <w:keepNext/>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3.1.9 Vierovyznanie v Kop</w:t>
      </w:r>
      <w:r w:rsidR="004B7EF4">
        <w:rPr>
          <w:rFonts w:ascii="Times New Roman" w:hAnsi="Times New Roman" w:cs="Times New Roman"/>
          <w:sz w:val="24"/>
          <w:szCs w:val="24"/>
        </w:rPr>
        <w:t>aničiarskom  regióne v roku 2011</w:t>
      </w:r>
      <w:r w:rsidR="00EE2B7A">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2</w:t>
      </w:r>
    </w:p>
    <w:p w14:paraId="2C373FBA" w14:textId="77777777" w:rsidR="005D2E80" w:rsidRPr="005D2E80" w:rsidRDefault="004B7EF4" w:rsidP="0000117E">
      <w:pPr>
        <w:tabs>
          <w:tab w:val="right" w:leader="dot" w:pos="907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Tabuľka 3.1.10</w:t>
      </w:r>
      <w:r w:rsidR="005D2E80" w:rsidRPr="005D2E80">
        <w:rPr>
          <w:rFonts w:ascii="Times New Roman" w:hAnsi="Times New Roman" w:cs="Times New Roman"/>
          <w:sz w:val="24"/>
          <w:szCs w:val="24"/>
        </w:rPr>
        <w:t xml:space="preserve"> Vzdelanostná štruktúra obyvateľstva Kopaničiarskeho regiónu v roku 2011</w:t>
      </w:r>
      <w:r w:rsidR="00EE2B7A">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4</w:t>
      </w:r>
      <w:r w:rsidR="005D2E80" w:rsidRPr="005D2E80">
        <w:rPr>
          <w:rFonts w:ascii="Times New Roman" w:hAnsi="Times New Roman" w:cs="Times New Roman"/>
          <w:sz w:val="24"/>
          <w:szCs w:val="24"/>
        </w:rPr>
        <w:t xml:space="preserve"> </w:t>
      </w:r>
    </w:p>
    <w:p w14:paraId="5E947D03" w14:textId="77777777" w:rsidR="005D2E80" w:rsidRPr="005D2E80" w:rsidRDefault="004B7EF4"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 3.1.11</w:t>
      </w:r>
      <w:r w:rsidR="005D2E80" w:rsidRPr="005D2E80">
        <w:rPr>
          <w:rFonts w:ascii="Times New Roman" w:hAnsi="Times New Roman" w:cs="Times New Roman"/>
          <w:sz w:val="24"/>
          <w:szCs w:val="24"/>
        </w:rPr>
        <w:t xml:space="preserve"> Prehľad zručností obyvateľstva Kopaničiarskeho regiónu</w:t>
      </w:r>
      <w:r w:rsidR="00EE2B7A">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5</w:t>
      </w:r>
      <w:r w:rsidRPr="005D2E80">
        <w:rPr>
          <w:rFonts w:ascii="Times New Roman" w:hAnsi="Times New Roman" w:cs="Times New Roman"/>
          <w:sz w:val="24"/>
          <w:szCs w:val="24"/>
        </w:rPr>
        <w:t xml:space="preserve"> </w:t>
      </w:r>
    </w:p>
    <w:p w14:paraId="018CD002"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w:t>
      </w:r>
      <w:r>
        <w:rPr>
          <w:rFonts w:ascii="Times New Roman" w:hAnsi="Times New Roman" w:cs="Times New Roman"/>
          <w:sz w:val="24"/>
          <w:szCs w:val="24"/>
        </w:rPr>
        <w:t xml:space="preserve"> </w:t>
      </w:r>
      <w:r w:rsidRPr="005D2E80">
        <w:rPr>
          <w:rFonts w:ascii="Times New Roman" w:hAnsi="Times New Roman" w:cs="Times New Roman"/>
          <w:sz w:val="24"/>
          <w:szCs w:val="24"/>
        </w:rPr>
        <w:t>3.1.12 Vývoj počtu tried, žiakov a pracovníkov v materských školách</w:t>
      </w:r>
      <w:r w:rsidR="004561F3">
        <w:rPr>
          <w:rFonts w:ascii="Times New Roman" w:hAnsi="Times New Roman" w:cs="Times New Roman"/>
          <w:sz w:val="24"/>
          <w:szCs w:val="24"/>
        </w:rPr>
        <w:t xml:space="preserve"> </w:t>
      </w:r>
      <w:r w:rsidRPr="005D2E80">
        <w:rPr>
          <w:rFonts w:ascii="Times New Roman" w:hAnsi="Times New Roman" w:cs="Times New Roman"/>
          <w:sz w:val="24"/>
          <w:szCs w:val="24"/>
        </w:rPr>
        <w:t>Kopaničiarskeho regiónu v rokoch 1996/1997 – 2014/2015</w:t>
      </w:r>
      <w:r w:rsidR="00EE2B7A">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7</w:t>
      </w:r>
    </w:p>
    <w:p w14:paraId="12149021"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3.1.13 Vývoj počtu tried, žiakov a pracovníkov v základných školách Kopaničiarskeho regiónu za roky 1996/1997 – 2008/2009</w:t>
      </w:r>
      <w:r w:rsidR="004B7EF4">
        <w:rPr>
          <w:rFonts w:ascii="Times New Roman" w:hAnsi="Times New Roman" w:cs="Times New Roman"/>
          <w:sz w:val="24"/>
          <w:szCs w:val="24"/>
        </w:rPr>
        <w:tab/>
      </w:r>
      <w:r w:rsidR="00355A79">
        <w:rPr>
          <w:rFonts w:ascii="Times New Roman" w:hAnsi="Times New Roman" w:cs="Times New Roman"/>
          <w:sz w:val="24"/>
          <w:szCs w:val="24"/>
        </w:rPr>
        <w:t>4</w:t>
      </w:r>
      <w:r w:rsidR="002A0E09">
        <w:rPr>
          <w:rFonts w:ascii="Times New Roman" w:hAnsi="Times New Roman" w:cs="Times New Roman"/>
          <w:sz w:val="24"/>
          <w:szCs w:val="24"/>
        </w:rPr>
        <w:t>8</w:t>
      </w:r>
    </w:p>
    <w:p w14:paraId="39EA0CB2" w14:textId="77777777" w:rsidR="005D2E80" w:rsidRPr="005D2E80" w:rsidRDefault="0000117E" w:rsidP="0000117E">
      <w:pPr>
        <w:tabs>
          <w:tab w:val="right" w:leader="dot" w:pos="9072"/>
        </w:tabs>
        <w:spacing w:after="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Tabuľka 3.1.14</w:t>
      </w:r>
      <w:r w:rsidR="005D2E80" w:rsidRPr="005D2E80">
        <w:rPr>
          <w:rFonts w:ascii="Times New Roman" w:hAnsi="Times New Roman" w:cs="Times New Roman"/>
          <w:sz w:val="24"/>
          <w:szCs w:val="24"/>
        </w:rPr>
        <w:t xml:space="preserve"> Vývoj počtu tried, žiakov a pracovníkov na stredných školách a v gymnáziu  Kopaničiarskeho regiónu za roky 1996/1997 – 2008/2009</w:t>
      </w:r>
      <w:r>
        <w:rPr>
          <w:rFonts w:ascii="Times New Roman" w:hAnsi="Times New Roman" w:cs="Times New Roman"/>
          <w:sz w:val="24"/>
          <w:szCs w:val="24"/>
        </w:rPr>
        <w:tab/>
      </w:r>
      <w:r w:rsidR="002A0E09">
        <w:rPr>
          <w:rFonts w:ascii="Times New Roman" w:hAnsi="Times New Roman" w:cs="Times New Roman"/>
          <w:sz w:val="24"/>
          <w:szCs w:val="24"/>
        </w:rPr>
        <w:t>49</w:t>
      </w:r>
    </w:p>
    <w:p w14:paraId="62F5CB50" w14:textId="77777777" w:rsidR="005D2E80" w:rsidRPr="005D2E80" w:rsidRDefault="0000117E" w:rsidP="0000117E">
      <w:pPr>
        <w:tabs>
          <w:tab w:val="right" w:leader="dot" w:pos="907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Tabuľka 3.1.15</w:t>
      </w:r>
      <w:r w:rsidR="005D2E80" w:rsidRPr="005D2E80">
        <w:rPr>
          <w:rFonts w:ascii="Times New Roman" w:hAnsi="Times New Roman" w:cs="Times New Roman"/>
          <w:sz w:val="24"/>
          <w:szCs w:val="24"/>
        </w:rPr>
        <w:t xml:space="preserve"> Zastúpenie zdravotníckych zariadení v MAS v roku 2014</w:t>
      </w:r>
      <w:r w:rsidR="004561F3">
        <w:rPr>
          <w:rFonts w:ascii="Times New Roman" w:hAnsi="Times New Roman" w:cs="Times New Roman"/>
          <w:sz w:val="24"/>
          <w:szCs w:val="24"/>
        </w:rPr>
        <w:t>.............................</w:t>
      </w:r>
      <w:r>
        <w:rPr>
          <w:rFonts w:ascii="Times New Roman" w:hAnsi="Times New Roman" w:cs="Times New Roman"/>
          <w:sz w:val="24"/>
          <w:szCs w:val="24"/>
        </w:rPr>
        <w:tab/>
      </w:r>
      <w:r w:rsidR="00355A79">
        <w:rPr>
          <w:rFonts w:ascii="Times New Roman" w:hAnsi="Times New Roman" w:cs="Times New Roman"/>
          <w:sz w:val="24"/>
          <w:szCs w:val="24"/>
        </w:rPr>
        <w:t>5</w:t>
      </w:r>
      <w:r w:rsidR="002A0E09">
        <w:rPr>
          <w:rFonts w:ascii="Times New Roman" w:hAnsi="Times New Roman" w:cs="Times New Roman"/>
          <w:sz w:val="24"/>
          <w:szCs w:val="24"/>
        </w:rPr>
        <w:t>0</w:t>
      </w:r>
    </w:p>
    <w:p w14:paraId="0A859887"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3.1.16 Zariadenia sociálnej starostlivosti v Kopaničiarskom regióne v roku 2014</w:t>
      </w:r>
      <w:r w:rsidR="0000117E">
        <w:rPr>
          <w:rFonts w:ascii="Times New Roman" w:hAnsi="Times New Roman" w:cs="Times New Roman"/>
          <w:sz w:val="24"/>
          <w:szCs w:val="24"/>
        </w:rPr>
        <w:tab/>
      </w:r>
      <w:r w:rsidR="00355A79">
        <w:rPr>
          <w:rFonts w:ascii="Times New Roman" w:hAnsi="Times New Roman" w:cs="Times New Roman"/>
          <w:sz w:val="24"/>
          <w:szCs w:val="24"/>
        </w:rPr>
        <w:t>5</w:t>
      </w:r>
      <w:r w:rsidR="002A0E09">
        <w:rPr>
          <w:rFonts w:ascii="Times New Roman" w:hAnsi="Times New Roman" w:cs="Times New Roman"/>
          <w:sz w:val="24"/>
          <w:szCs w:val="24"/>
        </w:rPr>
        <w:t>1</w:t>
      </w:r>
    </w:p>
    <w:p w14:paraId="42392C10" w14:textId="77777777" w:rsidR="005D2E80" w:rsidRPr="005D2E80" w:rsidRDefault="005D2E80" w:rsidP="0000117E">
      <w:pPr>
        <w:pStyle w:val="Zarkazkladnhotextu"/>
        <w:tabs>
          <w:tab w:val="right" w:leader="dot" w:pos="9072"/>
        </w:tabs>
        <w:spacing w:after="0" w:line="360" w:lineRule="auto"/>
        <w:ind w:left="1560" w:hanging="1560"/>
      </w:pPr>
      <w:r w:rsidRPr="005D2E80">
        <w:t>Tabuľka 3.1.17 Subjekty v Kopaničiarskom regióne  poskytujúce opatrovateľskú službu, prepravnú službu a organizovanie spoločného stravovania v roku 2014</w:t>
      </w:r>
      <w:r w:rsidR="0000117E">
        <w:tab/>
      </w:r>
      <w:r w:rsidR="00355A79">
        <w:t>5</w:t>
      </w:r>
      <w:r w:rsidR="002A0E09">
        <w:t>2</w:t>
      </w:r>
    </w:p>
    <w:p w14:paraId="265C446C" w14:textId="77777777" w:rsidR="005D2E80" w:rsidRPr="005D2E80" w:rsidRDefault="005D2E80" w:rsidP="0000117E">
      <w:pPr>
        <w:keepNext/>
        <w:tabs>
          <w:tab w:val="right" w:leader="dot" w:pos="9072"/>
        </w:tabs>
        <w:spacing w:after="0" w:line="360" w:lineRule="auto"/>
        <w:rPr>
          <w:rFonts w:ascii="Times New Roman" w:eastAsia="Times New Roman" w:hAnsi="Times New Roman" w:cs="Times New Roman"/>
          <w:sz w:val="24"/>
          <w:szCs w:val="24"/>
          <w:lang w:eastAsia="sk-SK"/>
        </w:rPr>
      </w:pPr>
      <w:r w:rsidRPr="005D2E80">
        <w:rPr>
          <w:rFonts w:ascii="Times New Roman" w:eastAsia="Times New Roman" w:hAnsi="Times New Roman" w:cs="Times New Roman"/>
          <w:sz w:val="24"/>
          <w:szCs w:val="24"/>
          <w:lang w:eastAsia="sk-SK"/>
        </w:rPr>
        <w:t>Tabuľka 3.1.18 Prehľad národných kultúrnych pamiatok v Kopaničiarskom regióne</w:t>
      </w:r>
      <w:r w:rsidR="0000117E">
        <w:rPr>
          <w:rFonts w:ascii="Times New Roman" w:eastAsia="Times New Roman" w:hAnsi="Times New Roman" w:cs="Times New Roman"/>
          <w:sz w:val="24"/>
          <w:szCs w:val="24"/>
          <w:lang w:eastAsia="sk-SK"/>
        </w:rPr>
        <w:tab/>
      </w:r>
      <w:r w:rsidR="00355A79">
        <w:rPr>
          <w:rFonts w:ascii="Times New Roman" w:eastAsia="Times New Roman" w:hAnsi="Times New Roman" w:cs="Times New Roman"/>
          <w:sz w:val="24"/>
          <w:szCs w:val="24"/>
          <w:lang w:eastAsia="sk-SK"/>
        </w:rPr>
        <w:t>5</w:t>
      </w:r>
      <w:r w:rsidR="002A0E09">
        <w:rPr>
          <w:rFonts w:ascii="Times New Roman" w:eastAsia="Times New Roman" w:hAnsi="Times New Roman" w:cs="Times New Roman"/>
          <w:sz w:val="24"/>
          <w:szCs w:val="24"/>
          <w:lang w:eastAsia="sk-SK"/>
        </w:rPr>
        <w:t>2</w:t>
      </w:r>
    </w:p>
    <w:p w14:paraId="3CB99836"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3.1.19 Trvalo obývané domy a byty v Kopaničiarskom regióne v roku 2011</w:t>
      </w:r>
      <w:r w:rsidR="0000117E">
        <w:rPr>
          <w:rFonts w:ascii="Times New Roman" w:hAnsi="Times New Roman" w:cs="Times New Roman"/>
          <w:sz w:val="24"/>
          <w:szCs w:val="24"/>
        </w:rPr>
        <w:tab/>
      </w:r>
      <w:r w:rsidR="00355A79">
        <w:rPr>
          <w:rFonts w:ascii="Times New Roman" w:hAnsi="Times New Roman" w:cs="Times New Roman"/>
          <w:sz w:val="24"/>
          <w:szCs w:val="24"/>
        </w:rPr>
        <w:t>5</w:t>
      </w:r>
      <w:r w:rsidR="002A0E09">
        <w:rPr>
          <w:rFonts w:ascii="Times New Roman" w:hAnsi="Times New Roman" w:cs="Times New Roman"/>
          <w:sz w:val="24"/>
          <w:szCs w:val="24"/>
        </w:rPr>
        <w:t>4</w:t>
      </w:r>
    </w:p>
    <w:p w14:paraId="37111334"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3.1.20 Ubytovacie zariadenia v Kopaničiarskom regióne v roku 2014</w:t>
      </w:r>
      <w:r w:rsidR="004561F3">
        <w:rPr>
          <w:rFonts w:ascii="Times New Roman" w:hAnsi="Times New Roman" w:cs="Times New Roman"/>
          <w:sz w:val="24"/>
          <w:szCs w:val="24"/>
        </w:rPr>
        <w:t>......................</w:t>
      </w:r>
      <w:r w:rsidR="0000117E">
        <w:rPr>
          <w:rFonts w:ascii="Times New Roman" w:hAnsi="Times New Roman" w:cs="Times New Roman"/>
          <w:sz w:val="24"/>
          <w:szCs w:val="24"/>
        </w:rPr>
        <w:tab/>
      </w:r>
      <w:r w:rsidR="002A0E09">
        <w:rPr>
          <w:rFonts w:ascii="Times New Roman" w:hAnsi="Times New Roman" w:cs="Times New Roman"/>
          <w:sz w:val="24"/>
          <w:szCs w:val="24"/>
        </w:rPr>
        <w:t>59</w:t>
      </w:r>
    </w:p>
    <w:p w14:paraId="251A8596"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w:t>
      </w:r>
      <w:r w:rsidR="005B0404">
        <w:rPr>
          <w:rFonts w:ascii="Times New Roman" w:hAnsi="Times New Roman" w:cs="Times New Roman"/>
          <w:sz w:val="24"/>
          <w:szCs w:val="24"/>
        </w:rPr>
        <w:t>1</w:t>
      </w:r>
      <w:r w:rsidRPr="005D2E80">
        <w:rPr>
          <w:rFonts w:ascii="Times New Roman" w:hAnsi="Times New Roman" w:cs="Times New Roman"/>
          <w:sz w:val="24"/>
          <w:szCs w:val="24"/>
        </w:rPr>
        <w:t>.21 Voľné budovy v Kopaničiarskom regióne v roku 2014</w:t>
      </w:r>
      <w:r w:rsidR="0000117E">
        <w:rPr>
          <w:rFonts w:ascii="Times New Roman" w:hAnsi="Times New Roman" w:cs="Times New Roman"/>
          <w:sz w:val="24"/>
          <w:szCs w:val="24"/>
        </w:rPr>
        <w:tab/>
      </w:r>
      <w:r w:rsidR="00355A79">
        <w:rPr>
          <w:rFonts w:ascii="Times New Roman" w:hAnsi="Times New Roman" w:cs="Times New Roman"/>
          <w:sz w:val="24"/>
          <w:szCs w:val="24"/>
        </w:rPr>
        <w:t>6</w:t>
      </w:r>
      <w:r w:rsidR="002A0E09">
        <w:rPr>
          <w:rFonts w:ascii="Times New Roman" w:hAnsi="Times New Roman" w:cs="Times New Roman"/>
          <w:sz w:val="24"/>
          <w:szCs w:val="24"/>
        </w:rPr>
        <w:t>0</w:t>
      </w:r>
    </w:p>
    <w:p w14:paraId="0583A137"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3.1.22 Majetok obcí Kopaničiarskeho regiónu k 31.12.2014</w:t>
      </w:r>
      <w:r w:rsidR="0000117E">
        <w:rPr>
          <w:rFonts w:ascii="Times New Roman" w:hAnsi="Times New Roman" w:cs="Times New Roman"/>
          <w:sz w:val="24"/>
          <w:szCs w:val="24"/>
        </w:rPr>
        <w:tab/>
      </w:r>
      <w:r w:rsidR="00355A79">
        <w:rPr>
          <w:rFonts w:ascii="Times New Roman" w:hAnsi="Times New Roman" w:cs="Times New Roman"/>
          <w:sz w:val="24"/>
          <w:szCs w:val="24"/>
        </w:rPr>
        <w:t>6</w:t>
      </w:r>
      <w:r w:rsidR="002A0E09">
        <w:rPr>
          <w:rFonts w:ascii="Times New Roman" w:hAnsi="Times New Roman" w:cs="Times New Roman"/>
          <w:sz w:val="24"/>
          <w:szCs w:val="24"/>
        </w:rPr>
        <w:t>1</w:t>
      </w:r>
    </w:p>
    <w:p w14:paraId="25CC66AA"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3.1.23 Investičné aktivity obcí Kopaničiarskeho regiónu za posledných 5 rokov (v EUR)</w:t>
      </w:r>
      <w:r w:rsidR="0000117E">
        <w:rPr>
          <w:rFonts w:ascii="Times New Roman" w:hAnsi="Times New Roman" w:cs="Times New Roman"/>
          <w:sz w:val="24"/>
          <w:szCs w:val="24"/>
        </w:rPr>
        <w:tab/>
      </w:r>
      <w:r w:rsidR="00355A79">
        <w:rPr>
          <w:rFonts w:ascii="Times New Roman" w:hAnsi="Times New Roman" w:cs="Times New Roman"/>
          <w:sz w:val="24"/>
          <w:szCs w:val="24"/>
        </w:rPr>
        <w:t>6</w:t>
      </w:r>
      <w:r w:rsidR="002A0E09">
        <w:rPr>
          <w:rFonts w:ascii="Times New Roman" w:hAnsi="Times New Roman" w:cs="Times New Roman"/>
          <w:sz w:val="24"/>
          <w:szCs w:val="24"/>
        </w:rPr>
        <w:t>2</w:t>
      </w:r>
    </w:p>
    <w:p w14:paraId="2D8B5DA1" w14:textId="77777777" w:rsidR="005D2E80" w:rsidRPr="005D2E80" w:rsidRDefault="005D2E80" w:rsidP="0000117E">
      <w:pPr>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3.1.24 Budúce plánované aktivity v Kopaničiarskom regióne</w:t>
      </w:r>
      <w:r w:rsidR="0000117E">
        <w:rPr>
          <w:rFonts w:ascii="Times New Roman" w:hAnsi="Times New Roman" w:cs="Times New Roman"/>
          <w:sz w:val="24"/>
          <w:szCs w:val="24"/>
        </w:rPr>
        <w:tab/>
      </w:r>
      <w:r w:rsidR="00355A79">
        <w:rPr>
          <w:rFonts w:ascii="Times New Roman" w:hAnsi="Times New Roman" w:cs="Times New Roman"/>
          <w:sz w:val="24"/>
          <w:szCs w:val="24"/>
        </w:rPr>
        <w:t>6</w:t>
      </w:r>
      <w:r w:rsidR="002A0E09">
        <w:rPr>
          <w:rFonts w:ascii="Times New Roman" w:hAnsi="Times New Roman" w:cs="Times New Roman"/>
          <w:sz w:val="24"/>
          <w:szCs w:val="24"/>
        </w:rPr>
        <w:t>3</w:t>
      </w:r>
    </w:p>
    <w:p w14:paraId="5693A31B"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lastRenderedPageBreak/>
        <w:t>Tabuľka 3.1.25 Štruktúra podnikateľských subjektov v Kopaničiarskom regióne podľa OKEČ v roku 20</w:t>
      </w:r>
      <w:r w:rsidR="005B0404">
        <w:rPr>
          <w:rFonts w:ascii="Times New Roman" w:hAnsi="Times New Roman" w:cs="Times New Roman"/>
          <w:sz w:val="24"/>
          <w:szCs w:val="24"/>
        </w:rPr>
        <w:t>14</w:t>
      </w:r>
      <w:r w:rsidR="0000117E">
        <w:rPr>
          <w:rFonts w:ascii="Times New Roman" w:hAnsi="Times New Roman" w:cs="Times New Roman"/>
          <w:sz w:val="24"/>
          <w:szCs w:val="24"/>
        </w:rPr>
        <w:tab/>
      </w:r>
      <w:r w:rsidR="00355A79">
        <w:rPr>
          <w:rFonts w:ascii="Times New Roman" w:hAnsi="Times New Roman" w:cs="Times New Roman"/>
          <w:sz w:val="24"/>
          <w:szCs w:val="24"/>
        </w:rPr>
        <w:t>6</w:t>
      </w:r>
      <w:r w:rsidR="002A0E09">
        <w:rPr>
          <w:rFonts w:ascii="Times New Roman" w:hAnsi="Times New Roman" w:cs="Times New Roman"/>
          <w:sz w:val="24"/>
          <w:szCs w:val="24"/>
        </w:rPr>
        <w:t>8</w:t>
      </w:r>
    </w:p>
    <w:p w14:paraId="78E536CB"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3.1.26 Podnikateľské subjekty podľa veľkostného členenia podnikov v Kopaničiarskom regióne v roku 20</w:t>
      </w:r>
      <w:r w:rsidR="005B0404">
        <w:rPr>
          <w:rFonts w:ascii="Times New Roman" w:hAnsi="Times New Roman" w:cs="Times New Roman"/>
          <w:sz w:val="24"/>
          <w:szCs w:val="24"/>
        </w:rPr>
        <w:t>14</w:t>
      </w:r>
      <w:r w:rsidR="0000117E">
        <w:rPr>
          <w:rFonts w:ascii="Times New Roman" w:hAnsi="Times New Roman" w:cs="Times New Roman"/>
          <w:sz w:val="24"/>
          <w:szCs w:val="24"/>
        </w:rPr>
        <w:tab/>
      </w:r>
      <w:r w:rsidR="002A0E09">
        <w:rPr>
          <w:rFonts w:ascii="Times New Roman" w:hAnsi="Times New Roman" w:cs="Times New Roman"/>
          <w:sz w:val="24"/>
          <w:szCs w:val="24"/>
        </w:rPr>
        <w:t>69</w:t>
      </w:r>
    </w:p>
    <w:p w14:paraId="0C7410D8"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3.1.27 Bývajúce obyvateľstvo ekonomicky aktívne podľa odvetvia hospodárstva v roku 2014</w:t>
      </w:r>
      <w:r w:rsidR="0000117E">
        <w:rPr>
          <w:rFonts w:ascii="Times New Roman" w:hAnsi="Times New Roman" w:cs="Times New Roman"/>
          <w:sz w:val="24"/>
          <w:szCs w:val="24"/>
        </w:rPr>
        <w:tab/>
      </w:r>
      <w:r w:rsidR="00355A79">
        <w:rPr>
          <w:rFonts w:ascii="Times New Roman" w:hAnsi="Times New Roman" w:cs="Times New Roman"/>
          <w:sz w:val="24"/>
          <w:szCs w:val="24"/>
        </w:rPr>
        <w:t>7</w:t>
      </w:r>
      <w:r w:rsidR="002A0E09">
        <w:rPr>
          <w:rFonts w:ascii="Times New Roman" w:hAnsi="Times New Roman" w:cs="Times New Roman"/>
          <w:sz w:val="24"/>
          <w:szCs w:val="24"/>
        </w:rPr>
        <w:t>2</w:t>
      </w:r>
    </w:p>
    <w:p w14:paraId="5BB6F520" w14:textId="77777777" w:rsidR="005D2E80" w:rsidRPr="005D2E80" w:rsidRDefault="005D2E80" w:rsidP="0000117E">
      <w:pPr>
        <w:keepNext/>
        <w:tabs>
          <w:tab w:val="right" w:leader="dot" w:pos="9072"/>
        </w:tabs>
        <w:spacing w:after="0" w:line="360" w:lineRule="auto"/>
        <w:rPr>
          <w:rFonts w:ascii="Times New Roman" w:hAnsi="Times New Roman" w:cs="Times New Roman"/>
          <w:sz w:val="24"/>
          <w:szCs w:val="24"/>
        </w:rPr>
      </w:pPr>
      <w:r w:rsidRPr="005D2E80">
        <w:rPr>
          <w:rFonts w:ascii="Times New Roman" w:hAnsi="Times New Roman" w:cs="Times New Roman"/>
          <w:sz w:val="24"/>
          <w:szCs w:val="24"/>
        </w:rPr>
        <w:t>Tabuľka 3.1.28 Miera nezamestnanosti v okrese Myjava v rokoch 2004-2014 v %</w:t>
      </w:r>
      <w:r w:rsidR="0000117E">
        <w:rPr>
          <w:rFonts w:ascii="Times New Roman" w:hAnsi="Times New Roman" w:cs="Times New Roman"/>
          <w:sz w:val="24"/>
          <w:szCs w:val="24"/>
        </w:rPr>
        <w:tab/>
      </w:r>
      <w:r w:rsidR="00355A79">
        <w:rPr>
          <w:rFonts w:ascii="Times New Roman" w:hAnsi="Times New Roman" w:cs="Times New Roman"/>
          <w:sz w:val="24"/>
          <w:szCs w:val="24"/>
        </w:rPr>
        <w:t>7</w:t>
      </w:r>
      <w:r w:rsidR="002A0E09">
        <w:rPr>
          <w:rFonts w:ascii="Times New Roman" w:hAnsi="Times New Roman" w:cs="Times New Roman"/>
          <w:sz w:val="24"/>
          <w:szCs w:val="24"/>
        </w:rPr>
        <w:t>3</w:t>
      </w:r>
    </w:p>
    <w:p w14:paraId="14E6B17B"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3.1.29 Počet uchádzačov o zamestnanie v Kopaničiarskom regióne v rokoch 2007 – 2014</w:t>
      </w:r>
      <w:r w:rsidR="0000117E">
        <w:rPr>
          <w:rFonts w:ascii="Times New Roman" w:hAnsi="Times New Roman" w:cs="Times New Roman"/>
          <w:sz w:val="24"/>
          <w:szCs w:val="24"/>
        </w:rPr>
        <w:tab/>
      </w:r>
      <w:r w:rsidR="00355A79">
        <w:rPr>
          <w:rFonts w:ascii="Times New Roman" w:hAnsi="Times New Roman" w:cs="Times New Roman"/>
          <w:sz w:val="24"/>
          <w:szCs w:val="24"/>
        </w:rPr>
        <w:t>7</w:t>
      </w:r>
      <w:r w:rsidR="002A0E09">
        <w:rPr>
          <w:rFonts w:ascii="Times New Roman" w:hAnsi="Times New Roman" w:cs="Times New Roman"/>
          <w:sz w:val="24"/>
          <w:szCs w:val="24"/>
        </w:rPr>
        <w:t>3</w:t>
      </w:r>
    </w:p>
    <w:p w14:paraId="713381E4" w14:textId="77777777" w:rsidR="005D2E80" w:rsidRPr="005D2E80" w:rsidRDefault="005D2E80" w:rsidP="0000117E">
      <w:pPr>
        <w:shd w:val="clear" w:color="auto" w:fill="FFFFFF"/>
        <w:tabs>
          <w:tab w:val="right" w:leader="dot" w:pos="9072"/>
        </w:tabs>
        <w:spacing w:after="0" w:line="360" w:lineRule="auto"/>
        <w:ind w:left="1560" w:hanging="1560"/>
        <w:rPr>
          <w:rFonts w:ascii="Times New Roman" w:eastAsia="Times New Roman" w:hAnsi="Times New Roman" w:cs="Times New Roman"/>
          <w:color w:val="222222"/>
          <w:sz w:val="24"/>
          <w:szCs w:val="24"/>
          <w:lang w:eastAsia="sk-SK"/>
        </w:rPr>
      </w:pPr>
      <w:r w:rsidRPr="005D2E80">
        <w:rPr>
          <w:rFonts w:ascii="Times New Roman" w:eastAsia="Times New Roman" w:hAnsi="Times New Roman" w:cs="Times New Roman"/>
          <w:bCs/>
          <w:color w:val="222222"/>
          <w:sz w:val="24"/>
          <w:szCs w:val="24"/>
          <w:lang w:eastAsia="sk-SK"/>
        </w:rPr>
        <w:t>Tabuľka 3.1.30 Počet uchádzačov o zamestnanie v Kopaničiarskom regióne v roku 2014 podľa veku uchádzačov</w:t>
      </w:r>
      <w:r w:rsidR="0000117E">
        <w:rPr>
          <w:rFonts w:ascii="Times New Roman" w:eastAsia="Times New Roman" w:hAnsi="Times New Roman" w:cs="Times New Roman"/>
          <w:bCs/>
          <w:color w:val="222222"/>
          <w:sz w:val="24"/>
          <w:szCs w:val="24"/>
          <w:lang w:eastAsia="sk-SK"/>
        </w:rPr>
        <w:tab/>
      </w:r>
      <w:r w:rsidR="00355A79">
        <w:rPr>
          <w:rFonts w:ascii="Times New Roman" w:eastAsia="Times New Roman" w:hAnsi="Times New Roman" w:cs="Times New Roman"/>
          <w:bCs/>
          <w:color w:val="222222"/>
          <w:sz w:val="24"/>
          <w:szCs w:val="24"/>
          <w:lang w:eastAsia="sk-SK"/>
        </w:rPr>
        <w:t>7</w:t>
      </w:r>
      <w:r w:rsidR="002A0E09">
        <w:rPr>
          <w:rFonts w:ascii="Times New Roman" w:eastAsia="Times New Roman" w:hAnsi="Times New Roman" w:cs="Times New Roman"/>
          <w:bCs/>
          <w:color w:val="222222"/>
          <w:sz w:val="24"/>
          <w:szCs w:val="24"/>
          <w:lang w:eastAsia="sk-SK"/>
        </w:rPr>
        <w:t>3</w:t>
      </w:r>
    </w:p>
    <w:p w14:paraId="600AE93C" w14:textId="77777777" w:rsidR="005D2E80" w:rsidRPr="005D2E80" w:rsidRDefault="005D2E80" w:rsidP="0000117E">
      <w:pPr>
        <w:tabs>
          <w:tab w:val="right" w:leader="dot" w:pos="9072"/>
        </w:tabs>
        <w:spacing w:after="0" w:line="360" w:lineRule="auto"/>
        <w:ind w:left="1560" w:hanging="1560"/>
        <w:rPr>
          <w:rFonts w:ascii="Times New Roman" w:hAnsi="Times New Roman" w:cs="Times New Roman"/>
          <w:sz w:val="24"/>
          <w:szCs w:val="24"/>
        </w:rPr>
      </w:pPr>
      <w:r w:rsidRPr="005D2E80">
        <w:rPr>
          <w:rFonts w:ascii="Times New Roman" w:hAnsi="Times New Roman" w:cs="Times New Roman"/>
          <w:sz w:val="24"/>
          <w:szCs w:val="24"/>
        </w:rPr>
        <w:t>Tabuľka 3.1.31 Počet uchádzačov o zamestnanie podľa dosiahnutého stupňa vzdelania v KR v roku 2014</w:t>
      </w:r>
      <w:r w:rsidR="0000117E">
        <w:rPr>
          <w:rFonts w:ascii="Times New Roman" w:hAnsi="Times New Roman" w:cs="Times New Roman"/>
          <w:sz w:val="24"/>
          <w:szCs w:val="24"/>
        </w:rPr>
        <w:tab/>
      </w:r>
      <w:r w:rsidR="00355A79">
        <w:rPr>
          <w:rFonts w:ascii="Times New Roman" w:hAnsi="Times New Roman" w:cs="Times New Roman"/>
          <w:sz w:val="24"/>
          <w:szCs w:val="24"/>
        </w:rPr>
        <w:t>7</w:t>
      </w:r>
      <w:r w:rsidR="002A0E09">
        <w:rPr>
          <w:rFonts w:ascii="Times New Roman" w:hAnsi="Times New Roman" w:cs="Times New Roman"/>
          <w:sz w:val="24"/>
          <w:szCs w:val="24"/>
        </w:rPr>
        <w:t>4</w:t>
      </w:r>
    </w:p>
    <w:p w14:paraId="1DA281BC" w14:textId="77777777" w:rsidR="005D2E80" w:rsidRDefault="005D2E80" w:rsidP="0000117E">
      <w:pPr>
        <w:shd w:val="clear" w:color="auto" w:fill="FFFFFF"/>
        <w:tabs>
          <w:tab w:val="right" w:leader="dot" w:pos="9072"/>
        </w:tabs>
        <w:spacing w:after="0" w:line="360" w:lineRule="auto"/>
        <w:ind w:left="1560" w:hanging="1560"/>
        <w:rPr>
          <w:rFonts w:ascii="Times New Roman" w:eastAsia="Times New Roman" w:hAnsi="Times New Roman" w:cs="Times New Roman"/>
          <w:bCs/>
          <w:color w:val="222222"/>
          <w:sz w:val="24"/>
          <w:szCs w:val="24"/>
          <w:lang w:eastAsia="sk-SK"/>
        </w:rPr>
      </w:pPr>
      <w:r w:rsidRPr="005D2E80">
        <w:rPr>
          <w:rFonts w:ascii="Times New Roman" w:eastAsia="Times New Roman" w:hAnsi="Times New Roman" w:cs="Times New Roman"/>
          <w:bCs/>
          <w:color w:val="222222"/>
          <w:sz w:val="24"/>
          <w:szCs w:val="24"/>
          <w:lang w:eastAsia="sk-SK"/>
        </w:rPr>
        <w:t>Tabuľka 3.1.32 Počet uchádzačov o zamestnanie v Kopaničiarskom regióne v roku 2014 podľa doby evidencie na úradoch PSVR</w:t>
      </w:r>
      <w:r w:rsidR="0000117E">
        <w:rPr>
          <w:rFonts w:ascii="Times New Roman" w:eastAsia="Times New Roman" w:hAnsi="Times New Roman" w:cs="Times New Roman"/>
          <w:bCs/>
          <w:color w:val="222222"/>
          <w:sz w:val="24"/>
          <w:szCs w:val="24"/>
          <w:lang w:eastAsia="sk-SK"/>
        </w:rPr>
        <w:tab/>
      </w:r>
      <w:r w:rsidR="00355A79">
        <w:rPr>
          <w:rFonts w:ascii="Times New Roman" w:eastAsia="Times New Roman" w:hAnsi="Times New Roman" w:cs="Times New Roman"/>
          <w:bCs/>
          <w:color w:val="222222"/>
          <w:sz w:val="24"/>
          <w:szCs w:val="24"/>
          <w:lang w:eastAsia="sk-SK"/>
        </w:rPr>
        <w:t>7</w:t>
      </w:r>
      <w:r w:rsidR="002A0E09">
        <w:rPr>
          <w:rFonts w:ascii="Times New Roman" w:eastAsia="Times New Roman" w:hAnsi="Times New Roman" w:cs="Times New Roman"/>
          <w:bCs/>
          <w:color w:val="222222"/>
          <w:sz w:val="24"/>
          <w:szCs w:val="24"/>
          <w:lang w:eastAsia="sk-SK"/>
        </w:rPr>
        <w:t>4</w:t>
      </w:r>
    </w:p>
    <w:p w14:paraId="7E57C217" w14:textId="77777777" w:rsidR="00C504BA" w:rsidRDefault="00C504BA" w:rsidP="0000117E">
      <w:pPr>
        <w:tabs>
          <w:tab w:val="right" w:leader="dot" w:pos="9072"/>
        </w:tabs>
        <w:spacing w:after="0" w:line="360" w:lineRule="auto"/>
        <w:jc w:val="both"/>
        <w:rPr>
          <w:rFonts w:ascii="Times New Roman" w:hAnsi="Times New Roman" w:cs="Times New Roman"/>
          <w:sz w:val="24"/>
          <w:szCs w:val="24"/>
        </w:rPr>
      </w:pPr>
      <w:r w:rsidRPr="00C504BA">
        <w:rPr>
          <w:rFonts w:ascii="Times New Roman" w:hAnsi="Times New Roman" w:cs="Times New Roman"/>
          <w:sz w:val="24"/>
          <w:szCs w:val="24"/>
        </w:rPr>
        <w:t>Tabuľka 3.2.1 SWOT analýza</w:t>
      </w:r>
      <w:r w:rsidR="0000117E">
        <w:rPr>
          <w:rFonts w:ascii="Times New Roman" w:hAnsi="Times New Roman" w:cs="Times New Roman"/>
          <w:sz w:val="24"/>
          <w:szCs w:val="24"/>
        </w:rPr>
        <w:tab/>
      </w:r>
      <w:r w:rsidR="00355A79">
        <w:rPr>
          <w:rFonts w:ascii="Times New Roman" w:hAnsi="Times New Roman" w:cs="Times New Roman"/>
          <w:sz w:val="24"/>
          <w:szCs w:val="24"/>
        </w:rPr>
        <w:t>77</w:t>
      </w:r>
    </w:p>
    <w:p w14:paraId="07BDE06C" w14:textId="77777777" w:rsidR="0000117E" w:rsidRDefault="00B9785B" w:rsidP="0000117E">
      <w:pPr>
        <w:tabs>
          <w:tab w:val="right" w:leader="dot" w:pos="9072"/>
        </w:tabs>
        <w:spacing w:after="0" w:line="360" w:lineRule="auto"/>
        <w:rPr>
          <w:rFonts w:ascii="Times New Roman" w:hAnsi="Times New Roman" w:cs="Times New Roman"/>
          <w:sz w:val="24"/>
          <w:szCs w:val="24"/>
        </w:rPr>
      </w:pPr>
      <w:r w:rsidRPr="00B9785B">
        <w:rPr>
          <w:rFonts w:ascii="Times New Roman" w:hAnsi="Times New Roman" w:cs="Times New Roman"/>
          <w:sz w:val="24"/>
          <w:szCs w:val="24"/>
        </w:rPr>
        <w:t>Tabuľka 4.3.1 Súhrnný prehľad strategického rámca</w:t>
      </w:r>
      <w:r w:rsidR="0000117E">
        <w:rPr>
          <w:rFonts w:ascii="Times New Roman" w:hAnsi="Times New Roman" w:cs="Times New Roman"/>
          <w:sz w:val="24"/>
          <w:szCs w:val="24"/>
        </w:rPr>
        <w:tab/>
      </w:r>
      <w:r w:rsidR="00355A79">
        <w:rPr>
          <w:rFonts w:ascii="Times New Roman" w:hAnsi="Times New Roman" w:cs="Times New Roman"/>
          <w:sz w:val="24"/>
          <w:szCs w:val="24"/>
        </w:rPr>
        <w:t>91</w:t>
      </w:r>
    </w:p>
    <w:p w14:paraId="1A5750A6" w14:textId="77777777" w:rsidR="001E201E" w:rsidRDefault="001E201E" w:rsidP="00160F20">
      <w:pPr>
        <w:tabs>
          <w:tab w:val="right" w:leader="dot" w:pos="9072"/>
        </w:tabs>
        <w:spacing w:after="60" w:line="312" w:lineRule="auto"/>
        <w:rPr>
          <w:rFonts w:ascii="Times New Roman" w:hAnsi="Times New Roman" w:cs="Times New Roman"/>
          <w:sz w:val="24"/>
          <w:szCs w:val="24"/>
        </w:rPr>
      </w:pPr>
      <w:r w:rsidRPr="001E201E">
        <w:rPr>
          <w:rFonts w:ascii="Times New Roman" w:hAnsi="Times New Roman" w:cs="Times New Roman"/>
          <w:sz w:val="24"/>
          <w:szCs w:val="24"/>
        </w:rPr>
        <w:t>Tabuľka č. 5.2.A Opatrenie stratégie CLLD 1.1</w:t>
      </w:r>
      <w:r>
        <w:rPr>
          <w:rFonts w:ascii="Times New Roman" w:hAnsi="Times New Roman" w:cs="Times New Roman"/>
          <w:sz w:val="24"/>
          <w:szCs w:val="24"/>
        </w:rPr>
        <w:tab/>
      </w:r>
      <w:r w:rsidR="00355A79">
        <w:rPr>
          <w:rFonts w:ascii="Times New Roman" w:hAnsi="Times New Roman" w:cs="Times New Roman"/>
          <w:sz w:val="24"/>
          <w:szCs w:val="24"/>
        </w:rPr>
        <w:t>11</w:t>
      </w:r>
      <w:r w:rsidR="007A3187">
        <w:rPr>
          <w:rFonts w:ascii="Times New Roman" w:hAnsi="Times New Roman" w:cs="Times New Roman"/>
          <w:sz w:val="24"/>
          <w:szCs w:val="24"/>
        </w:rPr>
        <w:t>4</w:t>
      </w:r>
    </w:p>
    <w:p w14:paraId="22BDB9BD" w14:textId="77777777" w:rsidR="001E201E" w:rsidRDefault="001E201E"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5.2.B Opatrenie stratégie CLLD 1.2</w:t>
      </w:r>
      <w:r>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16</w:t>
      </w:r>
    </w:p>
    <w:p w14:paraId="638B3B6F" w14:textId="77777777" w:rsidR="001E201E" w:rsidRDefault="001E201E"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5B0404">
        <w:rPr>
          <w:rFonts w:ascii="Times New Roman" w:hAnsi="Times New Roman" w:cs="Times New Roman"/>
          <w:sz w:val="24"/>
          <w:szCs w:val="24"/>
        </w:rPr>
        <w:t>.</w:t>
      </w:r>
      <w:r w:rsidR="00ED5852">
        <w:rPr>
          <w:rFonts w:ascii="Times New Roman" w:hAnsi="Times New Roman" w:cs="Times New Roman"/>
          <w:sz w:val="24"/>
          <w:szCs w:val="24"/>
        </w:rPr>
        <w:t>C</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2.1</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18</w:t>
      </w:r>
    </w:p>
    <w:p w14:paraId="6F73FEDE" w14:textId="77777777" w:rsidR="00AD4AA0"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D</w:t>
      </w:r>
      <w:r>
        <w:rPr>
          <w:rFonts w:ascii="Times New Roman" w:hAnsi="Times New Roman" w:cs="Times New Roman"/>
          <w:sz w:val="24"/>
          <w:szCs w:val="24"/>
        </w:rPr>
        <w:t xml:space="preserve"> Opatrenie stratégie CLLD </w:t>
      </w:r>
      <w:r w:rsidR="00B07C2A">
        <w:rPr>
          <w:rFonts w:ascii="Times New Roman" w:hAnsi="Times New Roman" w:cs="Times New Roman"/>
          <w:sz w:val="24"/>
          <w:szCs w:val="24"/>
        </w:rPr>
        <w:t>2.3</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20</w:t>
      </w:r>
    </w:p>
    <w:p w14:paraId="500579EB" w14:textId="77777777" w:rsidR="00AD4AA0"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5B0404">
        <w:rPr>
          <w:rFonts w:ascii="Times New Roman" w:hAnsi="Times New Roman" w:cs="Times New Roman"/>
          <w:sz w:val="24"/>
          <w:szCs w:val="24"/>
        </w:rPr>
        <w:t>.</w:t>
      </w:r>
      <w:r w:rsidR="00ED5852">
        <w:rPr>
          <w:rFonts w:ascii="Times New Roman" w:hAnsi="Times New Roman" w:cs="Times New Roman"/>
          <w:sz w:val="24"/>
          <w:szCs w:val="24"/>
        </w:rPr>
        <w:t>E</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2.4</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23</w:t>
      </w:r>
    </w:p>
    <w:p w14:paraId="7D22FC2B" w14:textId="77777777" w:rsidR="00AD4AA0"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5B0404">
        <w:rPr>
          <w:rFonts w:ascii="Times New Roman" w:hAnsi="Times New Roman" w:cs="Times New Roman"/>
          <w:sz w:val="24"/>
          <w:szCs w:val="24"/>
        </w:rPr>
        <w:t>.</w:t>
      </w:r>
      <w:r w:rsidR="00ED5852">
        <w:rPr>
          <w:rFonts w:ascii="Times New Roman" w:hAnsi="Times New Roman" w:cs="Times New Roman"/>
          <w:sz w:val="24"/>
          <w:szCs w:val="24"/>
        </w:rPr>
        <w:t>F</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2.5</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24</w:t>
      </w:r>
    </w:p>
    <w:p w14:paraId="4230E89E" w14:textId="77777777" w:rsidR="00AD4AA0"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G</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2.6</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25</w:t>
      </w:r>
    </w:p>
    <w:p w14:paraId="6958DDEC" w14:textId="77777777" w:rsidR="005B0404"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H</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3.</w:t>
      </w:r>
      <w:r w:rsidR="00F8757E">
        <w:rPr>
          <w:rFonts w:ascii="Times New Roman" w:hAnsi="Times New Roman" w:cs="Times New Roman"/>
          <w:sz w:val="24"/>
          <w:szCs w:val="24"/>
        </w:rPr>
        <w:t>2</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27</w:t>
      </w:r>
    </w:p>
    <w:p w14:paraId="11468F7D" w14:textId="77777777" w:rsidR="005B0404" w:rsidRDefault="00AD4AA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I</w:t>
      </w:r>
      <w:r>
        <w:rPr>
          <w:rFonts w:ascii="Times New Roman" w:hAnsi="Times New Roman" w:cs="Times New Roman"/>
          <w:sz w:val="24"/>
          <w:szCs w:val="24"/>
        </w:rPr>
        <w:t xml:space="preserve"> Opatreni</w:t>
      </w:r>
      <w:r w:rsidR="00B07C2A">
        <w:rPr>
          <w:rFonts w:ascii="Times New Roman" w:hAnsi="Times New Roman" w:cs="Times New Roman"/>
          <w:sz w:val="24"/>
          <w:szCs w:val="24"/>
        </w:rPr>
        <w:t>e stratégie CLLD 3.3</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29</w:t>
      </w:r>
    </w:p>
    <w:p w14:paraId="5AFB5F56" w14:textId="77777777" w:rsidR="00160F20" w:rsidRDefault="00160F2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J</w:t>
      </w:r>
      <w:r>
        <w:rPr>
          <w:rFonts w:ascii="Times New Roman" w:hAnsi="Times New Roman" w:cs="Times New Roman"/>
          <w:sz w:val="24"/>
          <w:szCs w:val="24"/>
        </w:rPr>
        <w:t xml:space="preserve"> Opatre</w:t>
      </w:r>
      <w:r w:rsidR="00B07C2A">
        <w:rPr>
          <w:rFonts w:ascii="Times New Roman" w:hAnsi="Times New Roman" w:cs="Times New Roman"/>
          <w:sz w:val="24"/>
          <w:szCs w:val="24"/>
        </w:rPr>
        <w:t>nie stratégie CLLD 3.4</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30</w:t>
      </w:r>
    </w:p>
    <w:p w14:paraId="78855788" w14:textId="77777777" w:rsidR="00160F20" w:rsidRDefault="00160F2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5B0404">
        <w:rPr>
          <w:rFonts w:ascii="Times New Roman" w:hAnsi="Times New Roman" w:cs="Times New Roman"/>
          <w:sz w:val="24"/>
          <w:szCs w:val="24"/>
        </w:rPr>
        <w:t>.</w:t>
      </w:r>
      <w:r w:rsidR="00ED5852">
        <w:rPr>
          <w:rFonts w:ascii="Times New Roman" w:hAnsi="Times New Roman" w:cs="Times New Roman"/>
          <w:sz w:val="24"/>
          <w:szCs w:val="24"/>
        </w:rPr>
        <w:t>K</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3.5</w:t>
      </w:r>
      <w:r w:rsidR="00B07C2A">
        <w:rPr>
          <w:rFonts w:ascii="Times New Roman" w:hAnsi="Times New Roman" w:cs="Times New Roman"/>
          <w:sz w:val="24"/>
          <w:szCs w:val="24"/>
        </w:rPr>
        <w:tab/>
        <w:t>1</w:t>
      </w:r>
      <w:r w:rsidR="007A3187">
        <w:rPr>
          <w:rFonts w:ascii="Times New Roman" w:hAnsi="Times New Roman" w:cs="Times New Roman"/>
          <w:sz w:val="24"/>
          <w:szCs w:val="24"/>
        </w:rPr>
        <w:t>32</w:t>
      </w:r>
    </w:p>
    <w:p w14:paraId="2E7BEED3" w14:textId="77777777" w:rsidR="00160F20" w:rsidRDefault="00160F20"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w:t>
      </w:r>
      <w:r w:rsidR="005B0404">
        <w:rPr>
          <w:rFonts w:ascii="Times New Roman" w:hAnsi="Times New Roman" w:cs="Times New Roman"/>
          <w:sz w:val="24"/>
          <w:szCs w:val="24"/>
        </w:rPr>
        <w:t>2.</w:t>
      </w:r>
      <w:r w:rsidR="00ED5852">
        <w:rPr>
          <w:rFonts w:ascii="Times New Roman" w:hAnsi="Times New Roman" w:cs="Times New Roman"/>
          <w:sz w:val="24"/>
          <w:szCs w:val="24"/>
        </w:rPr>
        <w:t>L</w:t>
      </w:r>
      <w:r w:rsidR="005B0404">
        <w:rPr>
          <w:rFonts w:ascii="Times New Roman" w:hAnsi="Times New Roman" w:cs="Times New Roman"/>
          <w:sz w:val="24"/>
          <w:szCs w:val="24"/>
        </w:rPr>
        <w:t xml:space="preserve"> </w:t>
      </w:r>
      <w:r w:rsidR="00B07C2A">
        <w:rPr>
          <w:rFonts w:ascii="Times New Roman" w:hAnsi="Times New Roman" w:cs="Times New Roman"/>
          <w:sz w:val="24"/>
          <w:szCs w:val="24"/>
        </w:rPr>
        <w:t>Opatrenie stratégie CLLD 3.6</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34</w:t>
      </w:r>
    </w:p>
    <w:p w14:paraId="6385D636" w14:textId="77777777" w:rsidR="000747D7" w:rsidRDefault="000747D7"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w:t>
      </w:r>
      <w:r w:rsidR="00ED5852">
        <w:rPr>
          <w:rFonts w:ascii="Times New Roman" w:hAnsi="Times New Roman" w:cs="Times New Roman"/>
          <w:sz w:val="24"/>
          <w:szCs w:val="24"/>
        </w:rPr>
        <w:t>M</w:t>
      </w:r>
      <w:r>
        <w:rPr>
          <w:rFonts w:ascii="Times New Roman" w:hAnsi="Times New Roman" w:cs="Times New Roman"/>
          <w:sz w:val="24"/>
          <w:szCs w:val="24"/>
        </w:rPr>
        <w:t xml:space="preserve"> Opatrenie stratégi</w:t>
      </w:r>
      <w:r w:rsidR="00B07C2A">
        <w:rPr>
          <w:rFonts w:ascii="Times New Roman" w:hAnsi="Times New Roman" w:cs="Times New Roman"/>
          <w:sz w:val="24"/>
          <w:szCs w:val="24"/>
        </w:rPr>
        <w:t>e CLLD 4.1</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35</w:t>
      </w:r>
    </w:p>
    <w:p w14:paraId="2077D359" w14:textId="77777777" w:rsidR="00355A79" w:rsidRDefault="00ED5852"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5.2.N</w:t>
      </w:r>
      <w:r w:rsidR="00355A79">
        <w:rPr>
          <w:rFonts w:ascii="Times New Roman" w:hAnsi="Times New Roman" w:cs="Times New Roman"/>
          <w:sz w:val="24"/>
          <w:szCs w:val="24"/>
        </w:rPr>
        <w:t xml:space="preserve"> Opatrenie PRV – akčný plán pre dodatočnú výkonnostnú alokáciu</w:t>
      </w:r>
      <w:r w:rsidR="00355A79">
        <w:rPr>
          <w:rFonts w:ascii="Times New Roman" w:hAnsi="Times New Roman" w:cs="Times New Roman"/>
          <w:sz w:val="24"/>
          <w:szCs w:val="24"/>
        </w:rPr>
        <w:tab/>
        <w:t>1</w:t>
      </w:r>
      <w:r w:rsidR="007A3187">
        <w:rPr>
          <w:rFonts w:ascii="Times New Roman" w:hAnsi="Times New Roman" w:cs="Times New Roman"/>
          <w:sz w:val="24"/>
          <w:szCs w:val="24"/>
        </w:rPr>
        <w:t>37</w:t>
      </w:r>
    </w:p>
    <w:p w14:paraId="2FF3CF3B" w14:textId="77777777" w:rsidR="00355A79" w:rsidRPr="001E201E" w:rsidRDefault="00ED5852" w:rsidP="00160F20">
      <w:pPr>
        <w:tabs>
          <w:tab w:val="right" w:leader="dot" w:pos="9072"/>
        </w:tabs>
        <w:spacing w:after="60" w:line="312" w:lineRule="auto"/>
        <w:rPr>
          <w:rFonts w:ascii="Times New Roman" w:hAnsi="Times New Roman" w:cs="Times New Roman"/>
          <w:sz w:val="24"/>
          <w:szCs w:val="24"/>
        </w:rPr>
      </w:pPr>
      <w:r>
        <w:rPr>
          <w:rFonts w:ascii="Times New Roman" w:hAnsi="Times New Roman" w:cs="Times New Roman"/>
          <w:sz w:val="24"/>
          <w:szCs w:val="24"/>
        </w:rPr>
        <w:t>Tabuľka č. 5.2.O</w:t>
      </w:r>
      <w:r w:rsidR="00355A79">
        <w:rPr>
          <w:rFonts w:ascii="Times New Roman" w:hAnsi="Times New Roman" w:cs="Times New Roman"/>
          <w:sz w:val="24"/>
          <w:szCs w:val="24"/>
        </w:rPr>
        <w:t xml:space="preserve"> Opatrenie IROP – akčný plán pre dodatočnú výkonnostnú alokáciu</w:t>
      </w:r>
      <w:r w:rsidR="00355A79">
        <w:rPr>
          <w:rFonts w:ascii="Times New Roman" w:hAnsi="Times New Roman" w:cs="Times New Roman"/>
          <w:sz w:val="24"/>
          <w:szCs w:val="24"/>
        </w:rPr>
        <w:tab/>
        <w:t>1</w:t>
      </w:r>
      <w:r w:rsidR="007A3187">
        <w:rPr>
          <w:rFonts w:ascii="Times New Roman" w:hAnsi="Times New Roman" w:cs="Times New Roman"/>
          <w:sz w:val="24"/>
          <w:szCs w:val="24"/>
        </w:rPr>
        <w:t>42</w:t>
      </w:r>
    </w:p>
    <w:p w14:paraId="3761D25E" w14:textId="77777777" w:rsidR="00FD73BF" w:rsidRDefault="00FD73BF"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 5.3.1 Dodato</w:t>
      </w:r>
      <w:r w:rsidR="00B07C2A">
        <w:rPr>
          <w:rFonts w:ascii="Times New Roman" w:hAnsi="Times New Roman" w:cs="Times New Roman"/>
          <w:sz w:val="24"/>
          <w:szCs w:val="24"/>
        </w:rPr>
        <w:t>čné monitorovacie ukazovatele</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45</w:t>
      </w:r>
    </w:p>
    <w:p w14:paraId="3ED02203" w14:textId="77777777" w:rsidR="0082111F" w:rsidRPr="0082111F" w:rsidRDefault="00FD73BF"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Tabuľka 5.3.2</w:t>
      </w:r>
      <w:r w:rsidR="0082111F" w:rsidRPr="0082111F">
        <w:rPr>
          <w:rFonts w:ascii="Times New Roman" w:hAnsi="Times New Roman" w:cs="Times New Roman"/>
          <w:sz w:val="24"/>
          <w:szCs w:val="24"/>
        </w:rPr>
        <w:t xml:space="preserve"> Povinné ukazovatele na úrovni programu – PRV SR 2014-2020</w:t>
      </w:r>
      <w:r>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51</w:t>
      </w:r>
    </w:p>
    <w:p w14:paraId="51B599F7" w14:textId="77777777" w:rsidR="0082111F" w:rsidRPr="0082111F" w:rsidRDefault="00FD73BF"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 5.3.3</w:t>
      </w:r>
      <w:r w:rsidR="0082111F" w:rsidRPr="0082111F">
        <w:rPr>
          <w:rFonts w:ascii="Times New Roman" w:hAnsi="Times New Roman" w:cs="Times New Roman"/>
          <w:sz w:val="24"/>
          <w:szCs w:val="24"/>
        </w:rPr>
        <w:t xml:space="preserve"> Celkové verejné výdavky – PRV SR 2014-2020</w:t>
      </w:r>
      <w:r>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52</w:t>
      </w:r>
    </w:p>
    <w:p w14:paraId="3EE08082" w14:textId="77777777" w:rsidR="00B9785B" w:rsidRPr="0082111F" w:rsidRDefault="00FD73BF" w:rsidP="0000117E">
      <w:pPr>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Tabuľka 5.3.4</w:t>
      </w:r>
      <w:r w:rsidR="0082111F" w:rsidRPr="0082111F">
        <w:rPr>
          <w:rFonts w:ascii="Times New Roman" w:hAnsi="Times New Roman" w:cs="Times New Roman"/>
          <w:sz w:val="24"/>
          <w:szCs w:val="24"/>
        </w:rPr>
        <w:t xml:space="preserve"> Povinné ukazovatele na úrovni IROP 2014-2020</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52</w:t>
      </w:r>
    </w:p>
    <w:p w14:paraId="45AEC4A8" w14:textId="77777777" w:rsidR="008530FD" w:rsidRPr="008530FD" w:rsidRDefault="008530FD" w:rsidP="0000117E">
      <w:pPr>
        <w:pStyle w:val="Odsekzoznamu"/>
        <w:tabs>
          <w:tab w:val="right" w:leader="dot" w:pos="9072"/>
        </w:tabs>
        <w:spacing w:after="0" w:line="360" w:lineRule="auto"/>
        <w:ind w:left="0"/>
        <w:rPr>
          <w:rFonts w:ascii="Times New Roman" w:hAnsi="Times New Roman" w:cs="Times New Roman"/>
          <w:sz w:val="24"/>
          <w:szCs w:val="24"/>
        </w:rPr>
      </w:pPr>
      <w:r w:rsidRPr="008530FD">
        <w:rPr>
          <w:rFonts w:ascii="Times New Roman" w:hAnsi="Times New Roman" w:cs="Times New Roman"/>
          <w:sz w:val="24"/>
          <w:szCs w:val="24"/>
        </w:rPr>
        <w:t>Tabuľka 6.1.1 Celkové zdroje pre MAS z PRV a</w:t>
      </w:r>
      <w:r w:rsidR="00FD73BF">
        <w:rPr>
          <w:rFonts w:ascii="Times New Roman" w:hAnsi="Times New Roman" w:cs="Times New Roman"/>
          <w:sz w:val="24"/>
          <w:szCs w:val="24"/>
        </w:rPr>
        <w:t> </w:t>
      </w:r>
      <w:r w:rsidRPr="008530FD">
        <w:rPr>
          <w:rFonts w:ascii="Times New Roman" w:hAnsi="Times New Roman" w:cs="Times New Roman"/>
          <w:sz w:val="24"/>
          <w:szCs w:val="24"/>
        </w:rPr>
        <w:t>IROP</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53</w:t>
      </w:r>
    </w:p>
    <w:p w14:paraId="5CBB3B2B" w14:textId="77777777" w:rsidR="008530FD" w:rsidRPr="008530FD" w:rsidRDefault="008530FD" w:rsidP="0000117E">
      <w:pPr>
        <w:pStyle w:val="Odsekzoznamu"/>
        <w:tabs>
          <w:tab w:val="right" w:leader="dot" w:pos="9072"/>
        </w:tabs>
        <w:spacing w:after="0" w:line="360" w:lineRule="auto"/>
        <w:ind w:left="0"/>
        <w:rPr>
          <w:rFonts w:ascii="Times New Roman" w:hAnsi="Times New Roman" w:cs="Times New Roman"/>
          <w:sz w:val="24"/>
          <w:szCs w:val="24"/>
        </w:rPr>
      </w:pPr>
      <w:r w:rsidRPr="008530FD">
        <w:rPr>
          <w:rFonts w:ascii="Times New Roman" w:hAnsi="Times New Roman" w:cs="Times New Roman"/>
          <w:sz w:val="24"/>
          <w:szCs w:val="24"/>
        </w:rPr>
        <w:t xml:space="preserve">Tabuľka 6.1.2 Celkové zdroje pre MAS z PRV a IROP rozdelené podľa fondov </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53</w:t>
      </w:r>
    </w:p>
    <w:p w14:paraId="15D9CE2B" w14:textId="77777777" w:rsidR="008530FD" w:rsidRPr="008530FD" w:rsidRDefault="008530FD" w:rsidP="0000117E">
      <w:pPr>
        <w:pStyle w:val="Odsekzoznamu"/>
        <w:tabs>
          <w:tab w:val="right" w:leader="dot" w:pos="9072"/>
        </w:tabs>
        <w:spacing w:after="0" w:line="360" w:lineRule="auto"/>
        <w:ind w:left="1418" w:hanging="1418"/>
        <w:rPr>
          <w:rFonts w:ascii="Times New Roman" w:hAnsi="Times New Roman" w:cs="Times New Roman"/>
          <w:sz w:val="24"/>
          <w:szCs w:val="24"/>
        </w:rPr>
      </w:pPr>
      <w:r w:rsidRPr="008530FD">
        <w:rPr>
          <w:rFonts w:ascii="Times New Roman" w:hAnsi="Times New Roman" w:cs="Times New Roman"/>
          <w:sz w:val="24"/>
          <w:szCs w:val="24"/>
        </w:rPr>
        <w:t>Tabuľka 6.1.3 Rozdelenie zdrojov na jednotlivé typy výdavkov  v rámci príslušných programov</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54</w:t>
      </w:r>
    </w:p>
    <w:p w14:paraId="5FC71086" w14:textId="77777777" w:rsidR="00B5707A" w:rsidRPr="00B5707A" w:rsidRDefault="00B5707A" w:rsidP="0000117E">
      <w:pPr>
        <w:tabs>
          <w:tab w:val="right" w:leader="dot" w:pos="9072"/>
        </w:tabs>
        <w:spacing w:after="0" w:line="360" w:lineRule="auto"/>
        <w:rPr>
          <w:rFonts w:ascii="Times New Roman" w:hAnsi="Times New Roman" w:cs="Times New Roman"/>
          <w:sz w:val="24"/>
          <w:szCs w:val="24"/>
        </w:rPr>
      </w:pPr>
      <w:r w:rsidRPr="00B5707A">
        <w:rPr>
          <w:rFonts w:ascii="Times New Roman" w:hAnsi="Times New Roman" w:cs="Times New Roman"/>
          <w:sz w:val="24"/>
          <w:szCs w:val="24"/>
        </w:rPr>
        <w:t>Tabuľka 6.2.1 Sumárna tabuľka finančného plánu</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55</w:t>
      </w:r>
    </w:p>
    <w:p w14:paraId="72D1DAC4" w14:textId="77777777" w:rsidR="00B5707A" w:rsidRPr="00B5707A" w:rsidRDefault="00B5707A" w:rsidP="0000117E">
      <w:pPr>
        <w:tabs>
          <w:tab w:val="right" w:leader="dot" w:pos="9072"/>
        </w:tabs>
        <w:spacing w:after="0" w:line="360" w:lineRule="auto"/>
        <w:rPr>
          <w:rFonts w:ascii="Times New Roman" w:hAnsi="Times New Roman" w:cs="Times New Roman"/>
          <w:sz w:val="24"/>
          <w:szCs w:val="24"/>
        </w:rPr>
      </w:pPr>
      <w:r w:rsidRPr="00B5707A">
        <w:rPr>
          <w:rFonts w:ascii="Times New Roman" w:hAnsi="Times New Roman" w:cs="Times New Roman"/>
          <w:sz w:val="24"/>
          <w:szCs w:val="24"/>
        </w:rPr>
        <w:t xml:space="preserve">Tabuľka 6.2.2 Celkový </w:t>
      </w:r>
      <w:r>
        <w:rPr>
          <w:rFonts w:ascii="Times New Roman" w:hAnsi="Times New Roman" w:cs="Times New Roman"/>
          <w:sz w:val="24"/>
          <w:szCs w:val="24"/>
        </w:rPr>
        <w:t>pomer medzi fondmi na stratégiu</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57</w:t>
      </w:r>
    </w:p>
    <w:p w14:paraId="77C2753B" w14:textId="77777777" w:rsidR="00B5707A" w:rsidRPr="00B5707A" w:rsidRDefault="00B5707A" w:rsidP="0000117E">
      <w:pPr>
        <w:tabs>
          <w:tab w:val="right" w:leader="dot" w:pos="9072"/>
        </w:tabs>
        <w:spacing w:after="0" w:line="360" w:lineRule="auto"/>
        <w:rPr>
          <w:rFonts w:ascii="Times New Roman" w:hAnsi="Times New Roman" w:cs="Times New Roman"/>
          <w:sz w:val="24"/>
          <w:szCs w:val="24"/>
        </w:rPr>
      </w:pPr>
      <w:r w:rsidRPr="00B5707A">
        <w:rPr>
          <w:rFonts w:ascii="Times New Roman" w:hAnsi="Times New Roman" w:cs="Times New Roman"/>
          <w:sz w:val="24"/>
          <w:szCs w:val="24"/>
        </w:rPr>
        <w:t>Tabuľka 6.2.3 Zameranie stratégie podľa sektor</w:t>
      </w:r>
      <w:r>
        <w:rPr>
          <w:rFonts w:ascii="Times New Roman" w:hAnsi="Times New Roman" w:cs="Times New Roman"/>
          <w:sz w:val="24"/>
          <w:szCs w:val="24"/>
        </w:rPr>
        <w:t>ov</w:t>
      </w:r>
      <w:r w:rsidRPr="00B5707A">
        <w:rPr>
          <w:rFonts w:ascii="Times New Roman" w:hAnsi="Times New Roman" w:cs="Times New Roman"/>
          <w:sz w:val="24"/>
          <w:szCs w:val="24"/>
        </w:rPr>
        <w:t xml:space="preserve"> </w:t>
      </w:r>
      <w:r w:rsidR="00B07C2A">
        <w:rPr>
          <w:rFonts w:ascii="Times New Roman" w:hAnsi="Times New Roman" w:cs="Times New Roman"/>
          <w:sz w:val="24"/>
          <w:szCs w:val="24"/>
        </w:rPr>
        <w:tab/>
      </w:r>
      <w:r w:rsidR="00355A79">
        <w:rPr>
          <w:rFonts w:ascii="Times New Roman" w:hAnsi="Times New Roman" w:cs="Times New Roman"/>
          <w:sz w:val="24"/>
          <w:szCs w:val="24"/>
        </w:rPr>
        <w:t>1</w:t>
      </w:r>
      <w:r w:rsidR="007A3187">
        <w:rPr>
          <w:rFonts w:ascii="Times New Roman" w:hAnsi="Times New Roman" w:cs="Times New Roman"/>
          <w:sz w:val="24"/>
          <w:szCs w:val="24"/>
        </w:rPr>
        <w:t>57</w:t>
      </w:r>
    </w:p>
    <w:p w14:paraId="7A184527" w14:textId="77777777" w:rsidR="00C504BA" w:rsidRPr="005D2E80" w:rsidRDefault="00C504BA" w:rsidP="004561F3">
      <w:pPr>
        <w:shd w:val="clear" w:color="auto" w:fill="FFFFFF"/>
        <w:tabs>
          <w:tab w:val="left" w:pos="8789"/>
        </w:tabs>
        <w:spacing w:after="0" w:line="360" w:lineRule="auto"/>
        <w:ind w:left="1560" w:hanging="1560"/>
        <w:rPr>
          <w:rFonts w:ascii="Calibri" w:eastAsia="Times New Roman" w:hAnsi="Calibri" w:cs="Times New Roman"/>
          <w:color w:val="222222"/>
          <w:lang w:eastAsia="sk-SK"/>
        </w:rPr>
      </w:pPr>
    </w:p>
    <w:p w14:paraId="1021D897" w14:textId="77777777" w:rsidR="00512FE8" w:rsidRPr="00891B13" w:rsidRDefault="00512FE8" w:rsidP="00E37887">
      <w:pPr>
        <w:spacing w:after="0" w:line="360" w:lineRule="auto"/>
        <w:rPr>
          <w:rFonts w:ascii="Times New Roman" w:hAnsi="Times New Roman" w:cs="Times New Roman"/>
          <w:b/>
          <w:sz w:val="24"/>
          <w:szCs w:val="24"/>
        </w:rPr>
      </w:pPr>
    </w:p>
    <w:p w14:paraId="7D7ED039" w14:textId="77777777" w:rsidR="00B478A9" w:rsidRDefault="00B478A9" w:rsidP="003F623E">
      <w:pPr>
        <w:tabs>
          <w:tab w:val="left" w:pos="8364"/>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Zoznam grafom</w:t>
      </w:r>
    </w:p>
    <w:p w14:paraId="050723D4" w14:textId="77777777" w:rsidR="004561F3" w:rsidRDefault="004561F3" w:rsidP="0000117E">
      <w:pPr>
        <w:keepNext/>
        <w:tabs>
          <w:tab w:val="righ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Graf 3.1.1</w:t>
      </w:r>
      <w:r w:rsidRPr="004561F3">
        <w:rPr>
          <w:rFonts w:ascii="Times New Roman" w:hAnsi="Times New Roman" w:cs="Times New Roman"/>
          <w:sz w:val="24"/>
          <w:szCs w:val="24"/>
        </w:rPr>
        <w:t xml:space="preserve"> Štruktúra poľnohospodárskej pôdy Kopaničiarskeho regiónu v roku 2014</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7A3187">
        <w:rPr>
          <w:rFonts w:ascii="Times New Roman" w:hAnsi="Times New Roman" w:cs="Times New Roman"/>
          <w:sz w:val="24"/>
          <w:szCs w:val="24"/>
        </w:rPr>
        <w:t>0</w:t>
      </w:r>
    </w:p>
    <w:p w14:paraId="7DF63F13" w14:textId="77777777" w:rsidR="004561F3" w:rsidRPr="004561F3" w:rsidRDefault="004561F3" w:rsidP="0000117E">
      <w:pPr>
        <w:keepNext/>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3.1.2  Štruktúra nepoľnohospodárskej pôdy Kopaničiarskeho regiónu v roku 2014</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7A3187">
        <w:rPr>
          <w:rFonts w:ascii="Times New Roman" w:hAnsi="Times New Roman" w:cs="Times New Roman"/>
          <w:sz w:val="24"/>
          <w:szCs w:val="24"/>
        </w:rPr>
        <w:t>0</w:t>
      </w:r>
    </w:p>
    <w:p w14:paraId="6ADEAB8B" w14:textId="77777777" w:rsidR="004561F3" w:rsidRPr="004561F3" w:rsidRDefault="004561F3" w:rsidP="0000117E">
      <w:pPr>
        <w:keepNext/>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3.1.3 Vývoj počtu obyvateľstva v Kopaničiarskom regióne od r. 1869 do r. 2014</w:t>
      </w:r>
      <w:r w:rsidR="0000117E">
        <w:rPr>
          <w:rFonts w:ascii="Times New Roman" w:hAnsi="Times New Roman" w:cs="Times New Roman"/>
          <w:sz w:val="24"/>
          <w:szCs w:val="24"/>
        </w:rPr>
        <w:tab/>
      </w:r>
      <w:r w:rsidR="00355A79">
        <w:rPr>
          <w:rFonts w:ascii="Times New Roman" w:hAnsi="Times New Roman" w:cs="Times New Roman"/>
          <w:sz w:val="24"/>
          <w:szCs w:val="24"/>
        </w:rPr>
        <w:t>3</w:t>
      </w:r>
      <w:r w:rsidR="007A3187">
        <w:rPr>
          <w:rFonts w:ascii="Times New Roman" w:hAnsi="Times New Roman" w:cs="Times New Roman"/>
          <w:sz w:val="24"/>
          <w:szCs w:val="24"/>
        </w:rPr>
        <w:t>6</w:t>
      </w:r>
    </w:p>
    <w:p w14:paraId="7B67E635" w14:textId="77777777" w:rsidR="004561F3" w:rsidRPr="004561F3" w:rsidRDefault="004561F3" w:rsidP="0000117E">
      <w:pPr>
        <w:keepNext/>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3.1.4 Demografická štruktúra obyvateľov Kopaničiarskeho regiónu v roku 2014</w:t>
      </w:r>
      <w:r w:rsidR="0000117E">
        <w:rPr>
          <w:rFonts w:ascii="Times New Roman" w:hAnsi="Times New Roman" w:cs="Times New Roman"/>
          <w:sz w:val="24"/>
          <w:szCs w:val="24"/>
        </w:rPr>
        <w:tab/>
      </w:r>
      <w:r w:rsidR="007A3187">
        <w:rPr>
          <w:rFonts w:ascii="Times New Roman" w:hAnsi="Times New Roman" w:cs="Times New Roman"/>
          <w:sz w:val="24"/>
          <w:szCs w:val="24"/>
        </w:rPr>
        <w:t>39</w:t>
      </w:r>
    </w:p>
    <w:p w14:paraId="5BF7830D" w14:textId="77777777" w:rsidR="004561F3" w:rsidRPr="004561F3" w:rsidRDefault="004561F3" w:rsidP="0000117E">
      <w:pPr>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3.1.5 Vývoj pohybu obyvateľstva v Kopaničiarskom regióne za roky 1996-2014</w:t>
      </w:r>
      <w:r w:rsidR="0000117E">
        <w:rPr>
          <w:rFonts w:ascii="Times New Roman" w:hAnsi="Times New Roman" w:cs="Times New Roman"/>
          <w:sz w:val="24"/>
          <w:szCs w:val="24"/>
        </w:rPr>
        <w:tab/>
      </w:r>
      <w:r w:rsidR="00355A79">
        <w:rPr>
          <w:rFonts w:ascii="Times New Roman" w:hAnsi="Times New Roman" w:cs="Times New Roman"/>
          <w:sz w:val="24"/>
          <w:szCs w:val="24"/>
        </w:rPr>
        <w:t>4</w:t>
      </w:r>
      <w:r w:rsidR="007A3187">
        <w:rPr>
          <w:rFonts w:ascii="Times New Roman" w:hAnsi="Times New Roman" w:cs="Times New Roman"/>
          <w:sz w:val="24"/>
          <w:szCs w:val="24"/>
        </w:rPr>
        <w:t>0</w:t>
      </w:r>
    </w:p>
    <w:p w14:paraId="416B770B" w14:textId="77777777" w:rsidR="004561F3" w:rsidRPr="004561F3" w:rsidRDefault="004561F3" w:rsidP="0000117E">
      <w:pPr>
        <w:keepNext/>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3.1.6 Vierovyznanie v Kopaničiarskom regióne v roku 2011</w:t>
      </w:r>
      <w:r w:rsidR="0000117E">
        <w:rPr>
          <w:rFonts w:ascii="Times New Roman" w:hAnsi="Times New Roman" w:cs="Times New Roman"/>
          <w:sz w:val="24"/>
          <w:szCs w:val="24"/>
        </w:rPr>
        <w:tab/>
      </w:r>
      <w:r w:rsidR="0073488B">
        <w:rPr>
          <w:rFonts w:ascii="Times New Roman" w:hAnsi="Times New Roman" w:cs="Times New Roman"/>
          <w:sz w:val="24"/>
          <w:szCs w:val="24"/>
        </w:rPr>
        <w:t>4</w:t>
      </w:r>
      <w:r w:rsidR="007A3187">
        <w:rPr>
          <w:rFonts w:ascii="Times New Roman" w:hAnsi="Times New Roman" w:cs="Times New Roman"/>
          <w:sz w:val="24"/>
          <w:szCs w:val="24"/>
        </w:rPr>
        <w:t>3</w:t>
      </w:r>
    </w:p>
    <w:p w14:paraId="52C2BB5C" w14:textId="77777777" w:rsidR="004561F3" w:rsidRPr="004561F3" w:rsidRDefault="004561F3" w:rsidP="0000117E">
      <w:pPr>
        <w:tabs>
          <w:tab w:val="right" w:leader="dot" w:pos="9072"/>
        </w:tabs>
        <w:spacing w:after="0" w:line="360" w:lineRule="auto"/>
        <w:rPr>
          <w:rFonts w:ascii="Times New Roman" w:hAnsi="Times New Roman" w:cs="Times New Roman"/>
          <w:sz w:val="24"/>
          <w:szCs w:val="24"/>
        </w:rPr>
      </w:pPr>
      <w:r w:rsidRPr="004561F3">
        <w:rPr>
          <w:rFonts w:ascii="Times New Roman" w:hAnsi="Times New Roman" w:cs="Times New Roman"/>
          <w:sz w:val="24"/>
          <w:szCs w:val="24"/>
        </w:rPr>
        <w:t>Graf  3.1.7 Vzdelanostná štruktúra obyvateľstva Kopaničiarskeho regiónu v roku 2011</w:t>
      </w:r>
      <w:r w:rsidR="0000117E">
        <w:rPr>
          <w:rFonts w:ascii="Times New Roman" w:hAnsi="Times New Roman" w:cs="Times New Roman"/>
          <w:sz w:val="24"/>
          <w:szCs w:val="24"/>
        </w:rPr>
        <w:tab/>
      </w:r>
      <w:r w:rsidR="0073488B">
        <w:rPr>
          <w:rFonts w:ascii="Times New Roman" w:hAnsi="Times New Roman" w:cs="Times New Roman"/>
          <w:sz w:val="24"/>
          <w:szCs w:val="24"/>
        </w:rPr>
        <w:t>4</w:t>
      </w:r>
      <w:r w:rsidR="007A3187">
        <w:rPr>
          <w:rFonts w:ascii="Times New Roman" w:hAnsi="Times New Roman" w:cs="Times New Roman"/>
          <w:sz w:val="24"/>
          <w:szCs w:val="24"/>
        </w:rPr>
        <w:t>4</w:t>
      </w:r>
    </w:p>
    <w:p w14:paraId="139A9483" w14:textId="77777777" w:rsidR="004561F3" w:rsidRPr="004561F3" w:rsidRDefault="004561F3" w:rsidP="0000117E">
      <w:pPr>
        <w:tabs>
          <w:tab w:val="right" w:leader="dot" w:pos="9072"/>
        </w:tabs>
        <w:spacing w:after="0" w:line="360" w:lineRule="auto"/>
        <w:ind w:left="1134" w:hanging="1134"/>
        <w:rPr>
          <w:rFonts w:ascii="Times New Roman" w:hAnsi="Times New Roman" w:cs="Times New Roman"/>
          <w:bCs/>
          <w:iCs/>
          <w:color w:val="000000"/>
          <w:sz w:val="24"/>
          <w:szCs w:val="24"/>
        </w:rPr>
      </w:pPr>
      <w:r w:rsidRPr="004561F3">
        <w:rPr>
          <w:rFonts w:ascii="Times New Roman" w:hAnsi="Times New Roman" w:cs="Times New Roman"/>
          <w:sz w:val="24"/>
          <w:szCs w:val="24"/>
        </w:rPr>
        <w:t xml:space="preserve">Graf  3.1.8 </w:t>
      </w:r>
      <w:r w:rsidRPr="004561F3">
        <w:rPr>
          <w:rFonts w:ascii="Times New Roman" w:hAnsi="Times New Roman" w:cs="Times New Roman"/>
          <w:bCs/>
          <w:iCs/>
          <w:color w:val="000000"/>
          <w:sz w:val="24"/>
          <w:szCs w:val="24"/>
        </w:rPr>
        <w:t>Zastúpenie podnikateľských subjektov v kopaničiarskom regióne podľa jednotlivých sektorov hospodárstva k 31.1.2014</w:t>
      </w:r>
      <w:r w:rsidR="0000117E">
        <w:rPr>
          <w:rFonts w:ascii="Times New Roman" w:hAnsi="Times New Roman" w:cs="Times New Roman"/>
          <w:bCs/>
          <w:iCs/>
          <w:color w:val="000000"/>
          <w:sz w:val="24"/>
          <w:szCs w:val="24"/>
        </w:rPr>
        <w:tab/>
      </w:r>
      <w:r w:rsidR="0073488B">
        <w:rPr>
          <w:rFonts w:ascii="Times New Roman" w:hAnsi="Times New Roman" w:cs="Times New Roman"/>
          <w:bCs/>
          <w:iCs/>
          <w:color w:val="000000"/>
          <w:sz w:val="24"/>
          <w:szCs w:val="24"/>
        </w:rPr>
        <w:t>6</w:t>
      </w:r>
      <w:r w:rsidR="007A3187">
        <w:rPr>
          <w:rFonts w:ascii="Times New Roman" w:hAnsi="Times New Roman" w:cs="Times New Roman"/>
          <w:bCs/>
          <w:iCs/>
          <w:color w:val="000000"/>
          <w:sz w:val="24"/>
          <w:szCs w:val="24"/>
        </w:rPr>
        <w:t>4</w:t>
      </w:r>
    </w:p>
    <w:p w14:paraId="2C402222" w14:textId="77777777" w:rsidR="004561F3" w:rsidRPr="004561F3" w:rsidRDefault="004561F3" w:rsidP="0000117E">
      <w:pPr>
        <w:tabs>
          <w:tab w:val="right" w:leader="dot" w:pos="9072"/>
        </w:tabs>
        <w:spacing w:after="0" w:line="360" w:lineRule="auto"/>
        <w:ind w:left="1134" w:hanging="1134"/>
        <w:rPr>
          <w:rFonts w:ascii="Times New Roman" w:hAnsi="Times New Roman" w:cs="Times New Roman"/>
          <w:sz w:val="24"/>
          <w:szCs w:val="24"/>
        </w:rPr>
      </w:pPr>
      <w:r w:rsidRPr="004561F3">
        <w:rPr>
          <w:rFonts w:ascii="Times New Roman" w:hAnsi="Times New Roman" w:cs="Times New Roman"/>
          <w:sz w:val="24"/>
          <w:szCs w:val="24"/>
        </w:rPr>
        <w:t xml:space="preserve">Graf 3.1.9 </w:t>
      </w:r>
      <w:r w:rsidRPr="004561F3">
        <w:rPr>
          <w:rFonts w:ascii="Times New Roman" w:hAnsi="Times New Roman" w:cs="Times New Roman"/>
          <w:bCs/>
          <w:iCs/>
          <w:sz w:val="24"/>
          <w:szCs w:val="24"/>
        </w:rPr>
        <w:t>Podiel jednotlivých činností subjektov primárneho sektora hospodárstva v Kopaničiarskom regióne k 31.12.2014</w:t>
      </w:r>
      <w:r w:rsidR="0000117E">
        <w:rPr>
          <w:rFonts w:ascii="Times New Roman" w:hAnsi="Times New Roman" w:cs="Times New Roman"/>
          <w:bCs/>
          <w:iCs/>
          <w:sz w:val="24"/>
          <w:szCs w:val="24"/>
        </w:rPr>
        <w:tab/>
      </w:r>
      <w:r w:rsidR="0073488B">
        <w:rPr>
          <w:rFonts w:ascii="Times New Roman" w:hAnsi="Times New Roman" w:cs="Times New Roman"/>
          <w:bCs/>
          <w:iCs/>
          <w:sz w:val="24"/>
          <w:szCs w:val="24"/>
        </w:rPr>
        <w:t>6</w:t>
      </w:r>
      <w:r w:rsidR="007A3187">
        <w:rPr>
          <w:rFonts w:ascii="Times New Roman" w:hAnsi="Times New Roman" w:cs="Times New Roman"/>
          <w:bCs/>
          <w:iCs/>
          <w:sz w:val="24"/>
          <w:szCs w:val="24"/>
        </w:rPr>
        <w:t>5</w:t>
      </w:r>
    </w:p>
    <w:p w14:paraId="336A4333" w14:textId="77777777" w:rsidR="004561F3" w:rsidRPr="004561F3" w:rsidRDefault="004561F3" w:rsidP="0000117E">
      <w:pPr>
        <w:tabs>
          <w:tab w:val="right" w:leader="dot" w:pos="9072"/>
        </w:tabs>
        <w:spacing w:after="0" w:line="360" w:lineRule="auto"/>
        <w:ind w:left="1134" w:hanging="1134"/>
        <w:rPr>
          <w:rFonts w:ascii="Times New Roman" w:hAnsi="Times New Roman" w:cs="Times New Roman"/>
          <w:bCs/>
          <w:iCs/>
          <w:color w:val="000000"/>
          <w:sz w:val="24"/>
          <w:szCs w:val="24"/>
        </w:rPr>
      </w:pPr>
      <w:r w:rsidRPr="004561F3">
        <w:rPr>
          <w:rFonts w:ascii="Times New Roman" w:hAnsi="Times New Roman" w:cs="Times New Roman"/>
          <w:bCs/>
          <w:iCs/>
          <w:color w:val="000000"/>
          <w:sz w:val="24"/>
          <w:szCs w:val="24"/>
        </w:rPr>
        <w:t>Graf 3.1.10 Podiel jednotlivých činností subjektov sekundárneho sektora hospodárstva v Kopaničiarskom regióne k 31.12.2014</w:t>
      </w:r>
      <w:r w:rsidR="0000117E">
        <w:rPr>
          <w:rFonts w:ascii="Times New Roman" w:hAnsi="Times New Roman" w:cs="Times New Roman"/>
          <w:bCs/>
          <w:iCs/>
          <w:color w:val="000000"/>
          <w:sz w:val="24"/>
          <w:szCs w:val="24"/>
        </w:rPr>
        <w:tab/>
      </w:r>
      <w:r w:rsidR="0073488B">
        <w:rPr>
          <w:rFonts w:ascii="Times New Roman" w:hAnsi="Times New Roman" w:cs="Times New Roman"/>
          <w:bCs/>
          <w:iCs/>
          <w:color w:val="000000"/>
          <w:sz w:val="24"/>
          <w:szCs w:val="24"/>
        </w:rPr>
        <w:t>6</w:t>
      </w:r>
      <w:r w:rsidR="007A3187">
        <w:rPr>
          <w:rFonts w:ascii="Times New Roman" w:hAnsi="Times New Roman" w:cs="Times New Roman"/>
          <w:bCs/>
          <w:iCs/>
          <w:color w:val="000000"/>
          <w:sz w:val="24"/>
          <w:szCs w:val="24"/>
        </w:rPr>
        <w:t>6</w:t>
      </w:r>
    </w:p>
    <w:p w14:paraId="0EA0D4FF" w14:textId="77777777" w:rsidR="004561F3" w:rsidRPr="004561F3" w:rsidRDefault="004561F3" w:rsidP="0000117E">
      <w:pPr>
        <w:tabs>
          <w:tab w:val="right" w:leader="dot" w:pos="9072"/>
        </w:tabs>
        <w:spacing w:after="0" w:line="360" w:lineRule="auto"/>
        <w:ind w:left="1134" w:hanging="1134"/>
        <w:rPr>
          <w:rFonts w:ascii="Times New Roman" w:hAnsi="Times New Roman" w:cs="Times New Roman"/>
          <w:sz w:val="24"/>
          <w:szCs w:val="24"/>
        </w:rPr>
      </w:pPr>
      <w:r w:rsidRPr="004561F3">
        <w:rPr>
          <w:rFonts w:ascii="Times New Roman" w:hAnsi="Times New Roman" w:cs="Times New Roman"/>
          <w:sz w:val="24"/>
          <w:szCs w:val="24"/>
        </w:rPr>
        <w:t xml:space="preserve">Graf 3.1.11 </w:t>
      </w:r>
      <w:r w:rsidRPr="004561F3">
        <w:rPr>
          <w:rFonts w:ascii="Times New Roman" w:hAnsi="Times New Roman" w:cs="Times New Roman"/>
          <w:bCs/>
          <w:iCs/>
          <w:sz w:val="24"/>
          <w:szCs w:val="24"/>
        </w:rPr>
        <w:t>Podiel jednotlivých činností terciárneho sektoru hospodárstva v Kopaničiarskom regióne k 31.12.2014</w:t>
      </w:r>
      <w:r w:rsidR="0000117E">
        <w:rPr>
          <w:rFonts w:ascii="Times New Roman" w:hAnsi="Times New Roman" w:cs="Times New Roman"/>
          <w:bCs/>
          <w:iCs/>
          <w:sz w:val="24"/>
          <w:szCs w:val="24"/>
        </w:rPr>
        <w:tab/>
      </w:r>
      <w:r w:rsidR="0073488B">
        <w:rPr>
          <w:rFonts w:ascii="Times New Roman" w:hAnsi="Times New Roman" w:cs="Times New Roman"/>
          <w:bCs/>
          <w:iCs/>
          <w:sz w:val="24"/>
          <w:szCs w:val="24"/>
        </w:rPr>
        <w:t>6</w:t>
      </w:r>
      <w:r w:rsidR="007A3187">
        <w:rPr>
          <w:rFonts w:ascii="Times New Roman" w:hAnsi="Times New Roman" w:cs="Times New Roman"/>
          <w:bCs/>
          <w:iCs/>
          <w:sz w:val="24"/>
          <w:szCs w:val="24"/>
        </w:rPr>
        <w:t>7</w:t>
      </w:r>
    </w:p>
    <w:p w14:paraId="4B17E977" w14:textId="77777777" w:rsidR="00B478A9" w:rsidRDefault="00B478A9" w:rsidP="0000117E">
      <w:pPr>
        <w:tabs>
          <w:tab w:val="left" w:pos="8364"/>
          <w:tab w:val="left" w:pos="8789"/>
        </w:tabs>
        <w:spacing w:after="0" w:line="360" w:lineRule="auto"/>
        <w:rPr>
          <w:rFonts w:ascii="Times New Roman" w:hAnsi="Times New Roman" w:cs="Times New Roman"/>
          <w:b/>
          <w:sz w:val="24"/>
          <w:szCs w:val="24"/>
        </w:rPr>
      </w:pPr>
    </w:p>
    <w:p w14:paraId="6F646839" w14:textId="77777777" w:rsidR="00D0587E" w:rsidRDefault="00D0587E" w:rsidP="0000117E">
      <w:pPr>
        <w:tabs>
          <w:tab w:val="left" w:pos="8364"/>
          <w:tab w:val="left" w:pos="8789"/>
        </w:tabs>
        <w:spacing w:after="0" w:line="360" w:lineRule="auto"/>
        <w:rPr>
          <w:rFonts w:ascii="Times New Roman" w:hAnsi="Times New Roman" w:cs="Times New Roman"/>
          <w:b/>
          <w:sz w:val="24"/>
          <w:szCs w:val="24"/>
        </w:rPr>
      </w:pPr>
    </w:p>
    <w:p w14:paraId="79FF456B" w14:textId="77777777" w:rsidR="00D0587E" w:rsidRDefault="00D0587E" w:rsidP="0000117E">
      <w:pPr>
        <w:tabs>
          <w:tab w:val="left" w:pos="8364"/>
          <w:tab w:val="left" w:pos="8789"/>
        </w:tabs>
        <w:spacing w:after="0" w:line="360" w:lineRule="auto"/>
        <w:rPr>
          <w:rFonts w:ascii="Times New Roman" w:hAnsi="Times New Roman" w:cs="Times New Roman"/>
          <w:b/>
          <w:sz w:val="24"/>
          <w:szCs w:val="24"/>
        </w:rPr>
      </w:pPr>
    </w:p>
    <w:p w14:paraId="51171DAB" w14:textId="77777777" w:rsidR="00D0587E" w:rsidRDefault="00D0587E" w:rsidP="0000117E">
      <w:pPr>
        <w:tabs>
          <w:tab w:val="left" w:pos="8364"/>
          <w:tab w:val="left" w:pos="8789"/>
        </w:tabs>
        <w:spacing w:after="0" w:line="360" w:lineRule="auto"/>
        <w:rPr>
          <w:rFonts w:ascii="Times New Roman" w:hAnsi="Times New Roman" w:cs="Times New Roman"/>
          <w:b/>
          <w:sz w:val="24"/>
          <w:szCs w:val="24"/>
        </w:rPr>
      </w:pPr>
    </w:p>
    <w:p w14:paraId="7EDA1670" w14:textId="77777777" w:rsidR="0096001E" w:rsidRPr="00491DDC" w:rsidRDefault="002E4D78" w:rsidP="003301D6">
      <w:pPr>
        <w:pStyle w:val="Nadpis1"/>
        <w:numPr>
          <w:ilvl w:val="0"/>
          <w:numId w:val="3"/>
        </w:numPr>
        <w:ind w:left="426" w:hanging="426"/>
      </w:pPr>
      <w:bookmarkStart w:id="1" w:name="_Toc437861291"/>
      <w:bookmarkStart w:id="2" w:name="_Toc437861915"/>
      <w:bookmarkStart w:id="3" w:name="_Toc437862594"/>
      <w:bookmarkStart w:id="4" w:name="_Toc437862736"/>
      <w:bookmarkStart w:id="5" w:name="_Toc437877322"/>
      <w:bookmarkStart w:id="6" w:name="_Toc437877520"/>
      <w:bookmarkStart w:id="7" w:name="_Toc437877720"/>
      <w:bookmarkStart w:id="8" w:name="_Toc437877920"/>
      <w:bookmarkStart w:id="9" w:name="_Toc437878123"/>
      <w:bookmarkStart w:id="10" w:name="_Toc437878327"/>
      <w:bookmarkStart w:id="11" w:name="_Toc437878531"/>
      <w:bookmarkStart w:id="12" w:name="_Toc437878735"/>
      <w:bookmarkStart w:id="13" w:name="_Toc437861292"/>
      <w:bookmarkStart w:id="14" w:name="_Toc437861916"/>
      <w:bookmarkStart w:id="15" w:name="_Toc437862595"/>
      <w:bookmarkStart w:id="16" w:name="_Toc437862737"/>
      <w:bookmarkStart w:id="17" w:name="_Toc437877323"/>
      <w:bookmarkStart w:id="18" w:name="_Toc437877521"/>
      <w:bookmarkStart w:id="19" w:name="_Toc437877721"/>
      <w:bookmarkStart w:id="20" w:name="_Toc437877921"/>
      <w:bookmarkStart w:id="21" w:name="_Toc437878124"/>
      <w:bookmarkStart w:id="22" w:name="_Toc437878328"/>
      <w:bookmarkStart w:id="23" w:name="_Toc437878532"/>
      <w:bookmarkStart w:id="24" w:name="_Toc437878736"/>
      <w:bookmarkStart w:id="25" w:name="_Toc48564574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491DDC">
        <w:lastRenderedPageBreak/>
        <w:t>Základné informácie o</w:t>
      </w:r>
      <w:r w:rsidR="009520AB" w:rsidRPr="00491DDC">
        <w:t> </w:t>
      </w:r>
      <w:r w:rsidRPr="00491DDC">
        <w:t>MAS</w:t>
      </w:r>
      <w:bookmarkEnd w:id="25"/>
    </w:p>
    <w:p w14:paraId="0F9BC76B" w14:textId="77777777" w:rsidR="002E4D78" w:rsidRPr="00891B13" w:rsidRDefault="00D21D1D" w:rsidP="003301D6">
      <w:pPr>
        <w:pStyle w:val="Nadpis2"/>
        <w:numPr>
          <w:ilvl w:val="1"/>
          <w:numId w:val="17"/>
        </w:numPr>
        <w:ind w:left="567"/>
      </w:pPr>
      <w:bookmarkStart w:id="26" w:name="_Toc437862597"/>
      <w:bookmarkStart w:id="27" w:name="_Toc437862739"/>
      <w:bookmarkStart w:id="28" w:name="_Toc437877325"/>
      <w:bookmarkStart w:id="29" w:name="_Toc437877523"/>
      <w:bookmarkStart w:id="30" w:name="_Toc437877723"/>
      <w:bookmarkStart w:id="31" w:name="_Toc437877923"/>
      <w:bookmarkStart w:id="32" w:name="_Toc437878126"/>
      <w:bookmarkStart w:id="33" w:name="_Toc437878330"/>
      <w:bookmarkStart w:id="34" w:name="_Toc437878534"/>
      <w:bookmarkStart w:id="35" w:name="_Toc437878738"/>
      <w:bookmarkStart w:id="36" w:name="_Toc485645747"/>
      <w:bookmarkEnd w:id="26"/>
      <w:bookmarkEnd w:id="27"/>
      <w:bookmarkEnd w:id="28"/>
      <w:bookmarkEnd w:id="29"/>
      <w:bookmarkEnd w:id="30"/>
      <w:bookmarkEnd w:id="31"/>
      <w:bookmarkEnd w:id="32"/>
      <w:bookmarkEnd w:id="33"/>
      <w:bookmarkEnd w:id="34"/>
      <w:bookmarkEnd w:id="35"/>
      <w:r w:rsidRPr="00891B13">
        <w:t xml:space="preserve">Identifikačné údaje </w:t>
      </w:r>
      <w:r w:rsidR="002E4D78" w:rsidRPr="00891B13">
        <w:t>MAS</w:t>
      </w:r>
      <w:bookmarkEnd w:id="36"/>
    </w:p>
    <w:p w14:paraId="663E09BE" w14:textId="77777777" w:rsidR="00E46F43" w:rsidRPr="00866300" w:rsidRDefault="00E46F43" w:rsidP="00E37887">
      <w:pPr>
        <w:spacing w:after="0" w:line="360" w:lineRule="auto"/>
        <w:rPr>
          <w:rFonts w:ascii="Times New Roman" w:hAnsi="Times New Roman" w:cs="Times New Roman"/>
          <w:b/>
          <w:sz w:val="20"/>
          <w:szCs w:val="20"/>
        </w:rPr>
      </w:pPr>
      <w:r w:rsidRPr="00866300">
        <w:rPr>
          <w:rFonts w:ascii="Times New Roman" w:hAnsi="Times New Roman" w:cs="Times New Roman"/>
          <w:b/>
          <w:sz w:val="20"/>
          <w:szCs w:val="20"/>
        </w:rPr>
        <w:t>Tabuľka 1</w:t>
      </w:r>
      <w:r w:rsidR="008C4E6A" w:rsidRPr="00866300">
        <w:rPr>
          <w:rFonts w:ascii="Times New Roman" w:hAnsi="Times New Roman" w:cs="Times New Roman"/>
          <w:b/>
          <w:sz w:val="20"/>
          <w:szCs w:val="20"/>
        </w:rPr>
        <w:t>.1.1</w:t>
      </w:r>
      <w:r w:rsidRPr="00866300">
        <w:rPr>
          <w:rFonts w:ascii="Times New Roman" w:hAnsi="Times New Roman" w:cs="Times New Roman"/>
          <w:b/>
          <w:sz w:val="20"/>
          <w:szCs w:val="20"/>
        </w:rPr>
        <w:t xml:space="preserve"> Identifikačné údaje MAS</w:t>
      </w:r>
    </w:p>
    <w:tbl>
      <w:tblPr>
        <w:tblStyle w:val="Mriekatabuky"/>
        <w:tblW w:w="0" w:type="auto"/>
        <w:tblInd w:w="108" w:type="dxa"/>
        <w:tblLook w:val="04A0" w:firstRow="1" w:lastRow="0" w:firstColumn="1" w:lastColumn="0" w:noHBand="0" w:noVBand="1"/>
      </w:tblPr>
      <w:tblGrid>
        <w:gridCol w:w="1410"/>
        <w:gridCol w:w="2719"/>
        <w:gridCol w:w="4943"/>
      </w:tblGrid>
      <w:tr w:rsidR="00AB4803" w:rsidRPr="00891B13" w14:paraId="51AAE909" w14:textId="77777777" w:rsidTr="00866300">
        <w:trPr>
          <w:trHeight w:val="277"/>
        </w:trPr>
        <w:tc>
          <w:tcPr>
            <w:tcW w:w="1410" w:type="dxa"/>
            <w:vMerge w:val="restart"/>
            <w:vAlign w:val="center"/>
          </w:tcPr>
          <w:p w14:paraId="7508AEDD" w14:textId="77777777" w:rsidR="00AB4803" w:rsidRPr="00891B13" w:rsidRDefault="00AB4803" w:rsidP="00E37887">
            <w:pPr>
              <w:spacing w:line="360" w:lineRule="auto"/>
              <w:jc w:val="center"/>
              <w:rPr>
                <w:rFonts w:ascii="Times New Roman" w:hAnsi="Times New Roman" w:cs="Times New Roman"/>
                <w:sz w:val="24"/>
                <w:szCs w:val="24"/>
              </w:rPr>
            </w:pPr>
            <w:r w:rsidRPr="00891B13">
              <w:rPr>
                <w:rFonts w:ascii="Times New Roman" w:hAnsi="Times New Roman" w:cs="Times New Roman"/>
                <w:sz w:val="24"/>
                <w:szCs w:val="24"/>
              </w:rPr>
              <w:t>Údaje o MAS</w:t>
            </w:r>
          </w:p>
        </w:tc>
        <w:tc>
          <w:tcPr>
            <w:tcW w:w="2719" w:type="dxa"/>
          </w:tcPr>
          <w:p w14:paraId="69294340" w14:textId="77777777" w:rsidR="00AB4803" w:rsidRPr="00891B13" w:rsidRDefault="00AB4803"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Názov MAS</w:t>
            </w:r>
          </w:p>
        </w:tc>
        <w:tc>
          <w:tcPr>
            <w:tcW w:w="4943" w:type="dxa"/>
          </w:tcPr>
          <w:p w14:paraId="6F05EEE6" w14:textId="77777777" w:rsidR="00AB4803" w:rsidRPr="00891B13" w:rsidRDefault="00FB1234" w:rsidP="00E37887">
            <w:pPr>
              <w:spacing w:line="360" w:lineRule="auto"/>
              <w:rPr>
                <w:rFonts w:ascii="Times New Roman" w:hAnsi="Times New Roman" w:cs="Times New Roman"/>
                <w:sz w:val="24"/>
                <w:szCs w:val="24"/>
              </w:rPr>
            </w:pPr>
            <w:r w:rsidRPr="00FB1234">
              <w:rPr>
                <w:rFonts w:ascii="Times New Roman" w:hAnsi="Times New Roman" w:cs="Times New Roman"/>
                <w:sz w:val="24"/>
                <w:szCs w:val="24"/>
              </w:rPr>
              <w:t>Kopaničiarsky región – miestna akčná skupina</w:t>
            </w:r>
          </w:p>
        </w:tc>
      </w:tr>
      <w:tr w:rsidR="00AB4803" w:rsidRPr="00891B13" w14:paraId="3A3477D6" w14:textId="77777777" w:rsidTr="00866300">
        <w:trPr>
          <w:trHeight w:val="1080"/>
        </w:trPr>
        <w:tc>
          <w:tcPr>
            <w:tcW w:w="1410" w:type="dxa"/>
            <w:vMerge/>
          </w:tcPr>
          <w:p w14:paraId="24BAE54C" w14:textId="77777777" w:rsidR="00AB4803" w:rsidRPr="00891B13" w:rsidRDefault="00AB4803" w:rsidP="00E37887">
            <w:pPr>
              <w:spacing w:line="360" w:lineRule="auto"/>
              <w:rPr>
                <w:rFonts w:ascii="Times New Roman" w:hAnsi="Times New Roman" w:cs="Times New Roman"/>
                <w:sz w:val="24"/>
                <w:szCs w:val="24"/>
              </w:rPr>
            </w:pPr>
          </w:p>
        </w:tc>
        <w:tc>
          <w:tcPr>
            <w:tcW w:w="2719" w:type="dxa"/>
          </w:tcPr>
          <w:p w14:paraId="30FB6515" w14:textId="77777777" w:rsidR="00AB4803" w:rsidRPr="00891B13" w:rsidRDefault="00AB4803"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Dátum registrácie v zmysle zákona č. 83/1990 Zb. o združovaní občanov v znení neskorších predpisov</w:t>
            </w:r>
          </w:p>
        </w:tc>
        <w:tc>
          <w:tcPr>
            <w:tcW w:w="4943" w:type="dxa"/>
          </w:tcPr>
          <w:p w14:paraId="3761B39E" w14:textId="77777777" w:rsidR="00AB4803" w:rsidRPr="00891B13" w:rsidRDefault="00640396" w:rsidP="00E37887">
            <w:pPr>
              <w:spacing w:line="360" w:lineRule="auto"/>
              <w:rPr>
                <w:rFonts w:ascii="Times New Roman" w:hAnsi="Times New Roman" w:cs="Times New Roman"/>
                <w:sz w:val="24"/>
                <w:szCs w:val="24"/>
              </w:rPr>
            </w:pPr>
            <w:r w:rsidRPr="00640396">
              <w:rPr>
                <w:rFonts w:ascii="Times New Roman" w:hAnsi="Times New Roman" w:cs="Times New Roman"/>
                <w:sz w:val="24"/>
                <w:szCs w:val="24"/>
              </w:rPr>
              <w:t>6.11.2007</w:t>
            </w:r>
          </w:p>
        </w:tc>
      </w:tr>
      <w:tr w:rsidR="00AB4803" w:rsidRPr="00891B13" w14:paraId="2ABB6E2C" w14:textId="77777777" w:rsidTr="00866300">
        <w:trPr>
          <w:trHeight w:val="277"/>
        </w:trPr>
        <w:tc>
          <w:tcPr>
            <w:tcW w:w="1410" w:type="dxa"/>
            <w:vMerge/>
          </w:tcPr>
          <w:p w14:paraId="09E61281" w14:textId="77777777" w:rsidR="00AB4803" w:rsidRPr="00891B13" w:rsidRDefault="00AB4803" w:rsidP="00E37887">
            <w:pPr>
              <w:spacing w:line="360" w:lineRule="auto"/>
              <w:rPr>
                <w:rFonts w:ascii="Times New Roman" w:hAnsi="Times New Roman" w:cs="Times New Roman"/>
                <w:sz w:val="24"/>
                <w:szCs w:val="24"/>
              </w:rPr>
            </w:pPr>
          </w:p>
        </w:tc>
        <w:tc>
          <w:tcPr>
            <w:tcW w:w="2719" w:type="dxa"/>
          </w:tcPr>
          <w:p w14:paraId="5A609675" w14:textId="77777777" w:rsidR="00AB4803" w:rsidRPr="00891B13" w:rsidRDefault="00AB4803"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 xml:space="preserve">Sídlo </w:t>
            </w:r>
          </w:p>
        </w:tc>
        <w:tc>
          <w:tcPr>
            <w:tcW w:w="4943" w:type="dxa"/>
          </w:tcPr>
          <w:p w14:paraId="4678FE2A" w14:textId="77777777" w:rsidR="00AB4803" w:rsidRPr="00891B13" w:rsidRDefault="00640396" w:rsidP="00E37887">
            <w:pPr>
              <w:spacing w:line="360" w:lineRule="auto"/>
              <w:rPr>
                <w:rFonts w:ascii="Times New Roman" w:hAnsi="Times New Roman" w:cs="Times New Roman"/>
                <w:sz w:val="24"/>
                <w:szCs w:val="24"/>
              </w:rPr>
            </w:pPr>
            <w:r w:rsidRPr="00640396">
              <w:rPr>
                <w:rFonts w:ascii="Times New Roman" w:hAnsi="Times New Roman" w:cs="Times New Roman"/>
                <w:sz w:val="24"/>
                <w:szCs w:val="24"/>
              </w:rPr>
              <w:t>M.R. Štefánika 560/4, 907 01, Myjava</w:t>
            </w:r>
          </w:p>
        </w:tc>
      </w:tr>
      <w:tr w:rsidR="00AB4803" w:rsidRPr="00891B13" w14:paraId="42D60AFA" w14:textId="77777777" w:rsidTr="00866300">
        <w:trPr>
          <w:trHeight w:val="263"/>
        </w:trPr>
        <w:tc>
          <w:tcPr>
            <w:tcW w:w="1410" w:type="dxa"/>
            <w:vMerge/>
          </w:tcPr>
          <w:p w14:paraId="737E4A73" w14:textId="77777777" w:rsidR="00AB4803" w:rsidRPr="00891B13" w:rsidRDefault="00AB4803" w:rsidP="00E37887">
            <w:pPr>
              <w:spacing w:line="360" w:lineRule="auto"/>
              <w:rPr>
                <w:rFonts w:ascii="Times New Roman" w:hAnsi="Times New Roman" w:cs="Times New Roman"/>
                <w:sz w:val="24"/>
                <w:szCs w:val="24"/>
              </w:rPr>
            </w:pPr>
          </w:p>
        </w:tc>
        <w:tc>
          <w:tcPr>
            <w:tcW w:w="2719" w:type="dxa"/>
          </w:tcPr>
          <w:p w14:paraId="4EFB0E05" w14:textId="77777777" w:rsidR="00AB4803" w:rsidRPr="00891B13" w:rsidRDefault="00AB4803"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IČO</w:t>
            </w:r>
          </w:p>
        </w:tc>
        <w:tc>
          <w:tcPr>
            <w:tcW w:w="4943" w:type="dxa"/>
          </w:tcPr>
          <w:p w14:paraId="1055B38E" w14:textId="77777777" w:rsidR="00AB4803" w:rsidRPr="00891B13" w:rsidRDefault="00640396" w:rsidP="00E37887">
            <w:pPr>
              <w:spacing w:line="360" w:lineRule="auto"/>
              <w:rPr>
                <w:rFonts w:ascii="Times New Roman" w:hAnsi="Times New Roman" w:cs="Times New Roman"/>
                <w:sz w:val="24"/>
                <w:szCs w:val="24"/>
              </w:rPr>
            </w:pPr>
            <w:r w:rsidRPr="00640396">
              <w:rPr>
                <w:rFonts w:ascii="Times New Roman" w:hAnsi="Times New Roman" w:cs="Times New Roman"/>
                <w:sz w:val="24"/>
                <w:szCs w:val="24"/>
              </w:rPr>
              <w:t>42025150</w:t>
            </w:r>
          </w:p>
        </w:tc>
      </w:tr>
      <w:tr w:rsidR="00AB4803" w:rsidRPr="00891B13" w14:paraId="2AA48ABF" w14:textId="77777777" w:rsidTr="00866300">
        <w:trPr>
          <w:trHeight w:val="277"/>
        </w:trPr>
        <w:tc>
          <w:tcPr>
            <w:tcW w:w="1410" w:type="dxa"/>
            <w:vMerge/>
          </w:tcPr>
          <w:p w14:paraId="28700219" w14:textId="77777777" w:rsidR="00AB4803" w:rsidRPr="00891B13" w:rsidRDefault="00AB4803" w:rsidP="00E37887">
            <w:pPr>
              <w:spacing w:line="360" w:lineRule="auto"/>
              <w:rPr>
                <w:rFonts w:ascii="Times New Roman" w:hAnsi="Times New Roman" w:cs="Times New Roman"/>
                <w:sz w:val="24"/>
                <w:szCs w:val="24"/>
              </w:rPr>
            </w:pPr>
          </w:p>
        </w:tc>
        <w:tc>
          <w:tcPr>
            <w:tcW w:w="2719" w:type="dxa"/>
          </w:tcPr>
          <w:p w14:paraId="6C0D346C" w14:textId="77777777" w:rsidR="00AB4803" w:rsidRPr="00891B13" w:rsidRDefault="00AB4803"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DIČ</w:t>
            </w:r>
            <w:r w:rsidR="00D21D1D" w:rsidRPr="00891B13">
              <w:rPr>
                <w:rFonts w:ascii="Times New Roman" w:hAnsi="Times New Roman" w:cs="Times New Roman"/>
                <w:sz w:val="24"/>
                <w:szCs w:val="24"/>
              </w:rPr>
              <w:t xml:space="preserve"> (ak relevantné)</w:t>
            </w:r>
          </w:p>
        </w:tc>
        <w:tc>
          <w:tcPr>
            <w:tcW w:w="4943" w:type="dxa"/>
          </w:tcPr>
          <w:p w14:paraId="51A10E0B" w14:textId="77777777" w:rsidR="00AB4803" w:rsidRPr="00891B13" w:rsidRDefault="00640396" w:rsidP="00E37887">
            <w:pPr>
              <w:spacing w:line="360" w:lineRule="auto"/>
              <w:rPr>
                <w:rFonts w:ascii="Times New Roman" w:hAnsi="Times New Roman" w:cs="Times New Roman"/>
                <w:sz w:val="24"/>
                <w:szCs w:val="24"/>
              </w:rPr>
            </w:pPr>
            <w:r w:rsidRPr="00640396">
              <w:rPr>
                <w:rFonts w:ascii="Times New Roman" w:hAnsi="Times New Roman" w:cs="Times New Roman"/>
                <w:sz w:val="24"/>
                <w:szCs w:val="24"/>
              </w:rPr>
              <w:t>2022474399</w:t>
            </w:r>
          </w:p>
        </w:tc>
      </w:tr>
      <w:tr w:rsidR="00C43332" w:rsidRPr="00891B13" w14:paraId="09BF39CD" w14:textId="77777777" w:rsidTr="00866300">
        <w:trPr>
          <w:trHeight w:val="263"/>
        </w:trPr>
        <w:tc>
          <w:tcPr>
            <w:tcW w:w="1410" w:type="dxa"/>
            <w:vMerge w:val="restart"/>
            <w:vAlign w:val="center"/>
          </w:tcPr>
          <w:p w14:paraId="056B978F" w14:textId="77777777" w:rsidR="00C43332" w:rsidRPr="00891B13" w:rsidRDefault="00C43332" w:rsidP="00E37887">
            <w:pPr>
              <w:spacing w:line="360" w:lineRule="auto"/>
              <w:jc w:val="center"/>
              <w:rPr>
                <w:rFonts w:ascii="Times New Roman" w:hAnsi="Times New Roman" w:cs="Times New Roman"/>
                <w:sz w:val="24"/>
                <w:szCs w:val="24"/>
              </w:rPr>
            </w:pPr>
            <w:r w:rsidRPr="00891B13">
              <w:rPr>
                <w:rFonts w:ascii="Times New Roman" w:hAnsi="Times New Roman" w:cs="Times New Roman"/>
                <w:sz w:val="24"/>
                <w:szCs w:val="24"/>
              </w:rPr>
              <w:t>Údaje o banke</w:t>
            </w:r>
          </w:p>
        </w:tc>
        <w:tc>
          <w:tcPr>
            <w:tcW w:w="2719" w:type="dxa"/>
          </w:tcPr>
          <w:p w14:paraId="0BA1F815"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Názov banky</w:t>
            </w:r>
          </w:p>
        </w:tc>
        <w:tc>
          <w:tcPr>
            <w:tcW w:w="4943" w:type="dxa"/>
          </w:tcPr>
          <w:p w14:paraId="5FB6FAC5"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UniCredit Bank</w:t>
            </w:r>
            <w:r w:rsidRPr="00640396">
              <w:rPr>
                <w:rFonts w:ascii="Times New Roman" w:hAnsi="Times New Roman" w:cs="Times New Roman"/>
                <w:sz w:val="24"/>
                <w:szCs w:val="24"/>
              </w:rPr>
              <w:t xml:space="preserve"> </w:t>
            </w:r>
            <w:r w:rsidRPr="00721FE8">
              <w:rPr>
                <w:rFonts w:ascii="Times New Roman" w:hAnsi="Times New Roman" w:cs="Times New Roman"/>
                <w:sz w:val="24"/>
                <w:szCs w:val="24"/>
              </w:rPr>
              <w:t>Czech Republic and Slovakia, a.s., pobočka zahraničnej banky</w:t>
            </w:r>
            <w:r w:rsidRPr="00640396">
              <w:rPr>
                <w:rFonts w:ascii="Times New Roman" w:hAnsi="Times New Roman" w:cs="Times New Roman"/>
                <w:sz w:val="24"/>
                <w:szCs w:val="24"/>
              </w:rPr>
              <w:t xml:space="preserve">, </w:t>
            </w:r>
            <w:r>
              <w:rPr>
                <w:rFonts w:ascii="Times New Roman" w:hAnsi="Times New Roman" w:cs="Times New Roman"/>
                <w:sz w:val="24"/>
                <w:szCs w:val="24"/>
              </w:rPr>
              <w:t xml:space="preserve">Šancová </w:t>
            </w:r>
            <w:r w:rsidRPr="00640396">
              <w:rPr>
                <w:rFonts w:ascii="Times New Roman" w:hAnsi="Times New Roman" w:cs="Times New Roman"/>
                <w:sz w:val="24"/>
                <w:szCs w:val="24"/>
              </w:rPr>
              <w:t>1</w:t>
            </w:r>
            <w:r>
              <w:rPr>
                <w:rFonts w:ascii="Times New Roman" w:hAnsi="Times New Roman" w:cs="Times New Roman"/>
                <w:sz w:val="24"/>
                <w:szCs w:val="24"/>
              </w:rPr>
              <w:t>/A</w:t>
            </w:r>
            <w:r w:rsidRPr="00640396">
              <w:rPr>
                <w:rFonts w:ascii="Times New Roman" w:hAnsi="Times New Roman" w:cs="Times New Roman"/>
                <w:sz w:val="24"/>
                <w:szCs w:val="24"/>
              </w:rPr>
              <w:t>, 8</w:t>
            </w:r>
            <w:r>
              <w:rPr>
                <w:rFonts w:ascii="Times New Roman" w:hAnsi="Times New Roman" w:cs="Times New Roman"/>
                <w:sz w:val="24"/>
                <w:szCs w:val="24"/>
              </w:rPr>
              <w:t>13 33</w:t>
            </w:r>
            <w:r w:rsidRPr="00640396">
              <w:rPr>
                <w:rFonts w:ascii="Times New Roman" w:hAnsi="Times New Roman" w:cs="Times New Roman"/>
                <w:sz w:val="24"/>
                <w:szCs w:val="24"/>
              </w:rPr>
              <w:t xml:space="preserve"> Bratislava </w:t>
            </w:r>
          </w:p>
        </w:tc>
      </w:tr>
      <w:tr w:rsidR="00C43332" w:rsidRPr="00891B13" w14:paraId="09AAB5EF" w14:textId="77777777" w:rsidTr="00866300">
        <w:trPr>
          <w:trHeight w:val="263"/>
        </w:trPr>
        <w:tc>
          <w:tcPr>
            <w:tcW w:w="1410" w:type="dxa"/>
            <w:vMerge/>
            <w:vAlign w:val="center"/>
          </w:tcPr>
          <w:p w14:paraId="081925F9" w14:textId="77777777" w:rsidR="00C43332" w:rsidRPr="00891B13" w:rsidRDefault="00C43332" w:rsidP="00E37887">
            <w:pPr>
              <w:spacing w:line="360" w:lineRule="auto"/>
              <w:jc w:val="center"/>
              <w:rPr>
                <w:rFonts w:ascii="Times New Roman" w:hAnsi="Times New Roman" w:cs="Times New Roman"/>
                <w:sz w:val="24"/>
                <w:szCs w:val="24"/>
              </w:rPr>
            </w:pPr>
          </w:p>
        </w:tc>
        <w:tc>
          <w:tcPr>
            <w:tcW w:w="2719" w:type="dxa"/>
          </w:tcPr>
          <w:p w14:paraId="47D27349"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Číslo účtu</w:t>
            </w:r>
          </w:p>
        </w:tc>
        <w:tc>
          <w:tcPr>
            <w:tcW w:w="4943" w:type="dxa"/>
          </w:tcPr>
          <w:p w14:paraId="6F9D8957"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1075749002</w:t>
            </w:r>
            <w:r w:rsidRPr="00640396">
              <w:rPr>
                <w:rFonts w:ascii="Times New Roman" w:hAnsi="Times New Roman" w:cs="Times New Roman"/>
                <w:sz w:val="24"/>
                <w:szCs w:val="24"/>
              </w:rPr>
              <w:t>/</w:t>
            </w:r>
            <w:r>
              <w:rPr>
                <w:rFonts w:ascii="Times New Roman" w:hAnsi="Times New Roman" w:cs="Times New Roman"/>
                <w:sz w:val="24"/>
                <w:szCs w:val="24"/>
              </w:rPr>
              <w:t>1111</w:t>
            </w:r>
          </w:p>
        </w:tc>
      </w:tr>
      <w:tr w:rsidR="00C43332" w:rsidRPr="00891B13" w14:paraId="52173021" w14:textId="77777777" w:rsidTr="00866300">
        <w:trPr>
          <w:trHeight w:val="263"/>
        </w:trPr>
        <w:tc>
          <w:tcPr>
            <w:tcW w:w="1410" w:type="dxa"/>
            <w:vMerge/>
          </w:tcPr>
          <w:p w14:paraId="751257E1" w14:textId="77777777" w:rsidR="00C43332" w:rsidRPr="00891B13" w:rsidRDefault="00C43332" w:rsidP="003301D6">
            <w:pPr>
              <w:pStyle w:val="Odsekzoznamu"/>
              <w:numPr>
                <w:ilvl w:val="0"/>
                <w:numId w:val="1"/>
              </w:numPr>
              <w:spacing w:line="360" w:lineRule="auto"/>
              <w:rPr>
                <w:rFonts w:ascii="Times New Roman" w:hAnsi="Times New Roman" w:cs="Times New Roman"/>
                <w:sz w:val="24"/>
                <w:szCs w:val="24"/>
              </w:rPr>
            </w:pPr>
          </w:p>
        </w:tc>
        <w:tc>
          <w:tcPr>
            <w:tcW w:w="2719" w:type="dxa"/>
          </w:tcPr>
          <w:p w14:paraId="5BC24C92"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IBAN</w:t>
            </w:r>
          </w:p>
        </w:tc>
        <w:tc>
          <w:tcPr>
            <w:tcW w:w="4943" w:type="dxa"/>
          </w:tcPr>
          <w:p w14:paraId="4800645D" w14:textId="77777777" w:rsidR="00C43332" w:rsidRPr="00891B13" w:rsidRDefault="00C43332" w:rsidP="00E37887">
            <w:pPr>
              <w:spacing w:line="360" w:lineRule="auto"/>
              <w:rPr>
                <w:rFonts w:ascii="Times New Roman" w:hAnsi="Times New Roman" w:cs="Times New Roman"/>
                <w:sz w:val="24"/>
                <w:szCs w:val="24"/>
              </w:rPr>
            </w:pPr>
            <w:r w:rsidRPr="00640396">
              <w:rPr>
                <w:rFonts w:ascii="Times New Roman" w:hAnsi="Times New Roman" w:cs="Times New Roman"/>
                <w:sz w:val="24"/>
                <w:szCs w:val="24"/>
              </w:rPr>
              <w:t>SK</w:t>
            </w:r>
            <w:r>
              <w:rPr>
                <w:rFonts w:ascii="Times New Roman" w:hAnsi="Times New Roman" w:cs="Times New Roman"/>
                <w:sz w:val="24"/>
                <w:szCs w:val="24"/>
              </w:rPr>
              <w:t xml:space="preserve">2311110000001075749002         </w:t>
            </w:r>
          </w:p>
        </w:tc>
      </w:tr>
      <w:tr w:rsidR="00C43332" w:rsidRPr="00891B13" w14:paraId="5B4EAA8A" w14:textId="77777777" w:rsidTr="00866300">
        <w:trPr>
          <w:trHeight w:val="277"/>
        </w:trPr>
        <w:tc>
          <w:tcPr>
            <w:tcW w:w="1410" w:type="dxa"/>
            <w:vMerge/>
          </w:tcPr>
          <w:p w14:paraId="5E9E54DA" w14:textId="77777777" w:rsidR="00C43332" w:rsidRPr="00891B13" w:rsidRDefault="00C43332" w:rsidP="003301D6">
            <w:pPr>
              <w:pStyle w:val="Odsekzoznamu"/>
              <w:numPr>
                <w:ilvl w:val="0"/>
                <w:numId w:val="1"/>
              </w:numPr>
              <w:spacing w:line="360" w:lineRule="auto"/>
              <w:rPr>
                <w:rFonts w:ascii="Times New Roman" w:hAnsi="Times New Roman" w:cs="Times New Roman"/>
                <w:sz w:val="24"/>
                <w:szCs w:val="24"/>
              </w:rPr>
            </w:pPr>
          </w:p>
        </w:tc>
        <w:tc>
          <w:tcPr>
            <w:tcW w:w="2719" w:type="dxa"/>
          </w:tcPr>
          <w:p w14:paraId="7B2A1A7D"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SWIFT</w:t>
            </w:r>
          </w:p>
        </w:tc>
        <w:tc>
          <w:tcPr>
            <w:tcW w:w="4943" w:type="dxa"/>
          </w:tcPr>
          <w:p w14:paraId="194731D0"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UNCR</w:t>
            </w:r>
            <w:r w:rsidRPr="00640396">
              <w:rPr>
                <w:rFonts w:ascii="Times New Roman" w:hAnsi="Times New Roman" w:cs="Times New Roman"/>
                <w:sz w:val="24"/>
                <w:szCs w:val="24"/>
              </w:rPr>
              <w:t>SKBX</w:t>
            </w:r>
          </w:p>
        </w:tc>
      </w:tr>
      <w:tr w:rsidR="00C43332" w:rsidRPr="00891B13" w14:paraId="4478D55A" w14:textId="77777777" w:rsidTr="00866300">
        <w:trPr>
          <w:trHeight w:val="277"/>
        </w:trPr>
        <w:tc>
          <w:tcPr>
            <w:tcW w:w="1410" w:type="dxa"/>
            <w:vMerge w:val="restart"/>
            <w:vAlign w:val="center"/>
          </w:tcPr>
          <w:p w14:paraId="73F14FE3" w14:textId="77777777" w:rsidR="00C43332" w:rsidRPr="00891B13" w:rsidRDefault="00C43332" w:rsidP="00E37887">
            <w:pPr>
              <w:spacing w:line="360" w:lineRule="auto"/>
              <w:jc w:val="center"/>
              <w:rPr>
                <w:rFonts w:ascii="Times New Roman" w:hAnsi="Times New Roman" w:cs="Times New Roman"/>
                <w:sz w:val="24"/>
                <w:szCs w:val="24"/>
              </w:rPr>
            </w:pPr>
            <w:r w:rsidRPr="00891B13">
              <w:rPr>
                <w:rFonts w:ascii="Times New Roman" w:hAnsi="Times New Roman" w:cs="Times New Roman"/>
                <w:sz w:val="24"/>
                <w:szCs w:val="24"/>
              </w:rPr>
              <w:t>Údaje o štatutárovi</w:t>
            </w:r>
          </w:p>
        </w:tc>
        <w:tc>
          <w:tcPr>
            <w:tcW w:w="2719" w:type="dxa"/>
          </w:tcPr>
          <w:p w14:paraId="0B92BCEA"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Meno a priezvisko</w:t>
            </w:r>
          </w:p>
        </w:tc>
        <w:tc>
          <w:tcPr>
            <w:tcW w:w="4943" w:type="dxa"/>
          </w:tcPr>
          <w:p w14:paraId="176623D1"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Ing. Ivan Bzdúšek</w:t>
            </w:r>
          </w:p>
        </w:tc>
      </w:tr>
      <w:tr w:rsidR="00C43332" w:rsidRPr="00891B13" w14:paraId="224BB5AA" w14:textId="77777777" w:rsidTr="00866300">
        <w:trPr>
          <w:trHeight w:val="277"/>
        </w:trPr>
        <w:tc>
          <w:tcPr>
            <w:tcW w:w="1410" w:type="dxa"/>
            <w:vMerge/>
            <w:vAlign w:val="center"/>
          </w:tcPr>
          <w:p w14:paraId="6A9DC206" w14:textId="77777777" w:rsidR="00C43332" w:rsidRPr="00891B13" w:rsidRDefault="00C43332" w:rsidP="00E37887">
            <w:pPr>
              <w:spacing w:line="360" w:lineRule="auto"/>
              <w:jc w:val="center"/>
              <w:rPr>
                <w:rFonts w:ascii="Times New Roman" w:hAnsi="Times New Roman" w:cs="Times New Roman"/>
                <w:sz w:val="24"/>
                <w:szCs w:val="24"/>
              </w:rPr>
            </w:pPr>
          </w:p>
        </w:tc>
        <w:tc>
          <w:tcPr>
            <w:tcW w:w="2719" w:type="dxa"/>
          </w:tcPr>
          <w:p w14:paraId="41294256"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 xml:space="preserve">E-mail </w:t>
            </w:r>
          </w:p>
        </w:tc>
        <w:tc>
          <w:tcPr>
            <w:tcW w:w="4943" w:type="dxa"/>
          </w:tcPr>
          <w:p w14:paraId="66E2B522"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bzdusek</w:t>
            </w:r>
            <w:r w:rsidRPr="00640396">
              <w:rPr>
                <w:rFonts w:ascii="Times New Roman" w:hAnsi="Times New Roman" w:cs="Times New Roman"/>
                <w:sz w:val="24"/>
                <w:szCs w:val="24"/>
              </w:rPr>
              <w:t>@</w:t>
            </w:r>
            <w:r>
              <w:rPr>
                <w:rFonts w:ascii="Times New Roman" w:hAnsi="Times New Roman" w:cs="Times New Roman"/>
                <w:sz w:val="24"/>
                <w:szCs w:val="24"/>
              </w:rPr>
              <w:t>azet</w:t>
            </w:r>
            <w:r w:rsidRPr="00640396">
              <w:rPr>
                <w:rFonts w:ascii="Times New Roman" w:hAnsi="Times New Roman" w:cs="Times New Roman"/>
                <w:sz w:val="24"/>
                <w:szCs w:val="24"/>
              </w:rPr>
              <w:t>.sk</w:t>
            </w:r>
          </w:p>
        </w:tc>
      </w:tr>
      <w:tr w:rsidR="00C43332" w:rsidRPr="00891B13" w14:paraId="069613E2" w14:textId="77777777" w:rsidTr="00866300">
        <w:trPr>
          <w:trHeight w:val="277"/>
        </w:trPr>
        <w:tc>
          <w:tcPr>
            <w:tcW w:w="1410" w:type="dxa"/>
            <w:vMerge/>
            <w:vAlign w:val="center"/>
          </w:tcPr>
          <w:p w14:paraId="4D850C34" w14:textId="77777777" w:rsidR="00C43332" w:rsidRPr="00891B13" w:rsidRDefault="00C43332" w:rsidP="00E37887">
            <w:pPr>
              <w:spacing w:line="360" w:lineRule="auto"/>
              <w:jc w:val="center"/>
              <w:rPr>
                <w:rFonts w:ascii="Times New Roman" w:hAnsi="Times New Roman" w:cs="Times New Roman"/>
                <w:sz w:val="24"/>
                <w:szCs w:val="24"/>
              </w:rPr>
            </w:pPr>
          </w:p>
        </w:tc>
        <w:tc>
          <w:tcPr>
            <w:tcW w:w="2719" w:type="dxa"/>
          </w:tcPr>
          <w:p w14:paraId="043211BE"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Telefón</w:t>
            </w:r>
          </w:p>
        </w:tc>
        <w:tc>
          <w:tcPr>
            <w:tcW w:w="4943" w:type="dxa"/>
          </w:tcPr>
          <w:p w14:paraId="0FDF5A40" w14:textId="77777777" w:rsidR="00C43332" w:rsidRPr="00891B13" w:rsidRDefault="00C43332" w:rsidP="00E37887">
            <w:pPr>
              <w:spacing w:line="360" w:lineRule="auto"/>
              <w:rPr>
                <w:rFonts w:ascii="Times New Roman" w:hAnsi="Times New Roman" w:cs="Times New Roman"/>
                <w:sz w:val="24"/>
                <w:szCs w:val="24"/>
              </w:rPr>
            </w:pPr>
            <w:r>
              <w:rPr>
                <w:rFonts w:ascii="Times New Roman" w:hAnsi="Times New Roman" w:cs="Times New Roman"/>
                <w:sz w:val="24"/>
                <w:szCs w:val="24"/>
              </w:rPr>
              <w:t>00421-903 124 278</w:t>
            </w:r>
          </w:p>
        </w:tc>
      </w:tr>
      <w:tr w:rsidR="00C43332" w:rsidRPr="00891B13" w14:paraId="3DDA6D92" w14:textId="77777777" w:rsidTr="00866300">
        <w:trPr>
          <w:trHeight w:val="277"/>
        </w:trPr>
        <w:tc>
          <w:tcPr>
            <w:tcW w:w="1410" w:type="dxa"/>
            <w:vMerge w:val="restart"/>
            <w:vAlign w:val="center"/>
          </w:tcPr>
          <w:p w14:paraId="46857548" w14:textId="77777777" w:rsidR="00C43332" w:rsidRPr="00891B13" w:rsidRDefault="00C43332" w:rsidP="00E37887">
            <w:pPr>
              <w:spacing w:line="360" w:lineRule="auto"/>
              <w:jc w:val="center"/>
              <w:rPr>
                <w:rFonts w:ascii="Times New Roman" w:hAnsi="Times New Roman" w:cs="Times New Roman"/>
                <w:sz w:val="24"/>
                <w:szCs w:val="24"/>
              </w:rPr>
            </w:pPr>
            <w:r w:rsidRPr="00891B13">
              <w:rPr>
                <w:rFonts w:ascii="Times New Roman" w:hAnsi="Times New Roman" w:cs="Times New Roman"/>
                <w:sz w:val="24"/>
                <w:szCs w:val="24"/>
              </w:rPr>
              <w:t>Údaje o kontaktnej osobe</w:t>
            </w:r>
          </w:p>
        </w:tc>
        <w:tc>
          <w:tcPr>
            <w:tcW w:w="2719" w:type="dxa"/>
          </w:tcPr>
          <w:p w14:paraId="08F11D22"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Meno a priezvisko</w:t>
            </w:r>
          </w:p>
        </w:tc>
        <w:tc>
          <w:tcPr>
            <w:tcW w:w="4943" w:type="dxa"/>
          </w:tcPr>
          <w:p w14:paraId="24F749E4" w14:textId="77777777" w:rsidR="00C43332" w:rsidRPr="00891B13" w:rsidRDefault="00C43332" w:rsidP="00E37887">
            <w:pPr>
              <w:spacing w:line="360" w:lineRule="auto"/>
              <w:rPr>
                <w:rFonts w:ascii="Times New Roman" w:hAnsi="Times New Roman" w:cs="Times New Roman"/>
                <w:sz w:val="24"/>
                <w:szCs w:val="24"/>
              </w:rPr>
            </w:pPr>
            <w:r w:rsidRPr="00927E19">
              <w:rPr>
                <w:rFonts w:ascii="Times New Roman" w:hAnsi="Times New Roman" w:cs="Times New Roman"/>
                <w:sz w:val="24"/>
                <w:szCs w:val="24"/>
              </w:rPr>
              <w:t>Mgr. Peter Nemček</w:t>
            </w:r>
          </w:p>
        </w:tc>
      </w:tr>
      <w:tr w:rsidR="00C43332" w:rsidRPr="00891B13" w14:paraId="6A6CC4AB" w14:textId="77777777" w:rsidTr="00866300">
        <w:trPr>
          <w:trHeight w:val="277"/>
        </w:trPr>
        <w:tc>
          <w:tcPr>
            <w:tcW w:w="1410" w:type="dxa"/>
            <w:vMerge/>
            <w:vAlign w:val="center"/>
          </w:tcPr>
          <w:p w14:paraId="7FAA4749" w14:textId="77777777" w:rsidR="00C43332" w:rsidRPr="00891B13" w:rsidRDefault="00C43332" w:rsidP="00E37887">
            <w:pPr>
              <w:spacing w:line="360" w:lineRule="auto"/>
              <w:jc w:val="center"/>
              <w:rPr>
                <w:rFonts w:ascii="Times New Roman" w:hAnsi="Times New Roman" w:cs="Times New Roman"/>
                <w:sz w:val="24"/>
                <w:szCs w:val="24"/>
              </w:rPr>
            </w:pPr>
          </w:p>
        </w:tc>
        <w:tc>
          <w:tcPr>
            <w:tcW w:w="2719" w:type="dxa"/>
          </w:tcPr>
          <w:p w14:paraId="427DC623"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 xml:space="preserve">E-mail </w:t>
            </w:r>
          </w:p>
        </w:tc>
        <w:tc>
          <w:tcPr>
            <w:tcW w:w="4943" w:type="dxa"/>
          </w:tcPr>
          <w:p w14:paraId="6E27080D" w14:textId="77777777" w:rsidR="00C43332" w:rsidRPr="00891B13" w:rsidRDefault="00C43332" w:rsidP="00E37887">
            <w:pPr>
              <w:spacing w:line="360" w:lineRule="auto"/>
              <w:rPr>
                <w:rFonts w:ascii="Times New Roman" w:hAnsi="Times New Roman" w:cs="Times New Roman"/>
                <w:sz w:val="24"/>
                <w:szCs w:val="24"/>
              </w:rPr>
            </w:pPr>
            <w:r w:rsidRPr="00927E19">
              <w:rPr>
                <w:rFonts w:ascii="Times New Roman" w:hAnsi="Times New Roman" w:cs="Times New Roman"/>
                <w:sz w:val="24"/>
                <w:szCs w:val="24"/>
              </w:rPr>
              <w:t>peter.nemcek@mail.t-com.sk</w:t>
            </w:r>
          </w:p>
        </w:tc>
      </w:tr>
      <w:tr w:rsidR="00C43332" w:rsidRPr="00891B13" w14:paraId="31672900" w14:textId="77777777" w:rsidTr="00866300">
        <w:trPr>
          <w:trHeight w:val="277"/>
        </w:trPr>
        <w:tc>
          <w:tcPr>
            <w:tcW w:w="1410" w:type="dxa"/>
            <w:vMerge/>
            <w:vAlign w:val="center"/>
          </w:tcPr>
          <w:p w14:paraId="69C1CE54" w14:textId="77777777" w:rsidR="00C43332" w:rsidRPr="00891B13" w:rsidRDefault="00C43332" w:rsidP="00E37887">
            <w:pPr>
              <w:spacing w:line="360" w:lineRule="auto"/>
              <w:jc w:val="center"/>
              <w:rPr>
                <w:rFonts w:ascii="Times New Roman" w:hAnsi="Times New Roman" w:cs="Times New Roman"/>
                <w:sz w:val="24"/>
                <w:szCs w:val="24"/>
              </w:rPr>
            </w:pPr>
          </w:p>
        </w:tc>
        <w:tc>
          <w:tcPr>
            <w:tcW w:w="2719" w:type="dxa"/>
          </w:tcPr>
          <w:p w14:paraId="4B15502B" w14:textId="77777777" w:rsidR="00C43332" w:rsidRPr="00891B13" w:rsidRDefault="00C43332" w:rsidP="00E37887">
            <w:pPr>
              <w:spacing w:line="360" w:lineRule="auto"/>
              <w:rPr>
                <w:rFonts w:ascii="Times New Roman" w:hAnsi="Times New Roman" w:cs="Times New Roman"/>
                <w:sz w:val="24"/>
                <w:szCs w:val="24"/>
              </w:rPr>
            </w:pPr>
            <w:r w:rsidRPr="00891B13">
              <w:rPr>
                <w:rFonts w:ascii="Times New Roman" w:hAnsi="Times New Roman" w:cs="Times New Roman"/>
                <w:sz w:val="24"/>
                <w:szCs w:val="24"/>
              </w:rPr>
              <w:t>Telefón</w:t>
            </w:r>
          </w:p>
        </w:tc>
        <w:tc>
          <w:tcPr>
            <w:tcW w:w="4943" w:type="dxa"/>
          </w:tcPr>
          <w:p w14:paraId="0BB171CB" w14:textId="77777777" w:rsidR="00C43332" w:rsidRPr="00891B13" w:rsidRDefault="00C43332" w:rsidP="00E37887">
            <w:pPr>
              <w:spacing w:line="360" w:lineRule="auto"/>
              <w:rPr>
                <w:rFonts w:ascii="Times New Roman" w:hAnsi="Times New Roman" w:cs="Times New Roman"/>
                <w:sz w:val="24"/>
                <w:szCs w:val="24"/>
              </w:rPr>
            </w:pPr>
            <w:r w:rsidRPr="00927E19">
              <w:rPr>
                <w:rFonts w:ascii="Times New Roman" w:hAnsi="Times New Roman" w:cs="Times New Roman"/>
                <w:sz w:val="24"/>
                <w:szCs w:val="24"/>
              </w:rPr>
              <w:t>034/653 83 44</w:t>
            </w:r>
          </w:p>
        </w:tc>
      </w:tr>
    </w:tbl>
    <w:p w14:paraId="5D9CBDF0" w14:textId="77777777" w:rsidR="006B0AC3" w:rsidRPr="006B0AC3" w:rsidRDefault="006B0AC3" w:rsidP="006B0AC3"/>
    <w:p w14:paraId="612F9154" w14:textId="77777777" w:rsidR="006B0AC3" w:rsidRPr="006B0AC3" w:rsidRDefault="006B0AC3" w:rsidP="003301D6">
      <w:pPr>
        <w:pStyle w:val="Odsekzoznamu"/>
        <w:keepNext/>
        <w:keepLines/>
        <w:numPr>
          <w:ilvl w:val="0"/>
          <w:numId w:val="16"/>
        </w:numPr>
        <w:spacing w:after="0" w:line="360" w:lineRule="auto"/>
        <w:contextualSpacing w:val="0"/>
        <w:outlineLvl w:val="1"/>
        <w:rPr>
          <w:rFonts w:ascii="Times New Roman" w:eastAsiaTheme="majorEastAsia" w:hAnsi="Times New Roman" w:cstheme="majorBidi"/>
          <w:b/>
          <w:vanish/>
          <w:sz w:val="24"/>
          <w:szCs w:val="26"/>
        </w:rPr>
      </w:pPr>
      <w:bookmarkStart w:id="37" w:name="_Toc437862599"/>
      <w:bookmarkStart w:id="38" w:name="_Toc437862741"/>
      <w:bookmarkStart w:id="39" w:name="_Toc437877327"/>
      <w:bookmarkStart w:id="40" w:name="_Toc437877525"/>
      <w:bookmarkStart w:id="41" w:name="_Toc437877725"/>
      <w:bookmarkStart w:id="42" w:name="_Toc437877925"/>
      <w:bookmarkStart w:id="43" w:name="_Toc437878128"/>
      <w:bookmarkStart w:id="44" w:name="_Toc437878332"/>
      <w:bookmarkStart w:id="45" w:name="_Toc437878536"/>
      <w:bookmarkStart w:id="46" w:name="_Toc437878740"/>
      <w:bookmarkStart w:id="47" w:name="_Toc439149947"/>
      <w:bookmarkStart w:id="48" w:name="_Toc439150302"/>
      <w:bookmarkStart w:id="49" w:name="_Toc439150498"/>
      <w:bookmarkStart w:id="50" w:name="_Toc485645589"/>
      <w:bookmarkStart w:id="51" w:name="_Toc48564574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8E727FE" w14:textId="77777777" w:rsidR="006B0AC3" w:rsidRPr="006B0AC3" w:rsidRDefault="006B0AC3" w:rsidP="003301D6">
      <w:pPr>
        <w:pStyle w:val="Odsekzoznamu"/>
        <w:keepNext/>
        <w:keepLines/>
        <w:numPr>
          <w:ilvl w:val="1"/>
          <w:numId w:val="16"/>
        </w:numPr>
        <w:spacing w:after="0" w:line="360" w:lineRule="auto"/>
        <w:contextualSpacing w:val="0"/>
        <w:outlineLvl w:val="1"/>
        <w:rPr>
          <w:rFonts w:ascii="Times New Roman" w:eastAsiaTheme="majorEastAsia" w:hAnsi="Times New Roman" w:cstheme="majorBidi"/>
          <w:b/>
          <w:vanish/>
          <w:sz w:val="24"/>
          <w:szCs w:val="26"/>
        </w:rPr>
      </w:pPr>
      <w:bookmarkStart w:id="52" w:name="_Toc437862600"/>
      <w:bookmarkStart w:id="53" w:name="_Toc437862742"/>
      <w:bookmarkStart w:id="54" w:name="_Toc437877328"/>
      <w:bookmarkStart w:id="55" w:name="_Toc437877526"/>
      <w:bookmarkStart w:id="56" w:name="_Toc437877726"/>
      <w:bookmarkStart w:id="57" w:name="_Toc437877926"/>
      <w:bookmarkStart w:id="58" w:name="_Toc437878129"/>
      <w:bookmarkStart w:id="59" w:name="_Toc437878333"/>
      <w:bookmarkStart w:id="60" w:name="_Toc437878537"/>
      <w:bookmarkStart w:id="61" w:name="_Toc437878741"/>
      <w:bookmarkStart w:id="62" w:name="_Toc439149948"/>
      <w:bookmarkStart w:id="63" w:name="_Toc439150303"/>
      <w:bookmarkStart w:id="64" w:name="_Toc439150499"/>
      <w:bookmarkStart w:id="65" w:name="_Toc485645590"/>
      <w:bookmarkStart w:id="66" w:name="_Toc48564574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6F62B5D" w14:textId="77777777" w:rsidR="002E4D78" w:rsidRPr="00461AEA" w:rsidRDefault="00B6518A" w:rsidP="003301D6">
      <w:pPr>
        <w:pStyle w:val="Nadpis2"/>
        <w:numPr>
          <w:ilvl w:val="1"/>
          <w:numId w:val="16"/>
        </w:numPr>
      </w:pPr>
      <w:bookmarkStart w:id="67" w:name="_Toc485645750"/>
      <w:r w:rsidRPr="00461AEA">
        <w:t>Vymedzenie oblasti a obyvateľstva, na ktoré sa stratégia CLLD vzťahuje</w:t>
      </w:r>
      <w:bookmarkEnd w:id="67"/>
    </w:p>
    <w:p w14:paraId="3CEA84CC" w14:textId="77777777" w:rsidR="00512FE8" w:rsidRPr="00B478A9" w:rsidRDefault="008C4E6A" w:rsidP="00E37887">
      <w:pPr>
        <w:spacing w:after="0" w:line="360" w:lineRule="auto"/>
        <w:jc w:val="both"/>
        <w:rPr>
          <w:rFonts w:ascii="Times New Roman" w:hAnsi="Times New Roman" w:cs="Times New Roman"/>
          <w:b/>
          <w:sz w:val="20"/>
          <w:szCs w:val="20"/>
        </w:rPr>
      </w:pPr>
      <w:r w:rsidRPr="00B478A9">
        <w:rPr>
          <w:rFonts w:ascii="Times New Roman" w:hAnsi="Times New Roman" w:cs="Times New Roman"/>
          <w:b/>
          <w:sz w:val="20"/>
          <w:szCs w:val="20"/>
        </w:rPr>
        <w:t>Tabuľka 1.2.1 Vymedzenie územia a obyvateľstva MAS</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320"/>
      </w:tblGrid>
      <w:tr w:rsidR="00640396" w:rsidRPr="00640396" w14:paraId="3C7412F7" w14:textId="77777777" w:rsidTr="002C5595">
        <w:tc>
          <w:tcPr>
            <w:tcW w:w="4680" w:type="dxa"/>
            <w:vAlign w:val="center"/>
          </w:tcPr>
          <w:p w14:paraId="0BF5632C"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Počet obyvateľov</w:t>
            </w:r>
          </w:p>
        </w:tc>
        <w:tc>
          <w:tcPr>
            <w:tcW w:w="4320" w:type="dxa"/>
          </w:tcPr>
          <w:p w14:paraId="5FEA5963" w14:textId="77777777" w:rsidR="00640396" w:rsidRPr="00640396" w:rsidRDefault="004266B4" w:rsidP="00C433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C43332">
              <w:rPr>
                <w:rFonts w:ascii="Times New Roman" w:hAnsi="Times New Roman" w:cs="Times New Roman"/>
                <w:sz w:val="24"/>
                <w:szCs w:val="24"/>
              </w:rPr>
              <w:t>325</w:t>
            </w:r>
          </w:p>
        </w:tc>
      </w:tr>
      <w:tr w:rsidR="00640396" w:rsidRPr="00640396" w14:paraId="355379F3" w14:textId="77777777" w:rsidTr="002C5595">
        <w:trPr>
          <w:trHeight w:val="353"/>
        </w:trPr>
        <w:tc>
          <w:tcPr>
            <w:tcW w:w="4680" w:type="dxa"/>
            <w:vAlign w:val="center"/>
          </w:tcPr>
          <w:p w14:paraId="4C086C11"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Rozloha</w:t>
            </w:r>
          </w:p>
        </w:tc>
        <w:tc>
          <w:tcPr>
            <w:tcW w:w="4320" w:type="dxa"/>
          </w:tcPr>
          <w:p w14:paraId="7A2695F3" w14:textId="77777777" w:rsidR="00640396" w:rsidRPr="00C43332" w:rsidRDefault="00C43332"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541,44</w:t>
            </w:r>
            <w:r w:rsidR="00640396" w:rsidRPr="00640396">
              <w:rPr>
                <w:rFonts w:ascii="Times New Roman" w:hAnsi="Times New Roman" w:cs="Times New Roman"/>
                <w:sz w:val="24"/>
                <w:szCs w:val="24"/>
              </w:rPr>
              <w:t xml:space="preserve"> km</w:t>
            </w:r>
            <w:r w:rsidR="00640396" w:rsidRPr="00640396">
              <w:rPr>
                <w:rFonts w:ascii="Times New Roman" w:hAnsi="Times New Roman" w:cs="Times New Roman"/>
                <w:sz w:val="24"/>
                <w:szCs w:val="24"/>
                <w:vertAlign w:val="superscript"/>
              </w:rPr>
              <w:t>2</w:t>
            </w:r>
          </w:p>
        </w:tc>
      </w:tr>
      <w:tr w:rsidR="00640396" w:rsidRPr="00640396" w14:paraId="4AAD2772" w14:textId="77777777" w:rsidTr="002C5595">
        <w:trPr>
          <w:trHeight w:val="300"/>
        </w:trPr>
        <w:tc>
          <w:tcPr>
            <w:tcW w:w="4680" w:type="dxa"/>
            <w:vAlign w:val="center"/>
          </w:tcPr>
          <w:p w14:paraId="5E7A1DB1"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Hustota obyvateľstva</w:t>
            </w:r>
          </w:p>
        </w:tc>
        <w:tc>
          <w:tcPr>
            <w:tcW w:w="4320" w:type="dxa"/>
          </w:tcPr>
          <w:p w14:paraId="0DD1F4E8" w14:textId="77777777" w:rsidR="00640396" w:rsidRPr="00640396" w:rsidRDefault="00C43332"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81,86</w:t>
            </w:r>
            <w:r w:rsidR="00640396" w:rsidRPr="00640396">
              <w:rPr>
                <w:rFonts w:ascii="Times New Roman" w:hAnsi="Times New Roman" w:cs="Times New Roman"/>
                <w:sz w:val="24"/>
                <w:szCs w:val="24"/>
              </w:rPr>
              <w:t xml:space="preserve"> obyv./ km</w:t>
            </w:r>
            <w:r w:rsidR="00640396" w:rsidRPr="00640396">
              <w:rPr>
                <w:rFonts w:ascii="Times New Roman" w:hAnsi="Times New Roman" w:cs="Times New Roman"/>
                <w:sz w:val="24"/>
                <w:szCs w:val="24"/>
                <w:vertAlign w:val="superscript"/>
              </w:rPr>
              <w:t>2</w:t>
            </w:r>
          </w:p>
        </w:tc>
      </w:tr>
      <w:tr w:rsidR="00640396" w:rsidRPr="00640396" w14:paraId="04A5361A" w14:textId="77777777" w:rsidTr="002C5595">
        <w:trPr>
          <w:trHeight w:val="270"/>
        </w:trPr>
        <w:tc>
          <w:tcPr>
            <w:tcW w:w="4680" w:type="dxa"/>
            <w:vAlign w:val="center"/>
          </w:tcPr>
          <w:p w14:paraId="6FCF1EF9"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Počet obcí</w:t>
            </w:r>
          </w:p>
        </w:tc>
        <w:tc>
          <w:tcPr>
            <w:tcW w:w="4320" w:type="dxa"/>
          </w:tcPr>
          <w:p w14:paraId="77E41922" w14:textId="77777777" w:rsidR="00640396" w:rsidRPr="00640396" w:rsidRDefault="004266B4"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640396" w:rsidRPr="00640396" w14:paraId="134A3062" w14:textId="77777777" w:rsidTr="002C5595">
        <w:trPr>
          <w:trHeight w:val="362"/>
        </w:trPr>
        <w:tc>
          <w:tcPr>
            <w:tcW w:w="4680" w:type="dxa"/>
            <w:vAlign w:val="center"/>
          </w:tcPr>
          <w:p w14:paraId="51192397"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Z toho mestá (vymenovať)</w:t>
            </w:r>
          </w:p>
        </w:tc>
        <w:tc>
          <w:tcPr>
            <w:tcW w:w="4320" w:type="dxa"/>
          </w:tcPr>
          <w:p w14:paraId="4C772EC6"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Brezová pod Bradlom, Myjava, Stará Turá</w:t>
            </w:r>
          </w:p>
        </w:tc>
      </w:tr>
      <w:tr w:rsidR="00640396" w:rsidRPr="00640396" w14:paraId="3F61AFA1" w14:textId="77777777" w:rsidTr="002C5595">
        <w:tc>
          <w:tcPr>
            <w:tcW w:w="4680" w:type="dxa"/>
            <w:vAlign w:val="center"/>
          </w:tcPr>
          <w:p w14:paraId="202ED9E6"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lastRenderedPageBreak/>
              <w:t>Počet obyvateľov najväčšej obce</w:t>
            </w:r>
          </w:p>
        </w:tc>
        <w:tc>
          <w:tcPr>
            <w:tcW w:w="4320" w:type="dxa"/>
          </w:tcPr>
          <w:p w14:paraId="406A0C2B" w14:textId="77777777" w:rsidR="00640396" w:rsidRPr="00640396" w:rsidRDefault="00C43332"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12 042</w:t>
            </w:r>
            <w:r w:rsidR="004266B4">
              <w:rPr>
                <w:rFonts w:ascii="Times New Roman" w:hAnsi="Times New Roman" w:cs="Times New Roman"/>
                <w:sz w:val="24"/>
                <w:szCs w:val="24"/>
              </w:rPr>
              <w:t xml:space="preserve"> (Myjava)</w:t>
            </w:r>
          </w:p>
        </w:tc>
      </w:tr>
      <w:tr w:rsidR="00640396" w:rsidRPr="00640396" w14:paraId="53A9D701" w14:textId="77777777" w:rsidTr="002C5595">
        <w:tc>
          <w:tcPr>
            <w:tcW w:w="4680" w:type="dxa"/>
            <w:vAlign w:val="center"/>
          </w:tcPr>
          <w:p w14:paraId="219B7D72"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Administratívne zaradenie – okres/y</w:t>
            </w:r>
          </w:p>
        </w:tc>
        <w:tc>
          <w:tcPr>
            <w:tcW w:w="4320" w:type="dxa"/>
          </w:tcPr>
          <w:p w14:paraId="65283C9A"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Myjava, Nové Mesto nad Váhom</w:t>
            </w:r>
            <w:r w:rsidR="004266B4">
              <w:rPr>
                <w:rFonts w:ascii="Times New Roman" w:hAnsi="Times New Roman" w:cs="Times New Roman"/>
                <w:sz w:val="24"/>
                <w:szCs w:val="24"/>
              </w:rPr>
              <w:t>, Senica, Piešťany</w:t>
            </w:r>
          </w:p>
        </w:tc>
      </w:tr>
      <w:tr w:rsidR="00640396" w:rsidRPr="00640396" w14:paraId="2490139B" w14:textId="77777777" w:rsidTr="002C5595">
        <w:trPr>
          <w:trHeight w:val="309"/>
        </w:trPr>
        <w:tc>
          <w:tcPr>
            <w:tcW w:w="4680" w:type="dxa"/>
            <w:vAlign w:val="center"/>
          </w:tcPr>
          <w:p w14:paraId="35AA3341"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Administratívne zaradenie – kraj/e</w:t>
            </w:r>
          </w:p>
        </w:tc>
        <w:tc>
          <w:tcPr>
            <w:tcW w:w="4320" w:type="dxa"/>
          </w:tcPr>
          <w:p w14:paraId="5D7D220C" w14:textId="77777777" w:rsidR="00640396" w:rsidRPr="00640396" w:rsidRDefault="004266B4"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Trenčiansky, Trnavský</w:t>
            </w:r>
          </w:p>
        </w:tc>
      </w:tr>
      <w:tr w:rsidR="00640396" w:rsidRPr="00640396" w14:paraId="7163391C" w14:textId="77777777" w:rsidTr="002C5595">
        <w:trPr>
          <w:trHeight w:val="309"/>
        </w:trPr>
        <w:tc>
          <w:tcPr>
            <w:tcW w:w="4680" w:type="dxa"/>
            <w:vAlign w:val="center"/>
          </w:tcPr>
          <w:p w14:paraId="464CF4B4"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Počet obcí zaradených do pólov rastu</w:t>
            </w:r>
          </w:p>
        </w:tc>
        <w:tc>
          <w:tcPr>
            <w:tcW w:w="4320" w:type="dxa"/>
          </w:tcPr>
          <w:p w14:paraId="11547D9A" w14:textId="77777777" w:rsidR="00640396" w:rsidRPr="00640396" w:rsidRDefault="004266B4"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640396" w:rsidRPr="00640396" w14:paraId="028FA4FA" w14:textId="77777777" w:rsidTr="002C5595">
        <w:trPr>
          <w:trHeight w:val="309"/>
        </w:trPr>
        <w:tc>
          <w:tcPr>
            <w:tcW w:w="4680" w:type="dxa"/>
            <w:vAlign w:val="center"/>
          </w:tcPr>
          <w:p w14:paraId="0692E1E9"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Počet obcí nezaradených do pólov rastu</w:t>
            </w:r>
          </w:p>
        </w:tc>
        <w:tc>
          <w:tcPr>
            <w:tcW w:w="4320" w:type="dxa"/>
          </w:tcPr>
          <w:p w14:paraId="4BF14923" w14:textId="77777777" w:rsidR="00640396" w:rsidRPr="00640396" w:rsidRDefault="004266B4"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640396" w:rsidRPr="00640396" w14:paraId="1685F5A4" w14:textId="77777777" w:rsidTr="002C5595">
        <w:trPr>
          <w:trHeight w:val="309"/>
        </w:trPr>
        <w:tc>
          <w:tcPr>
            <w:tcW w:w="4680" w:type="dxa"/>
            <w:vAlign w:val="center"/>
          </w:tcPr>
          <w:p w14:paraId="5BB8B574"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sz w:val="24"/>
                <w:szCs w:val="24"/>
              </w:rPr>
              <w:t>% obyvateľstva na území žiadateľa žijúceho vo vidieckych obciach na úrovni okresu</w:t>
            </w:r>
          </w:p>
          <w:p w14:paraId="58160A8B" w14:textId="77777777" w:rsidR="00640396" w:rsidRPr="00640396" w:rsidRDefault="00640396" w:rsidP="00640396">
            <w:pPr>
              <w:spacing w:after="0" w:line="360" w:lineRule="auto"/>
              <w:jc w:val="both"/>
              <w:rPr>
                <w:rFonts w:ascii="Times New Roman" w:hAnsi="Times New Roman" w:cs="Times New Roman"/>
                <w:sz w:val="24"/>
                <w:szCs w:val="24"/>
              </w:rPr>
            </w:pPr>
          </w:p>
          <w:p w14:paraId="609F5A73" w14:textId="77777777" w:rsidR="00640396" w:rsidRPr="00640396" w:rsidRDefault="00640396" w:rsidP="00640396">
            <w:pPr>
              <w:spacing w:after="0" w:line="360" w:lineRule="auto"/>
              <w:jc w:val="both"/>
              <w:rPr>
                <w:rFonts w:ascii="Times New Roman" w:hAnsi="Times New Roman" w:cs="Times New Roman"/>
                <w:sz w:val="24"/>
                <w:szCs w:val="24"/>
              </w:rPr>
            </w:pPr>
            <w:r w:rsidRPr="00640396">
              <w:rPr>
                <w:rFonts w:ascii="Times New Roman" w:hAnsi="Times New Roman" w:cs="Times New Roman"/>
                <w:bCs/>
                <w:sz w:val="24"/>
                <w:szCs w:val="24"/>
              </w:rPr>
              <w:t>Poznámka: Pri žiadateľovi pokrývajúcom územie 2 a viac okresov sa berie do úvahy údaj za okres s najväčšou rozlohou územia verejno-súkromného partnerstva  (MAS).</w:t>
            </w:r>
            <w:r w:rsidRPr="00640396">
              <w:rPr>
                <w:rFonts w:ascii="Times New Roman" w:hAnsi="Times New Roman" w:cs="Times New Roman"/>
                <w:sz w:val="24"/>
                <w:szCs w:val="24"/>
              </w:rPr>
              <w:t> </w:t>
            </w:r>
          </w:p>
        </w:tc>
        <w:tc>
          <w:tcPr>
            <w:tcW w:w="4320" w:type="dxa"/>
          </w:tcPr>
          <w:p w14:paraId="5C5DD374" w14:textId="77777777" w:rsidR="00640396" w:rsidRPr="00640396" w:rsidRDefault="004266B4" w:rsidP="00640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36,89</w:t>
            </w:r>
            <w:r w:rsidR="00640396" w:rsidRPr="00640396">
              <w:rPr>
                <w:rFonts w:ascii="Times New Roman" w:hAnsi="Times New Roman" w:cs="Times New Roman"/>
                <w:sz w:val="24"/>
                <w:szCs w:val="24"/>
              </w:rPr>
              <w:t xml:space="preserve"> %</w:t>
            </w:r>
          </w:p>
        </w:tc>
      </w:tr>
    </w:tbl>
    <w:p w14:paraId="2C2D48A8" w14:textId="77777777" w:rsidR="00B83389" w:rsidRPr="00891B13" w:rsidRDefault="00B83389" w:rsidP="00E37887">
      <w:pPr>
        <w:spacing w:after="0" w:line="360" w:lineRule="auto"/>
        <w:jc w:val="both"/>
        <w:rPr>
          <w:rFonts w:ascii="Times New Roman" w:hAnsi="Times New Roman" w:cs="Times New Roman"/>
          <w:sz w:val="24"/>
          <w:szCs w:val="24"/>
        </w:rPr>
      </w:pPr>
    </w:p>
    <w:p w14:paraId="604911B9" w14:textId="77777777" w:rsidR="000151E6" w:rsidRPr="000151E6" w:rsidRDefault="00866300" w:rsidP="00E378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BF7760" w:rsidRPr="000151E6">
        <w:rPr>
          <w:rFonts w:ascii="Times New Roman" w:hAnsi="Times New Roman" w:cs="Times New Roman"/>
          <w:sz w:val="24"/>
          <w:szCs w:val="24"/>
        </w:rPr>
        <w:t xml:space="preserve">rílohy: </w:t>
      </w:r>
    </w:p>
    <w:p w14:paraId="6E39C4FD" w14:textId="77777777" w:rsidR="000151E6" w:rsidRPr="000151E6" w:rsidRDefault="00B83389" w:rsidP="000151E6">
      <w:pPr>
        <w:spacing w:after="0" w:line="360" w:lineRule="auto"/>
        <w:jc w:val="both"/>
        <w:rPr>
          <w:rFonts w:ascii="Times New Roman" w:hAnsi="Times New Roman" w:cs="Times New Roman"/>
          <w:sz w:val="24"/>
          <w:szCs w:val="24"/>
        </w:rPr>
      </w:pPr>
      <w:r w:rsidRPr="000151E6">
        <w:rPr>
          <w:rFonts w:ascii="Times New Roman" w:hAnsi="Times New Roman" w:cs="Times New Roman"/>
          <w:sz w:val="24"/>
          <w:szCs w:val="24"/>
        </w:rPr>
        <w:t xml:space="preserve">Príloha č. 1 Vymedzenie územia a obyvateľstva MAS </w:t>
      </w:r>
    </w:p>
    <w:p w14:paraId="3947157F" w14:textId="77777777" w:rsidR="000151E6" w:rsidRPr="000151E6" w:rsidRDefault="00B83389" w:rsidP="000151E6">
      <w:pPr>
        <w:spacing w:after="0" w:line="360" w:lineRule="auto"/>
        <w:ind w:left="1134" w:hanging="1134"/>
        <w:jc w:val="both"/>
        <w:rPr>
          <w:rFonts w:ascii="Times New Roman" w:hAnsi="Times New Roman" w:cs="Times New Roman"/>
          <w:sz w:val="24"/>
          <w:szCs w:val="24"/>
        </w:rPr>
      </w:pPr>
      <w:r w:rsidRPr="000151E6">
        <w:rPr>
          <w:rFonts w:ascii="Times New Roman" w:hAnsi="Times New Roman" w:cs="Times New Roman"/>
          <w:sz w:val="24"/>
          <w:szCs w:val="24"/>
        </w:rPr>
        <w:t xml:space="preserve">Príloha č. 2 Doklad o súhlase všetkých obcí so zaradením do územia pôsobnosti MAS </w:t>
      </w:r>
    </w:p>
    <w:p w14:paraId="77107F14" w14:textId="77777777" w:rsidR="00BF7760" w:rsidRPr="000151E6" w:rsidRDefault="000151E6" w:rsidP="000151E6">
      <w:pPr>
        <w:spacing w:after="0" w:line="360" w:lineRule="auto"/>
        <w:jc w:val="both"/>
        <w:rPr>
          <w:rFonts w:ascii="Times New Roman" w:hAnsi="Times New Roman" w:cs="Times New Roman"/>
          <w:sz w:val="24"/>
          <w:szCs w:val="24"/>
        </w:rPr>
      </w:pPr>
      <w:r w:rsidRPr="000151E6">
        <w:rPr>
          <w:rFonts w:ascii="Times New Roman" w:hAnsi="Times New Roman" w:cs="Times New Roman"/>
          <w:sz w:val="24"/>
          <w:szCs w:val="24"/>
        </w:rPr>
        <w:t xml:space="preserve">Príloha č. </w:t>
      </w:r>
      <w:r w:rsidR="00AE0CC7">
        <w:rPr>
          <w:rFonts w:ascii="Times New Roman" w:hAnsi="Times New Roman" w:cs="Times New Roman"/>
          <w:sz w:val="24"/>
          <w:szCs w:val="24"/>
        </w:rPr>
        <w:t>3</w:t>
      </w:r>
      <w:r w:rsidRPr="000151E6">
        <w:rPr>
          <w:rFonts w:ascii="Times New Roman" w:hAnsi="Times New Roman" w:cs="Times New Roman"/>
          <w:sz w:val="24"/>
          <w:szCs w:val="24"/>
        </w:rPr>
        <w:t xml:space="preserve"> </w:t>
      </w:r>
      <w:r w:rsidR="00BF7760" w:rsidRPr="000151E6">
        <w:rPr>
          <w:rFonts w:ascii="Times New Roman" w:hAnsi="Times New Roman" w:cs="Times New Roman"/>
          <w:sz w:val="24"/>
          <w:szCs w:val="24"/>
        </w:rPr>
        <w:t>Mapa územia</w:t>
      </w:r>
      <w:r w:rsidR="00DE50D0" w:rsidRPr="000151E6">
        <w:rPr>
          <w:rFonts w:ascii="Times New Roman" w:hAnsi="Times New Roman" w:cs="Times New Roman"/>
          <w:sz w:val="24"/>
          <w:szCs w:val="24"/>
        </w:rPr>
        <w:t xml:space="preserve"> MAS </w:t>
      </w:r>
      <w:r w:rsidR="00BF7760" w:rsidRPr="000151E6">
        <w:rPr>
          <w:rFonts w:ascii="Times New Roman" w:hAnsi="Times New Roman" w:cs="Times New Roman"/>
          <w:sz w:val="24"/>
          <w:szCs w:val="24"/>
        </w:rPr>
        <w:t xml:space="preserve"> </w:t>
      </w:r>
    </w:p>
    <w:p w14:paraId="4EE80937" w14:textId="77777777" w:rsidR="00F92FAA" w:rsidRPr="00891B13" w:rsidRDefault="00F92FAA" w:rsidP="00E37887">
      <w:pPr>
        <w:spacing w:after="0" w:line="360" w:lineRule="auto"/>
        <w:rPr>
          <w:rFonts w:ascii="Times New Roman" w:hAnsi="Times New Roman" w:cs="Times New Roman"/>
          <w:sz w:val="24"/>
          <w:szCs w:val="24"/>
        </w:rPr>
      </w:pPr>
    </w:p>
    <w:p w14:paraId="36B67300" w14:textId="77777777" w:rsidR="00093BC8" w:rsidRDefault="00093BC8">
      <w:pPr>
        <w:rPr>
          <w:rFonts w:ascii="Times New Roman" w:eastAsiaTheme="majorEastAsia" w:hAnsi="Times New Roman" w:cstheme="majorBidi"/>
          <w:b/>
          <w:sz w:val="28"/>
          <w:szCs w:val="32"/>
        </w:rPr>
      </w:pPr>
      <w:r>
        <w:br w:type="page"/>
      </w:r>
    </w:p>
    <w:p w14:paraId="10668FAF" w14:textId="77777777" w:rsidR="002E4D78" w:rsidRPr="00B478A9" w:rsidRDefault="008771C8" w:rsidP="003301D6">
      <w:pPr>
        <w:pStyle w:val="Nadpis1"/>
        <w:numPr>
          <w:ilvl w:val="0"/>
          <w:numId w:val="3"/>
        </w:numPr>
        <w:ind w:left="426" w:hanging="426"/>
      </w:pPr>
      <w:bookmarkStart w:id="68" w:name="_Toc485645751"/>
      <w:r w:rsidRPr="00891B13">
        <w:lastRenderedPageBreak/>
        <w:t>Vznik, história a tvorba partnerstva</w:t>
      </w:r>
      <w:r w:rsidR="00BC6B06" w:rsidRPr="00891B13">
        <w:t xml:space="preserve"> a stratégie CLLD</w:t>
      </w:r>
      <w:bookmarkEnd w:id="68"/>
      <w:r w:rsidR="00BB450B" w:rsidRPr="00891B13">
        <w:t xml:space="preserve"> </w:t>
      </w:r>
    </w:p>
    <w:p w14:paraId="49A2E765" w14:textId="77777777" w:rsidR="00E10D1E" w:rsidRPr="00E10D1E" w:rsidRDefault="003C1EC5" w:rsidP="003301D6">
      <w:pPr>
        <w:pStyle w:val="Nadpis2"/>
        <w:numPr>
          <w:ilvl w:val="1"/>
          <w:numId w:val="3"/>
        </w:numPr>
      </w:pPr>
      <w:bookmarkStart w:id="69" w:name="_Toc437862603"/>
      <w:bookmarkStart w:id="70" w:name="_Toc437862745"/>
      <w:bookmarkStart w:id="71" w:name="_Toc437877331"/>
      <w:bookmarkStart w:id="72" w:name="_Toc437877529"/>
      <w:bookmarkStart w:id="73" w:name="_Toc437877729"/>
      <w:bookmarkStart w:id="74" w:name="_Toc437877929"/>
      <w:bookmarkStart w:id="75" w:name="_Toc437878132"/>
      <w:bookmarkStart w:id="76" w:name="_Toc437878336"/>
      <w:bookmarkStart w:id="77" w:name="_Toc437878540"/>
      <w:bookmarkStart w:id="78" w:name="_Toc437878744"/>
      <w:bookmarkEnd w:id="69"/>
      <w:bookmarkEnd w:id="70"/>
      <w:bookmarkEnd w:id="71"/>
      <w:bookmarkEnd w:id="72"/>
      <w:bookmarkEnd w:id="73"/>
      <w:bookmarkEnd w:id="74"/>
      <w:bookmarkEnd w:id="75"/>
      <w:bookmarkEnd w:id="76"/>
      <w:bookmarkEnd w:id="77"/>
      <w:bookmarkEnd w:id="78"/>
      <w:r w:rsidRPr="003C1EC5">
        <w:t xml:space="preserve"> </w:t>
      </w:r>
      <w:bookmarkStart w:id="79" w:name="_Toc439150502"/>
      <w:bookmarkStart w:id="80" w:name="_Toc437862604"/>
      <w:bookmarkStart w:id="81" w:name="_Toc437862746"/>
      <w:bookmarkStart w:id="82" w:name="_Toc437877332"/>
      <w:bookmarkStart w:id="83" w:name="_Toc437877530"/>
      <w:bookmarkStart w:id="84" w:name="_Toc437877730"/>
      <w:bookmarkStart w:id="85" w:name="_Toc437877930"/>
      <w:bookmarkStart w:id="86" w:name="_Toc437878133"/>
      <w:bookmarkStart w:id="87" w:name="_Toc437878337"/>
      <w:bookmarkStart w:id="88" w:name="_Toc437878541"/>
      <w:bookmarkStart w:id="89" w:name="_Toc437878745"/>
      <w:bookmarkStart w:id="90" w:name="_Toc485645752"/>
      <w:bookmarkEnd w:id="79"/>
      <w:bookmarkEnd w:id="80"/>
      <w:bookmarkEnd w:id="81"/>
      <w:bookmarkEnd w:id="82"/>
      <w:bookmarkEnd w:id="83"/>
      <w:bookmarkEnd w:id="84"/>
      <w:bookmarkEnd w:id="85"/>
      <w:bookmarkEnd w:id="86"/>
      <w:bookmarkEnd w:id="87"/>
      <w:bookmarkEnd w:id="88"/>
      <w:bookmarkEnd w:id="89"/>
      <w:r w:rsidR="00E10D1E" w:rsidRPr="003C1EC5">
        <w:t>Vznik a história partnerstva</w:t>
      </w:r>
      <w:bookmarkEnd w:id="90"/>
    </w:p>
    <w:p w14:paraId="0993D7B9" w14:textId="77777777" w:rsidR="007A5A2D" w:rsidRPr="007A5A2D" w:rsidRDefault="00043C2A" w:rsidP="007A5A2D">
      <w:pPr>
        <w:spacing w:before="120" w:after="0" w:line="360" w:lineRule="auto"/>
        <w:jc w:val="both"/>
        <w:rPr>
          <w:rFonts w:ascii="Times New Roman" w:hAnsi="Times New Roman" w:cs="Times New Roman"/>
          <w:sz w:val="24"/>
          <w:szCs w:val="24"/>
        </w:rPr>
      </w:pPr>
      <w:bookmarkStart w:id="91" w:name="_Toc437862605"/>
      <w:bookmarkStart w:id="92" w:name="_Toc437862747"/>
      <w:bookmarkStart w:id="93" w:name="_Toc437877333"/>
      <w:bookmarkStart w:id="94" w:name="_Toc437877531"/>
      <w:bookmarkStart w:id="95" w:name="_Toc437877731"/>
      <w:bookmarkStart w:id="96" w:name="_Toc437877931"/>
      <w:bookmarkStart w:id="97" w:name="_Toc437878134"/>
      <w:bookmarkStart w:id="98" w:name="_Toc437878338"/>
      <w:bookmarkStart w:id="99" w:name="_Toc437878542"/>
      <w:bookmarkStart w:id="100" w:name="_Toc437878746"/>
      <w:bookmarkStart w:id="101" w:name="_Toc437861921"/>
      <w:bookmarkStart w:id="102" w:name="_Toc437861922"/>
      <w:bookmarkStart w:id="103" w:name="_Toc437861923"/>
      <w:bookmarkStart w:id="104" w:name="_Toc437862607"/>
      <w:bookmarkStart w:id="105" w:name="_Toc437862749"/>
      <w:bookmarkStart w:id="106" w:name="_Toc437877335"/>
      <w:bookmarkStart w:id="107" w:name="_Toc437877533"/>
      <w:bookmarkStart w:id="108" w:name="_Toc437877733"/>
      <w:bookmarkStart w:id="109" w:name="_Toc437877933"/>
      <w:bookmarkStart w:id="110" w:name="_Toc437878136"/>
      <w:bookmarkStart w:id="111" w:name="_Toc437878340"/>
      <w:bookmarkStart w:id="112" w:name="_Toc437878544"/>
      <w:bookmarkStart w:id="113" w:name="_Toc43787874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hAnsi="Times New Roman" w:cs="Times New Roman"/>
          <w:sz w:val="24"/>
          <w:szCs w:val="24"/>
        </w:rPr>
        <w:tab/>
      </w:r>
      <w:r w:rsidR="007A5A2D" w:rsidRPr="007A5A2D">
        <w:rPr>
          <w:rFonts w:ascii="Times New Roman" w:hAnsi="Times New Roman" w:cs="Times New Roman"/>
          <w:sz w:val="24"/>
          <w:szCs w:val="24"/>
        </w:rPr>
        <w:t>Podporou pri riešení spoločných zámerov bolo založenie Združenia miest a obcí Myjavského regiónu a Združenia miest a obcí Kopaničiarskeho regiónu Veľká Javorina – Bradlo a Mikroregiónu pod Bradlom. Členmi týchto združení sú mestá a obce a tieto v prvom rade riešili problémy na komunálnej úrovni. Jedným z prvých spoločných zámerov bolo  zabezpečovanie projektu odkanalizovania regiónu.</w:t>
      </w:r>
    </w:p>
    <w:p w14:paraId="07C7995F" w14:textId="77777777" w:rsidR="007A5A2D" w:rsidRPr="007A5A2D" w:rsidRDefault="00043C2A" w:rsidP="00043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A5A2D" w:rsidRPr="007A5A2D">
        <w:rPr>
          <w:rFonts w:ascii="Times New Roman" w:hAnsi="Times New Roman" w:cs="Times New Roman"/>
          <w:sz w:val="24"/>
          <w:szCs w:val="24"/>
        </w:rPr>
        <w:t xml:space="preserve">Na území Kopaničiarskeho regiónu boli zriadené Spoločné obecné úradovne zabezpečujúce činnosti, ktorých náplňou bola podpora v oblasti regionálneho rozvoja. Poverení pracovníci postupne zabezpečovali danú činnosť na celom území Kopaničiarskeho regiónu, organizovali spoločné stretnutia, pracovali na spoločných zámeroch, ktoré sa postupne riešili aj na jednotlivých obciach na verejných zhromaždeniach. </w:t>
      </w:r>
    </w:p>
    <w:p w14:paraId="0F5377BA" w14:textId="77777777" w:rsidR="007A5A2D" w:rsidRPr="007A5A2D" w:rsidRDefault="00043C2A" w:rsidP="00043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A5A2D" w:rsidRPr="007A5A2D">
        <w:rPr>
          <w:rFonts w:ascii="Times New Roman" w:hAnsi="Times New Roman" w:cs="Times New Roman"/>
          <w:sz w:val="24"/>
          <w:szCs w:val="24"/>
        </w:rPr>
        <w:t xml:space="preserve">Keďže obce chceli riešiť rozvoj územia v rôznych oblastiach, koncepčne k tomu potrebovali poznať názory podnikateľov, občianskych združení, neziskových organizácií, občanov. Išlo najmä o rozvoj občianskeho života, skvalitňovania podmienok pre život obyvateľov regiónu, ochrana životného prostredia, ochrana duchovných hodnôt a kultúrneho dedičstva, podpora podnikania a služieb, rozvoj technickej a dopravnej infraštruktúry, rozvoj cestovného ruchu, propagácia a prezentácia regiónu ale i ďalšie oblasti rozvoja celého Kopaničiarskeho regiónu. </w:t>
      </w:r>
    </w:p>
    <w:p w14:paraId="1024E67A" w14:textId="77777777" w:rsidR="007A5A2D" w:rsidRPr="007A5A2D" w:rsidRDefault="00043C2A" w:rsidP="00043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A5A2D" w:rsidRPr="007A5A2D">
        <w:rPr>
          <w:rFonts w:ascii="Times New Roman" w:hAnsi="Times New Roman" w:cs="Times New Roman"/>
          <w:sz w:val="24"/>
          <w:szCs w:val="24"/>
        </w:rPr>
        <w:t>Preto bolo potrebné, aby došlo k založeniu novej spoločnej organizácie. V roku 2007 tak vzniklo občianske združenie Kopaničiarsky región  - miestna akčná skupina (KR – MAS).</w:t>
      </w:r>
    </w:p>
    <w:p w14:paraId="72AA89DE" w14:textId="77777777" w:rsidR="007A5A2D" w:rsidRDefault="00043C2A" w:rsidP="00043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A5A2D" w:rsidRPr="007A5A2D">
        <w:rPr>
          <w:rFonts w:ascii="Times New Roman" w:hAnsi="Times New Roman" w:cs="Times New Roman"/>
          <w:sz w:val="24"/>
          <w:szCs w:val="24"/>
        </w:rPr>
        <w:t>Združenie KR – MAS v tom čase pokrývalo totožné územie ako Združenie miest a obcí Kopaničiarskeho regiónu Veľká Javorina - Bradlo s tým rozdielom, že jeho členmi sa stali fyzické i právnické osoby z rôznych oblastí života a to z tretieho (neziskového) sektora, podnikateľskej sféry, súkromne hospodáriacich roľníkov ako i jednotliví aktívni občania regiónu. Začiatkom roku 2015 rozšírilo KR – MAS svoje územie o ďalšie 3 obce a to o Prašník z okresu Piešťany a Podbranč a Sobotište z okresu Senica, teda z okresov Trnavského kraja. Jedná sa o typické kopaničiarske obce s roztratením osídlením a mnohými kopanicami ako aj s prevahou evanjelického obyvateľstva a tvrdým kopaničiarskym nárečím charakteristickým pre tento región. Momentálne tak KR – MAS tvorí takmer homogénny celok so všetkými kopaničiarskymi obcami v tejto oblasti, hoci administratívne patria do rôznych okresov.</w:t>
      </w:r>
    </w:p>
    <w:p w14:paraId="137808A8" w14:textId="77777777" w:rsidR="00576FA8" w:rsidRPr="00576FA8" w:rsidRDefault="00043C2A" w:rsidP="00043C2A">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ab/>
      </w:r>
      <w:r w:rsidR="00576FA8">
        <w:rPr>
          <w:rFonts w:ascii="Times New Roman" w:hAnsi="Times New Roman" w:cs="Times New Roman"/>
          <w:sz w:val="24"/>
          <w:szCs w:val="24"/>
        </w:rPr>
        <w:t xml:space="preserve">KR – MAS bol v roku </w:t>
      </w:r>
      <w:r w:rsidR="00576FA8" w:rsidRPr="00043C2A">
        <w:rPr>
          <w:rFonts w:ascii="Times New Roman" w:hAnsi="Times New Roman" w:cs="Times New Roman"/>
          <w:sz w:val="24"/>
          <w:szCs w:val="24"/>
        </w:rPr>
        <w:t>200</w:t>
      </w:r>
      <w:r w:rsidR="00561427" w:rsidRPr="00043C2A">
        <w:rPr>
          <w:rFonts w:ascii="Times New Roman" w:hAnsi="Times New Roman" w:cs="Times New Roman"/>
          <w:sz w:val="24"/>
          <w:szCs w:val="24"/>
        </w:rPr>
        <w:t>9</w:t>
      </w:r>
      <w:r w:rsidR="00576FA8" w:rsidRPr="00043C2A">
        <w:rPr>
          <w:rFonts w:ascii="Times New Roman" w:hAnsi="Times New Roman" w:cs="Times New Roman"/>
          <w:sz w:val="24"/>
          <w:szCs w:val="24"/>
        </w:rPr>
        <w:t xml:space="preserve"> </w:t>
      </w:r>
      <w:r w:rsidR="000B2DEE" w:rsidRPr="00043C2A">
        <w:rPr>
          <w:rFonts w:ascii="Times New Roman" w:hAnsi="Times New Roman" w:cs="Times New Roman"/>
          <w:sz w:val="24"/>
          <w:szCs w:val="24"/>
        </w:rPr>
        <w:t>pridelený</w:t>
      </w:r>
      <w:r w:rsidR="00576FA8">
        <w:rPr>
          <w:rFonts w:ascii="Times New Roman" w:hAnsi="Times New Roman" w:cs="Times New Roman"/>
          <w:color w:val="FF0000"/>
          <w:sz w:val="24"/>
          <w:szCs w:val="24"/>
        </w:rPr>
        <w:t xml:space="preserve"> </w:t>
      </w:r>
      <w:r w:rsidR="00576FA8" w:rsidRPr="00576FA8">
        <w:rPr>
          <w:rFonts w:ascii="Times New Roman" w:hAnsi="Times New Roman" w:cs="Times New Roman"/>
          <w:sz w:val="24"/>
          <w:szCs w:val="24"/>
        </w:rPr>
        <w:t>štatút MAS</w:t>
      </w:r>
      <w:r w:rsidR="00576FA8">
        <w:rPr>
          <w:rFonts w:ascii="Times New Roman" w:hAnsi="Times New Roman" w:cs="Times New Roman"/>
          <w:sz w:val="24"/>
          <w:szCs w:val="24"/>
        </w:rPr>
        <w:t xml:space="preserve"> a tak mohla začať s implementáciou stratégie. Jednotlivé opatrenia i to ako sa ich darilo realizovať zobrazuje nasledovná tabuľka.</w:t>
      </w:r>
    </w:p>
    <w:p w14:paraId="7EF0C402" w14:textId="77777777" w:rsidR="00190A99" w:rsidRDefault="00576FA8" w:rsidP="008C4E6A">
      <w:pPr>
        <w:spacing w:before="120" w:after="0" w:line="360" w:lineRule="auto"/>
        <w:jc w:val="both"/>
        <w:rPr>
          <w:rFonts w:ascii="Times New Roman" w:hAnsi="Times New Roman" w:cs="Times New Roman"/>
          <w:sz w:val="24"/>
          <w:szCs w:val="24"/>
        </w:rPr>
      </w:pPr>
      <w:r w:rsidRPr="00576FA8">
        <w:rPr>
          <w:rFonts w:ascii="Times New Roman" w:hAnsi="Times New Roman" w:cs="Times New Roman"/>
          <w:b/>
          <w:sz w:val="20"/>
          <w:szCs w:val="20"/>
        </w:rPr>
        <w:t>Tabuľka</w:t>
      </w:r>
      <w:r w:rsidR="008C4E6A" w:rsidRPr="00576FA8">
        <w:rPr>
          <w:rFonts w:ascii="Times New Roman" w:hAnsi="Times New Roman" w:cs="Times New Roman"/>
          <w:b/>
          <w:sz w:val="20"/>
          <w:szCs w:val="20"/>
        </w:rPr>
        <w:t xml:space="preserve"> č. </w:t>
      </w:r>
      <w:r w:rsidR="00660B7A">
        <w:rPr>
          <w:rFonts w:ascii="Times New Roman" w:hAnsi="Times New Roman" w:cs="Times New Roman"/>
          <w:b/>
          <w:sz w:val="20"/>
          <w:szCs w:val="20"/>
        </w:rPr>
        <w:t>2</w:t>
      </w:r>
      <w:r w:rsidR="008C4E6A" w:rsidRPr="00576FA8">
        <w:rPr>
          <w:rFonts w:ascii="Times New Roman" w:hAnsi="Times New Roman" w:cs="Times New Roman"/>
          <w:b/>
          <w:sz w:val="20"/>
          <w:szCs w:val="20"/>
        </w:rPr>
        <w:t>.</w:t>
      </w:r>
      <w:r w:rsidR="00660B7A">
        <w:rPr>
          <w:rFonts w:ascii="Times New Roman" w:hAnsi="Times New Roman" w:cs="Times New Roman"/>
          <w:b/>
          <w:sz w:val="20"/>
          <w:szCs w:val="20"/>
        </w:rPr>
        <w:t>1</w:t>
      </w:r>
      <w:r w:rsidR="008C4E6A" w:rsidRPr="00576FA8">
        <w:rPr>
          <w:rFonts w:ascii="Times New Roman" w:hAnsi="Times New Roman" w:cs="Times New Roman"/>
          <w:b/>
          <w:sz w:val="20"/>
          <w:szCs w:val="20"/>
        </w:rPr>
        <w:t>.</w:t>
      </w:r>
      <w:r w:rsidR="00660B7A">
        <w:rPr>
          <w:rFonts w:ascii="Times New Roman" w:hAnsi="Times New Roman" w:cs="Times New Roman"/>
          <w:b/>
          <w:sz w:val="20"/>
          <w:szCs w:val="20"/>
        </w:rPr>
        <w:t>1</w:t>
      </w:r>
      <w:r w:rsidR="008C4E6A" w:rsidRPr="00576FA8">
        <w:rPr>
          <w:rFonts w:ascii="Times New Roman" w:hAnsi="Times New Roman" w:cs="Times New Roman"/>
          <w:b/>
          <w:sz w:val="20"/>
          <w:szCs w:val="20"/>
        </w:rPr>
        <w:t xml:space="preserve"> Vyhodnotenie čerpania v programovom období 2007-2013</w:t>
      </w:r>
    </w:p>
    <w:tbl>
      <w:tblPr>
        <w:tblStyle w:val="Mriekatabuky"/>
        <w:tblW w:w="9072" w:type="dxa"/>
        <w:tblInd w:w="108" w:type="dxa"/>
        <w:tblLayout w:type="fixed"/>
        <w:tblLook w:val="04A0" w:firstRow="1" w:lastRow="0" w:firstColumn="1" w:lastColumn="0" w:noHBand="0" w:noVBand="1"/>
      </w:tblPr>
      <w:tblGrid>
        <w:gridCol w:w="2410"/>
        <w:gridCol w:w="851"/>
        <w:gridCol w:w="1134"/>
        <w:gridCol w:w="992"/>
        <w:gridCol w:w="1276"/>
        <w:gridCol w:w="1275"/>
        <w:gridCol w:w="1134"/>
      </w:tblGrid>
      <w:tr w:rsidR="0020620B" w:rsidRPr="00043C2A" w14:paraId="271651D5" w14:textId="77777777" w:rsidTr="00ED2266">
        <w:trPr>
          <w:trHeight w:val="958"/>
        </w:trPr>
        <w:tc>
          <w:tcPr>
            <w:tcW w:w="2410" w:type="dxa"/>
            <w:vAlign w:val="center"/>
            <w:hideMark/>
          </w:tcPr>
          <w:p w14:paraId="759C7CA8" w14:textId="77777777" w:rsidR="008C4E6A" w:rsidRPr="00043C2A" w:rsidRDefault="008C4E6A" w:rsidP="00190A99">
            <w:pPr>
              <w:ind w:left="34"/>
              <w:rPr>
                <w:rFonts w:ascii="Times New Roman" w:hAnsi="Times New Roman" w:cs="Times New Roman"/>
                <w:b/>
                <w:sz w:val="20"/>
                <w:szCs w:val="20"/>
              </w:rPr>
            </w:pPr>
            <w:r w:rsidRPr="00043C2A">
              <w:rPr>
                <w:rFonts w:ascii="Times New Roman" w:hAnsi="Times New Roman" w:cs="Times New Roman"/>
                <w:b/>
                <w:sz w:val="20"/>
                <w:szCs w:val="20"/>
              </w:rPr>
              <w:t>Opatrenie</w:t>
            </w:r>
          </w:p>
        </w:tc>
        <w:tc>
          <w:tcPr>
            <w:tcW w:w="851" w:type="dxa"/>
            <w:vAlign w:val="center"/>
            <w:hideMark/>
          </w:tcPr>
          <w:p w14:paraId="0F6723A8"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Počet výziev</w:t>
            </w:r>
          </w:p>
        </w:tc>
        <w:tc>
          <w:tcPr>
            <w:tcW w:w="1134" w:type="dxa"/>
            <w:vAlign w:val="center"/>
          </w:tcPr>
          <w:p w14:paraId="02CFA9CB" w14:textId="77777777" w:rsidR="008C4E6A" w:rsidRPr="00043C2A" w:rsidRDefault="008C4E6A" w:rsidP="00190A99">
            <w:pPr>
              <w:ind w:right="-108"/>
              <w:rPr>
                <w:rFonts w:ascii="Times New Roman" w:hAnsi="Times New Roman" w:cs="Times New Roman"/>
                <w:b/>
                <w:sz w:val="20"/>
                <w:szCs w:val="20"/>
              </w:rPr>
            </w:pPr>
            <w:r w:rsidRPr="00043C2A">
              <w:rPr>
                <w:rFonts w:ascii="Times New Roman" w:hAnsi="Times New Roman" w:cs="Times New Roman"/>
                <w:b/>
                <w:sz w:val="20"/>
                <w:szCs w:val="20"/>
              </w:rPr>
              <w:t>Počet predložených žiadostí na MAS</w:t>
            </w:r>
          </w:p>
        </w:tc>
        <w:tc>
          <w:tcPr>
            <w:tcW w:w="992" w:type="dxa"/>
            <w:vAlign w:val="center"/>
          </w:tcPr>
          <w:p w14:paraId="73B18857" w14:textId="77777777" w:rsidR="008C4E6A" w:rsidRPr="00043C2A" w:rsidRDefault="008C4E6A" w:rsidP="00190A99">
            <w:pPr>
              <w:tabs>
                <w:tab w:val="left" w:pos="1451"/>
              </w:tabs>
              <w:ind w:right="-108"/>
              <w:rPr>
                <w:rFonts w:ascii="Times New Roman" w:hAnsi="Times New Roman" w:cs="Times New Roman"/>
                <w:b/>
                <w:sz w:val="20"/>
                <w:szCs w:val="20"/>
              </w:rPr>
            </w:pPr>
            <w:r w:rsidRPr="00043C2A">
              <w:rPr>
                <w:rFonts w:ascii="Times New Roman" w:hAnsi="Times New Roman" w:cs="Times New Roman"/>
                <w:b/>
                <w:sz w:val="20"/>
                <w:szCs w:val="20"/>
              </w:rPr>
              <w:t xml:space="preserve">Počet </w:t>
            </w:r>
            <w:r w:rsidR="00202399" w:rsidRPr="00043C2A">
              <w:rPr>
                <w:rFonts w:ascii="Times New Roman" w:hAnsi="Times New Roman" w:cs="Times New Roman"/>
                <w:b/>
                <w:sz w:val="20"/>
                <w:szCs w:val="20"/>
              </w:rPr>
              <w:t>pod</w:t>
            </w:r>
            <w:r w:rsidR="00202399">
              <w:rPr>
                <w:rFonts w:ascii="Times New Roman" w:hAnsi="Times New Roman" w:cs="Times New Roman"/>
                <w:b/>
                <w:sz w:val="20"/>
                <w:szCs w:val="20"/>
              </w:rPr>
              <w:t>p</w:t>
            </w:r>
            <w:r w:rsidR="00202399" w:rsidRPr="00043C2A">
              <w:rPr>
                <w:rFonts w:ascii="Times New Roman" w:hAnsi="Times New Roman" w:cs="Times New Roman"/>
                <w:b/>
                <w:sz w:val="20"/>
                <w:szCs w:val="20"/>
              </w:rPr>
              <w:t>orených</w:t>
            </w:r>
            <w:r w:rsidRPr="00043C2A">
              <w:rPr>
                <w:rFonts w:ascii="Times New Roman" w:hAnsi="Times New Roman" w:cs="Times New Roman"/>
                <w:b/>
                <w:sz w:val="20"/>
                <w:szCs w:val="20"/>
              </w:rPr>
              <w:t xml:space="preserve"> projektov</w:t>
            </w:r>
          </w:p>
        </w:tc>
        <w:tc>
          <w:tcPr>
            <w:tcW w:w="1276" w:type="dxa"/>
            <w:vAlign w:val="center"/>
            <w:hideMark/>
          </w:tcPr>
          <w:p w14:paraId="7CC86944"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Finančný plán v € z Osi 4 Leader po II. realokácii</w:t>
            </w:r>
          </w:p>
        </w:tc>
        <w:tc>
          <w:tcPr>
            <w:tcW w:w="1275" w:type="dxa"/>
            <w:vAlign w:val="center"/>
            <w:hideMark/>
          </w:tcPr>
          <w:p w14:paraId="2F7B499E"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Skutočné čerpanie</w:t>
            </w:r>
          </w:p>
        </w:tc>
        <w:tc>
          <w:tcPr>
            <w:tcW w:w="1134" w:type="dxa"/>
            <w:vAlign w:val="center"/>
            <w:hideMark/>
          </w:tcPr>
          <w:p w14:paraId="27C40C3D"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Zostatok</w:t>
            </w:r>
          </w:p>
        </w:tc>
      </w:tr>
      <w:tr w:rsidR="0020620B" w:rsidRPr="00043C2A" w14:paraId="37C1F05B" w14:textId="77777777" w:rsidTr="00ED2266">
        <w:trPr>
          <w:trHeight w:val="663"/>
        </w:trPr>
        <w:tc>
          <w:tcPr>
            <w:tcW w:w="2410" w:type="dxa"/>
            <w:vAlign w:val="center"/>
            <w:hideMark/>
          </w:tcPr>
          <w:p w14:paraId="1E4E31C5"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3.4.1 Základné služby pre vidiecke obyvateľstvo</w:t>
            </w:r>
          </w:p>
        </w:tc>
        <w:tc>
          <w:tcPr>
            <w:tcW w:w="851" w:type="dxa"/>
            <w:noWrap/>
            <w:vAlign w:val="center"/>
            <w:hideMark/>
          </w:tcPr>
          <w:p w14:paraId="38D820CB"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4</w:t>
            </w:r>
          </w:p>
        </w:tc>
        <w:tc>
          <w:tcPr>
            <w:tcW w:w="1134" w:type="dxa"/>
            <w:vAlign w:val="center"/>
          </w:tcPr>
          <w:p w14:paraId="566ED77F"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17</w:t>
            </w:r>
          </w:p>
        </w:tc>
        <w:tc>
          <w:tcPr>
            <w:tcW w:w="992" w:type="dxa"/>
            <w:vAlign w:val="center"/>
          </w:tcPr>
          <w:p w14:paraId="754E1579"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16</w:t>
            </w:r>
          </w:p>
        </w:tc>
        <w:tc>
          <w:tcPr>
            <w:tcW w:w="1276" w:type="dxa"/>
            <w:noWrap/>
            <w:vAlign w:val="center"/>
            <w:hideMark/>
          </w:tcPr>
          <w:p w14:paraId="4F9ACA34"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624 125,34</w:t>
            </w:r>
          </w:p>
        </w:tc>
        <w:tc>
          <w:tcPr>
            <w:tcW w:w="1275" w:type="dxa"/>
            <w:noWrap/>
            <w:vAlign w:val="center"/>
            <w:hideMark/>
          </w:tcPr>
          <w:p w14:paraId="004C017D"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624 032,39</w:t>
            </w:r>
          </w:p>
        </w:tc>
        <w:tc>
          <w:tcPr>
            <w:tcW w:w="1134" w:type="dxa"/>
            <w:noWrap/>
            <w:vAlign w:val="center"/>
            <w:hideMark/>
          </w:tcPr>
          <w:p w14:paraId="7EE1CEA8"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92,95</w:t>
            </w:r>
          </w:p>
        </w:tc>
      </w:tr>
      <w:tr w:rsidR="0020620B" w:rsidRPr="00043C2A" w14:paraId="31049644" w14:textId="77777777" w:rsidTr="00ED2266">
        <w:trPr>
          <w:trHeight w:val="1012"/>
        </w:trPr>
        <w:tc>
          <w:tcPr>
            <w:tcW w:w="2410" w:type="dxa"/>
            <w:vAlign w:val="center"/>
            <w:hideMark/>
          </w:tcPr>
          <w:p w14:paraId="262E9586"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3.4.2 Obnova a rozvoj obcí - výstavba rekonštrukcia a modernizácia verejných priestranstiev a parkov</w:t>
            </w:r>
          </w:p>
        </w:tc>
        <w:tc>
          <w:tcPr>
            <w:tcW w:w="851" w:type="dxa"/>
            <w:noWrap/>
            <w:vAlign w:val="center"/>
            <w:hideMark/>
          </w:tcPr>
          <w:p w14:paraId="642AED93"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2</w:t>
            </w:r>
          </w:p>
        </w:tc>
        <w:tc>
          <w:tcPr>
            <w:tcW w:w="1134" w:type="dxa"/>
            <w:vAlign w:val="center"/>
          </w:tcPr>
          <w:p w14:paraId="5DE90D92"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8</w:t>
            </w:r>
          </w:p>
        </w:tc>
        <w:tc>
          <w:tcPr>
            <w:tcW w:w="992" w:type="dxa"/>
            <w:vAlign w:val="center"/>
          </w:tcPr>
          <w:p w14:paraId="50BA8CD4" w14:textId="77777777" w:rsidR="008C4E6A" w:rsidRPr="00043C2A" w:rsidRDefault="00915EF5" w:rsidP="00190A99">
            <w:pPr>
              <w:jc w:val="center"/>
              <w:rPr>
                <w:rFonts w:ascii="Times New Roman" w:hAnsi="Times New Roman" w:cs="Times New Roman"/>
                <w:sz w:val="20"/>
                <w:szCs w:val="20"/>
              </w:rPr>
            </w:pPr>
            <w:r w:rsidRPr="00043C2A">
              <w:rPr>
                <w:rFonts w:ascii="Times New Roman" w:hAnsi="Times New Roman" w:cs="Times New Roman"/>
                <w:sz w:val="20"/>
                <w:szCs w:val="20"/>
              </w:rPr>
              <w:t>8</w:t>
            </w:r>
          </w:p>
        </w:tc>
        <w:tc>
          <w:tcPr>
            <w:tcW w:w="1276" w:type="dxa"/>
            <w:noWrap/>
            <w:vAlign w:val="center"/>
            <w:hideMark/>
          </w:tcPr>
          <w:p w14:paraId="1FB98559"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420 755,03</w:t>
            </w:r>
          </w:p>
        </w:tc>
        <w:tc>
          <w:tcPr>
            <w:tcW w:w="1275" w:type="dxa"/>
            <w:noWrap/>
            <w:vAlign w:val="center"/>
            <w:hideMark/>
          </w:tcPr>
          <w:p w14:paraId="2B3D6320"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420 106,83</w:t>
            </w:r>
          </w:p>
        </w:tc>
        <w:tc>
          <w:tcPr>
            <w:tcW w:w="1134" w:type="dxa"/>
            <w:noWrap/>
            <w:vAlign w:val="center"/>
            <w:hideMark/>
          </w:tcPr>
          <w:p w14:paraId="6D109A83"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648,20</w:t>
            </w:r>
          </w:p>
        </w:tc>
      </w:tr>
      <w:tr w:rsidR="0020620B" w:rsidRPr="00043C2A" w14:paraId="39315E2A" w14:textId="77777777" w:rsidTr="00ED2266">
        <w:trPr>
          <w:trHeight w:val="958"/>
        </w:trPr>
        <w:tc>
          <w:tcPr>
            <w:tcW w:w="2410" w:type="dxa"/>
            <w:vAlign w:val="center"/>
            <w:hideMark/>
          </w:tcPr>
          <w:p w14:paraId="18058027"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3.4.2 Obnova a rozvoj obcí - výstavba, rekonštrukcia a modernizácia cyklotrás</w:t>
            </w:r>
          </w:p>
        </w:tc>
        <w:tc>
          <w:tcPr>
            <w:tcW w:w="851" w:type="dxa"/>
            <w:noWrap/>
            <w:vAlign w:val="center"/>
            <w:hideMark/>
          </w:tcPr>
          <w:p w14:paraId="26121CA8"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2</w:t>
            </w:r>
          </w:p>
        </w:tc>
        <w:tc>
          <w:tcPr>
            <w:tcW w:w="1134" w:type="dxa"/>
            <w:vAlign w:val="center"/>
          </w:tcPr>
          <w:p w14:paraId="1FE20D42" w14:textId="77777777" w:rsidR="008C4E6A" w:rsidRPr="00043C2A" w:rsidRDefault="00915EF5" w:rsidP="00915EF5">
            <w:pPr>
              <w:jc w:val="center"/>
              <w:rPr>
                <w:rFonts w:ascii="Times New Roman" w:hAnsi="Times New Roman" w:cs="Times New Roman"/>
                <w:sz w:val="20"/>
                <w:szCs w:val="20"/>
              </w:rPr>
            </w:pPr>
            <w:r w:rsidRPr="00043C2A">
              <w:rPr>
                <w:rFonts w:ascii="Times New Roman" w:hAnsi="Times New Roman" w:cs="Times New Roman"/>
                <w:sz w:val="20"/>
                <w:szCs w:val="20"/>
              </w:rPr>
              <w:t>10</w:t>
            </w:r>
          </w:p>
        </w:tc>
        <w:tc>
          <w:tcPr>
            <w:tcW w:w="992" w:type="dxa"/>
            <w:vAlign w:val="center"/>
          </w:tcPr>
          <w:p w14:paraId="3E23679B"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10</w:t>
            </w:r>
          </w:p>
        </w:tc>
        <w:tc>
          <w:tcPr>
            <w:tcW w:w="1276" w:type="dxa"/>
            <w:noWrap/>
            <w:vAlign w:val="center"/>
            <w:hideMark/>
          </w:tcPr>
          <w:p w14:paraId="6F4A7BD9"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359 179,71</w:t>
            </w:r>
          </w:p>
        </w:tc>
        <w:tc>
          <w:tcPr>
            <w:tcW w:w="1275" w:type="dxa"/>
            <w:noWrap/>
            <w:vAlign w:val="center"/>
            <w:hideMark/>
          </w:tcPr>
          <w:p w14:paraId="177E2C2B"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357 413,37</w:t>
            </w:r>
          </w:p>
        </w:tc>
        <w:tc>
          <w:tcPr>
            <w:tcW w:w="1134" w:type="dxa"/>
            <w:noWrap/>
            <w:vAlign w:val="center"/>
            <w:hideMark/>
          </w:tcPr>
          <w:p w14:paraId="5E713CAB"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1 766,34</w:t>
            </w:r>
          </w:p>
        </w:tc>
      </w:tr>
      <w:tr w:rsidR="0020620B" w:rsidRPr="00043C2A" w14:paraId="52CB44E8" w14:textId="77777777" w:rsidTr="00ED2266">
        <w:trPr>
          <w:trHeight w:val="958"/>
        </w:trPr>
        <w:tc>
          <w:tcPr>
            <w:tcW w:w="2410" w:type="dxa"/>
            <w:vAlign w:val="center"/>
            <w:hideMark/>
          </w:tcPr>
          <w:p w14:paraId="35F63645"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3.2.A Podpora činností v oblasti vidieckeho cestovného ruchu - časť A</w:t>
            </w:r>
          </w:p>
        </w:tc>
        <w:tc>
          <w:tcPr>
            <w:tcW w:w="851" w:type="dxa"/>
            <w:noWrap/>
            <w:vAlign w:val="center"/>
            <w:hideMark/>
          </w:tcPr>
          <w:p w14:paraId="418CB3B5"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5</w:t>
            </w:r>
          </w:p>
        </w:tc>
        <w:tc>
          <w:tcPr>
            <w:tcW w:w="1134" w:type="dxa"/>
            <w:vAlign w:val="center"/>
          </w:tcPr>
          <w:p w14:paraId="4DD6FAE6"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23</w:t>
            </w:r>
          </w:p>
        </w:tc>
        <w:tc>
          <w:tcPr>
            <w:tcW w:w="992" w:type="dxa"/>
            <w:vAlign w:val="center"/>
          </w:tcPr>
          <w:p w14:paraId="4B6422B8"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14</w:t>
            </w:r>
          </w:p>
        </w:tc>
        <w:tc>
          <w:tcPr>
            <w:tcW w:w="1276" w:type="dxa"/>
            <w:noWrap/>
            <w:vAlign w:val="center"/>
            <w:hideMark/>
          </w:tcPr>
          <w:p w14:paraId="5B94CC87"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417 712,59</w:t>
            </w:r>
          </w:p>
        </w:tc>
        <w:tc>
          <w:tcPr>
            <w:tcW w:w="1275" w:type="dxa"/>
            <w:noWrap/>
            <w:vAlign w:val="center"/>
            <w:hideMark/>
          </w:tcPr>
          <w:p w14:paraId="76772F28"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378 480,97</w:t>
            </w:r>
          </w:p>
        </w:tc>
        <w:tc>
          <w:tcPr>
            <w:tcW w:w="1134" w:type="dxa"/>
            <w:noWrap/>
            <w:vAlign w:val="center"/>
            <w:hideMark/>
          </w:tcPr>
          <w:p w14:paraId="555902BF"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39 231,62</w:t>
            </w:r>
          </w:p>
        </w:tc>
      </w:tr>
      <w:tr w:rsidR="0020620B" w:rsidRPr="00043C2A" w14:paraId="3DDCC430" w14:textId="77777777" w:rsidTr="00ED2266">
        <w:trPr>
          <w:trHeight w:val="958"/>
        </w:trPr>
        <w:tc>
          <w:tcPr>
            <w:tcW w:w="2410" w:type="dxa"/>
            <w:vAlign w:val="center"/>
            <w:hideMark/>
          </w:tcPr>
          <w:p w14:paraId="5B1F6B38"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3.2.B Podpora činností v oblasti vidieckeho cestovného ruchu - časť B</w:t>
            </w:r>
          </w:p>
        </w:tc>
        <w:tc>
          <w:tcPr>
            <w:tcW w:w="851" w:type="dxa"/>
            <w:noWrap/>
            <w:vAlign w:val="center"/>
            <w:hideMark/>
          </w:tcPr>
          <w:p w14:paraId="5F61359C"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5</w:t>
            </w:r>
          </w:p>
        </w:tc>
        <w:tc>
          <w:tcPr>
            <w:tcW w:w="1134" w:type="dxa"/>
            <w:vAlign w:val="center"/>
          </w:tcPr>
          <w:p w14:paraId="2F527B96"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8</w:t>
            </w:r>
          </w:p>
        </w:tc>
        <w:tc>
          <w:tcPr>
            <w:tcW w:w="992" w:type="dxa"/>
            <w:vAlign w:val="center"/>
          </w:tcPr>
          <w:p w14:paraId="0A5C0223"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4</w:t>
            </w:r>
          </w:p>
        </w:tc>
        <w:tc>
          <w:tcPr>
            <w:tcW w:w="1276" w:type="dxa"/>
            <w:noWrap/>
            <w:vAlign w:val="center"/>
            <w:hideMark/>
          </w:tcPr>
          <w:p w14:paraId="06CAA7A0"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231 854,13</w:t>
            </w:r>
          </w:p>
        </w:tc>
        <w:tc>
          <w:tcPr>
            <w:tcW w:w="1275" w:type="dxa"/>
            <w:noWrap/>
            <w:vAlign w:val="center"/>
            <w:hideMark/>
          </w:tcPr>
          <w:p w14:paraId="278D4D5D"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231 854,00</w:t>
            </w:r>
          </w:p>
        </w:tc>
        <w:tc>
          <w:tcPr>
            <w:tcW w:w="1134" w:type="dxa"/>
            <w:noWrap/>
            <w:vAlign w:val="center"/>
            <w:hideMark/>
          </w:tcPr>
          <w:p w14:paraId="72DDB103"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0,13</w:t>
            </w:r>
          </w:p>
        </w:tc>
      </w:tr>
      <w:tr w:rsidR="0020620B" w:rsidRPr="00043C2A" w14:paraId="45205601" w14:textId="77777777" w:rsidTr="00ED2266">
        <w:trPr>
          <w:trHeight w:val="634"/>
        </w:trPr>
        <w:tc>
          <w:tcPr>
            <w:tcW w:w="2410" w:type="dxa"/>
            <w:noWrap/>
            <w:vAlign w:val="center"/>
            <w:hideMark/>
          </w:tcPr>
          <w:p w14:paraId="595F4844"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3.3 Vzdelávanie a informovanie</w:t>
            </w:r>
          </w:p>
        </w:tc>
        <w:tc>
          <w:tcPr>
            <w:tcW w:w="851" w:type="dxa"/>
            <w:noWrap/>
            <w:vAlign w:val="center"/>
            <w:hideMark/>
          </w:tcPr>
          <w:p w14:paraId="376448F2"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3</w:t>
            </w:r>
          </w:p>
        </w:tc>
        <w:tc>
          <w:tcPr>
            <w:tcW w:w="1134" w:type="dxa"/>
            <w:vAlign w:val="center"/>
          </w:tcPr>
          <w:p w14:paraId="1D4F4980"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5</w:t>
            </w:r>
          </w:p>
        </w:tc>
        <w:tc>
          <w:tcPr>
            <w:tcW w:w="992" w:type="dxa"/>
            <w:vAlign w:val="center"/>
          </w:tcPr>
          <w:p w14:paraId="05C38853" w14:textId="77777777" w:rsidR="008C4E6A" w:rsidRPr="00043C2A" w:rsidRDefault="008C4E6A" w:rsidP="00190A99">
            <w:pPr>
              <w:jc w:val="center"/>
              <w:rPr>
                <w:rFonts w:ascii="Times New Roman" w:hAnsi="Times New Roman" w:cs="Times New Roman"/>
                <w:sz w:val="20"/>
                <w:szCs w:val="20"/>
              </w:rPr>
            </w:pPr>
            <w:r w:rsidRPr="00043C2A">
              <w:rPr>
                <w:rFonts w:ascii="Times New Roman" w:hAnsi="Times New Roman" w:cs="Times New Roman"/>
                <w:sz w:val="20"/>
                <w:szCs w:val="20"/>
              </w:rPr>
              <w:t>4</w:t>
            </w:r>
          </w:p>
        </w:tc>
        <w:tc>
          <w:tcPr>
            <w:tcW w:w="1276" w:type="dxa"/>
            <w:noWrap/>
            <w:vAlign w:val="center"/>
            <w:hideMark/>
          </w:tcPr>
          <w:p w14:paraId="39517CF1"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33 057,20</w:t>
            </w:r>
          </w:p>
        </w:tc>
        <w:tc>
          <w:tcPr>
            <w:tcW w:w="1275" w:type="dxa"/>
            <w:noWrap/>
            <w:vAlign w:val="center"/>
            <w:hideMark/>
          </w:tcPr>
          <w:p w14:paraId="06330A83"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26 199,88</w:t>
            </w:r>
          </w:p>
        </w:tc>
        <w:tc>
          <w:tcPr>
            <w:tcW w:w="1134" w:type="dxa"/>
            <w:noWrap/>
            <w:vAlign w:val="center"/>
            <w:hideMark/>
          </w:tcPr>
          <w:p w14:paraId="6F26F8B6" w14:textId="77777777" w:rsidR="008C4E6A" w:rsidRPr="00043C2A" w:rsidRDefault="008C4E6A" w:rsidP="00190A99">
            <w:pPr>
              <w:jc w:val="right"/>
              <w:rPr>
                <w:rFonts w:ascii="Times New Roman" w:hAnsi="Times New Roman" w:cs="Times New Roman"/>
                <w:sz w:val="20"/>
                <w:szCs w:val="20"/>
              </w:rPr>
            </w:pPr>
            <w:r w:rsidRPr="00043C2A">
              <w:rPr>
                <w:rFonts w:ascii="Times New Roman" w:hAnsi="Times New Roman" w:cs="Times New Roman"/>
                <w:sz w:val="20"/>
                <w:szCs w:val="20"/>
              </w:rPr>
              <w:t>6 857,32</w:t>
            </w:r>
          </w:p>
        </w:tc>
      </w:tr>
      <w:tr w:rsidR="0020620B" w:rsidRPr="00043C2A" w14:paraId="5F35A26F" w14:textId="77777777" w:rsidTr="00ED2266">
        <w:trPr>
          <w:trHeight w:val="958"/>
        </w:trPr>
        <w:tc>
          <w:tcPr>
            <w:tcW w:w="2410" w:type="dxa"/>
            <w:noWrap/>
            <w:vAlign w:val="center"/>
            <w:hideMark/>
          </w:tcPr>
          <w:p w14:paraId="04902FD2" w14:textId="77777777" w:rsidR="008C4E6A" w:rsidRPr="00043C2A" w:rsidRDefault="008C4E6A" w:rsidP="008D0D63">
            <w:pPr>
              <w:rPr>
                <w:rFonts w:ascii="Times New Roman" w:hAnsi="Times New Roman" w:cs="Times New Roman"/>
                <w:b/>
                <w:sz w:val="20"/>
                <w:szCs w:val="20"/>
              </w:rPr>
            </w:pPr>
            <w:r w:rsidRPr="00043C2A">
              <w:rPr>
                <w:rFonts w:ascii="Times New Roman" w:hAnsi="Times New Roman" w:cs="Times New Roman"/>
                <w:b/>
                <w:sz w:val="20"/>
                <w:szCs w:val="20"/>
              </w:rPr>
              <w:t>Suma spolu v €</w:t>
            </w:r>
          </w:p>
        </w:tc>
        <w:tc>
          <w:tcPr>
            <w:tcW w:w="851" w:type="dxa"/>
            <w:noWrap/>
            <w:vAlign w:val="center"/>
            <w:hideMark/>
          </w:tcPr>
          <w:p w14:paraId="2A873B65" w14:textId="77777777" w:rsidR="008C4E6A" w:rsidRPr="00043C2A" w:rsidRDefault="008C4E6A" w:rsidP="00190A99">
            <w:pPr>
              <w:jc w:val="center"/>
              <w:rPr>
                <w:rFonts w:ascii="Times New Roman" w:hAnsi="Times New Roman" w:cs="Times New Roman"/>
                <w:b/>
                <w:sz w:val="20"/>
                <w:szCs w:val="20"/>
              </w:rPr>
            </w:pPr>
            <w:r w:rsidRPr="00043C2A">
              <w:rPr>
                <w:rFonts w:ascii="Times New Roman" w:hAnsi="Times New Roman" w:cs="Times New Roman"/>
                <w:b/>
                <w:sz w:val="20"/>
                <w:szCs w:val="20"/>
              </w:rPr>
              <w:t>21</w:t>
            </w:r>
          </w:p>
        </w:tc>
        <w:tc>
          <w:tcPr>
            <w:tcW w:w="1134" w:type="dxa"/>
            <w:vAlign w:val="center"/>
          </w:tcPr>
          <w:p w14:paraId="20FE5CB2" w14:textId="77777777" w:rsidR="008C4E6A" w:rsidRPr="00043C2A" w:rsidRDefault="008C4E6A" w:rsidP="00190A99">
            <w:pPr>
              <w:jc w:val="center"/>
              <w:rPr>
                <w:rFonts w:ascii="Times New Roman" w:hAnsi="Times New Roman" w:cs="Times New Roman"/>
                <w:b/>
                <w:sz w:val="20"/>
                <w:szCs w:val="20"/>
              </w:rPr>
            </w:pPr>
            <w:r w:rsidRPr="00043C2A">
              <w:rPr>
                <w:rFonts w:ascii="Times New Roman" w:hAnsi="Times New Roman" w:cs="Times New Roman"/>
                <w:b/>
                <w:sz w:val="20"/>
                <w:szCs w:val="20"/>
              </w:rPr>
              <w:t>7</w:t>
            </w:r>
            <w:r w:rsidR="00915EF5" w:rsidRPr="00043C2A">
              <w:rPr>
                <w:rFonts w:ascii="Times New Roman" w:hAnsi="Times New Roman" w:cs="Times New Roman"/>
                <w:b/>
                <w:sz w:val="20"/>
                <w:szCs w:val="20"/>
              </w:rPr>
              <w:t>1</w:t>
            </w:r>
          </w:p>
        </w:tc>
        <w:tc>
          <w:tcPr>
            <w:tcW w:w="992" w:type="dxa"/>
            <w:vAlign w:val="center"/>
          </w:tcPr>
          <w:p w14:paraId="5936EBAF" w14:textId="77777777" w:rsidR="008C4E6A" w:rsidRPr="00043C2A" w:rsidRDefault="008C4E6A" w:rsidP="00190A99">
            <w:pPr>
              <w:jc w:val="center"/>
              <w:rPr>
                <w:rFonts w:ascii="Times New Roman" w:hAnsi="Times New Roman" w:cs="Times New Roman"/>
                <w:b/>
                <w:sz w:val="20"/>
                <w:szCs w:val="20"/>
              </w:rPr>
            </w:pPr>
            <w:r w:rsidRPr="00043C2A">
              <w:rPr>
                <w:rFonts w:ascii="Times New Roman" w:hAnsi="Times New Roman" w:cs="Times New Roman"/>
                <w:b/>
                <w:sz w:val="20"/>
                <w:szCs w:val="20"/>
              </w:rPr>
              <w:t>5</w:t>
            </w:r>
            <w:r w:rsidR="00915EF5" w:rsidRPr="00043C2A">
              <w:rPr>
                <w:rFonts w:ascii="Times New Roman" w:hAnsi="Times New Roman" w:cs="Times New Roman"/>
                <w:b/>
                <w:sz w:val="20"/>
                <w:szCs w:val="20"/>
              </w:rPr>
              <w:t>6</w:t>
            </w:r>
          </w:p>
        </w:tc>
        <w:tc>
          <w:tcPr>
            <w:tcW w:w="1276" w:type="dxa"/>
            <w:noWrap/>
            <w:vAlign w:val="center"/>
            <w:hideMark/>
          </w:tcPr>
          <w:p w14:paraId="2AFC7C4E" w14:textId="77777777" w:rsidR="008C4E6A" w:rsidRPr="00043C2A" w:rsidRDefault="008C4E6A" w:rsidP="00190A99">
            <w:pPr>
              <w:jc w:val="right"/>
              <w:rPr>
                <w:rFonts w:ascii="Times New Roman" w:hAnsi="Times New Roman" w:cs="Times New Roman"/>
                <w:b/>
                <w:sz w:val="20"/>
                <w:szCs w:val="20"/>
              </w:rPr>
            </w:pPr>
            <w:r w:rsidRPr="00043C2A">
              <w:rPr>
                <w:rFonts w:ascii="Times New Roman" w:hAnsi="Times New Roman" w:cs="Times New Roman"/>
                <w:b/>
                <w:sz w:val="20"/>
                <w:szCs w:val="20"/>
              </w:rPr>
              <w:t>2 086 684,00</w:t>
            </w:r>
          </w:p>
        </w:tc>
        <w:tc>
          <w:tcPr>
            <w:tcW w:w="1275" w:type="dxa"/>
            <w:noWrap/>
            <w:vAlign w:val="center"/>
            <w:hideMark/>
          </w:tcPr>
          <w:p w14:paraId="33398D1C" w14:textId="77777777" w:rsidR="008C4E6A" w:rsidRPr="00043C2A" w:rsidRDefault="008C4E6A" w:rsidP="00190A99">
            <w:pPr>
              <w:jc w:val="right"/>
              <w:rPr>
                <w:rFonts w:ascii="Times New Roman" w:hAnsi="Times New Roman" w:cs="Times New Roman"/>
                <w:b/>
                <w:sz w:val="20"/>
                <w:szCs w:val="20"/>
              </w:rPr>
            </w:pPr>
            <w:r w:rsidRPr="00043C2A">
              <w:rPr>
                <w:rFonts w:ascii="Times New Roman" w:hAnsi="Times New Roman" w:cs="Times New Roman"/>
                <w:b/>
                <w:sz w:val="20"/>
                <w:szCs w:val="20"/>
              </w:rPr>
              <w:t>2 038 087,44</w:t>
            </w:r>
          </w:p>
        </w:tc>
        <w:tc>
          <w:tcPr>
            <w:tcW w:w="1134" w:type="dxa"/>
            <w:noWrap/>
            <w:vAlign w:val="center"/>
            <w:hideMark/>
          </w:tcPr>
          <w:p w14:paraId="41E73DAB" w14:textId="77777777" w:rsidR="008C4E6A" w:rsidRPr="00043C2A" w:rsidRDefault="008C4E6A" w:rsidP="00190A99">
            <w:pPr>
              <w:jc w:val="right"/>
              <w:rPr>
                <w:rFonts w:ascii="Times New Roman" w:hAnsi="Times New Roman" w:cs="Times New Roman"/>
                <w:b/>
                <w:sz w:val="20"/>
                <w:szCs w:val="20"/>
              </w:rPr>
            </w:pPr>
            <w:r w:rsidRPr="00043C2A">
              <w:rPr>
                <w:rFonts w:ascii="Times New Roman" w:hAnsi="Times New Roman" w:cs="Times New Roman"/>
                <w:b/>
                <w:sz w:val="20"/>
                <w:szCs w:val="20"/>
              </w:rPr>
              <w:t>48 596,56</w:t>
            </w:r>
          </w:p>
        </w:tc>
      </w:tr>
    </w:tbl>
    <w:p w14:paraId="27A569F2" w14:textId="77777777" w:rsidR="0020620B" w:rsidRDefault="0020620B" w:rsidP="000151E6">
      <w:pPr>
        <w:spacing w:after="0" w:line="360" w:lineRule="auto"/>
        <w:jc w:val="both"/>
        <w:rPr>
          <w:rFonts w:ascii="Times New Roman" w:hAnsi="Times New Roman" w:cs="Times New Roman"/>
          <w:sz w:val="24"/>
          <w:szCs w:val="24"/>
        </w:rPr>
      </w:pPr>
    </w:p>
    <w:p w14:paraId="0FDE38CA" w14:textId="77777777" w:rsidR="00190A99" w:rsidRDefault="00866300" w:rsidP="002062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90A99" w:rsidRPr="00073A82">
        <w:rPr>
          <w:rFonts w:ascii="Times New Roman" w:hAnsi="Times New Roman" w:cs="Times New Roman"/>
          <w:sz w:val="24"/>
          <w:szCs w:val="24"/>
        </w:rPr>
        <w:t>Z tabuľky vyplýva, že najväčší záujem</w:t>
      </w:r>
      <w:r w:rsidR="00190A99">
        <w:rPr>
          <w:rFonts w:ascii="Times New Roman" w:hAnsi="Times New Roman" w:cs="Times New Roman"/>
          <w:sz w:val="24"/>
          <w:szCs w:val="24"/>
        </w:rPr>
        <w:t xml:space="preserve"> v rámci implementácie stratégie</w:t>
      </w:r>
      <w:r w:rsidR="00190A99" w:rsidRPr="00073A82">
        <w:rPr>
          <w:rFonts w:ascii="Times New Roman" w:hAnsi="Times New Roman" w:cs="Times New Roman"/>
          <w:sz w:val="24"/>
          <w:szCs w:val="24"/>
        </w:rPr>
        <w:t xml:space="preserve"> KR – MAS v minulom období bol o projekty v opatrení </w:t>
      </w:r>
      <w:r w:rsidR="00190A99" w:rsidRPr="00073A82">
        <w:rPr>
          <w:rFonts w:ascii="Times New Roman" w:hAnsi="Times New Roman" w:cs="Times New Roman"/>
          <w:i/>
          <w:sz w:val="24"/>
          <w:szCs w:val="24"/>
        </w:rPr>
        <w:t>3.4.1 Základné služby pre vidiecke obyvateľstvo</w:t>
      </w:r>
      <w:r w:rsidR="00190A99" w:rsidRPr="00073A82">
        <w:rPr>
          <w:rFonts w:ascii="Times New Roman" w:hAnsi="Times New Roman" w:cs="Times New Roman"/>
          <w:sz w:val="24"/>
          <w:szCs w:val="24"/>
        </w:rPr>
        <w:t xml:space="preserve"> a to 16. Takisto bolo v tomto opatrení i najvyššie čerpanie. 14 projektov bolo predložených aj v opatrení 3.2.A Podpora činností v oblasti vidieckeho cestovného ruchu. Napriek tomu tam zostal najvyšší zostatok a to vo výške 39 231,62 EUR, čo sú financie na viac ako jeden projekt. Celkovo zostalo v opatreniach nevyčerpaných 48 596,56 EUR, čo je približne 3,5 %. Znamená to, že čerpanie KR – MAS v rámci jednotlivých opatrení bolo 97,5 %, čo </w:t>
      </w:r>
      <w:r w:rsidR="00190A99">
        <w:rPr>
          <w:rFonts w:ascii="Times New Roman" w:hAnsi="Times New Roman" w:cs="Times New Roman"/>
          <w:sz w:val="24"/>
          <w:szCs w:val="24"/>
        </w:rPr>
        <w:t xml:space="preserve">je </w:t>
      </w:r>
      <w:r w:rsidR="00190A99" w:rsidRPr="00073A82">
        <w:rPr>
          <w:rFonts w:ascii="Times New Roman" w:hAnsi="Times New Roman" w:cs="Times New Roman"/>
          <w:sz w:val="24"/>
          <w:szCs w:val="24"/>
        </w:rPr>
        <w:t>vzhľadom na množstvo projektov (22) z neverejného sektora veľmi dobrá bilancia.</w:t>
      </w:r>
    </w:p>
    <w:p w14:paraId="5B3568FC" w14:textId="77777777" w:rsidR="00866300" w:rsidRDefault="00866300" w:rsidP="0020620B">
      <w:pPr>
        <w:spacing w:after="0" w:line="360" w:lineRule="auto"/>
        <w:jc w:val="both"/>
        <w:rPr>
          <w:rFonts w:ascii="Times New Roman" w:hAnsi="Times New Roman" w:cs="Times New Roman"/>
          <w:sz w:val="24"/>
          <w:szCs w:val="24"/>
        </w:rPr>
      </w:pPr>
    </w:p>
    <w:p w14:paraId="2B096FF4" w14:textId="77777777" w:rsidR="00866300" w:rsidRPr="00073A82" w:rsidRDefault="00866300" w:rsidP="0020620B">
      <w:pPr>
        <w:spacing w:after="0" w:line="360" w:lineRule="auto"/>
        <w:jc w:val="both"/>
        <w:rPr>
          <w:rFonts w:ascii="Times New Roman" w:hAnsi="Times New Roman" w:cs="Times New Roman"/>
          <w:sz w:val="24"/>
          <w:szCs w:val="24"/>
        </w:rPr>
      </w:pPr>
    </w:p>
    <w:p w14:paraId="2418A667" w14:textId="77777777" w:rsidR="00190A99" w:rsidRPr="00770A98" w:rsidRDefault="00915EF5" w:rsidP="00866300">
      <w:pPr>
        <w:spacing w:after="0" w:line="360" w:lineRule="auto"/>
        <w:jc w:val="both"/>
        <w:rPr>
          <w:rFonts w:ascii="Times New Roman" w:hAnsi="Times New Roman" w:cs="Times New Roman"/>
          <w:sz w:val="24"/>
          <w:szCs w:val="24"/>
        </w:rPr>
      </w:pPr>
      <w:r w:rsidRPr="00AC121E">
        <w:rPr>
          <w:rFonts w:ascii="Times New Roman" w:hAnsi="Times New Roman" w:cs="Times New Roman"/>
          <w:sz w:val="24"/>
          <w:szCs w:val="24"/>
        </w:rPr>
        <w:lastRenderedPageBreak/>
        <w:t>OZ</w:t>
      </w:r>
      <w:r w:rsidRPr="00770A98">
        <w:t xml:space="preserve"> </w:t>
      </w:r>
      <w:r w:rsidR="00190A99" w:rsidRPr="00770A98">
        <w:rPr>
          <w:rFonts w:ascii="Times New Roman" w:hAnsi="Times New Roman" w:cs="Times New Roman"/>
          <w:sz w:val="24"/>
          <w:szCs w:val="24"/>
        </w:rPr>
        <w:t>Kopaničiarsky región - MAS sám organizuje alebo sa zúčastňuje mnohých aktivít:</w:t>
      </w:r>
    </w:p>
    <w:p w14:paraId="60B49130" w14:textId="77777777" w:rsidR="00190A99" w:rsidRPr="00324A73" w:rsidRDefault="00190A99" w:rsidP="003301D6">
      <w:pPr>
        <w:pStyle w:val="Odsekzoznamu"/>
        <w:numPr>
          <w:ilvl w:val="0"/>
          <w:numId w:val="1"/>
        </w:numPr>
        <w:spacing w:after="0" w:line="360" w:lineRule="auto"/>
        <w:jc w:val="both"/>
        <w:rPr>
          <w:rFonts w:ascii="Times New Roman" w:hAnsi="Times New Roman" w:cs="Times New Roman"/>
          <w:sz w:val="24"/>
          <w:szCs w:val="24"/>
        </w:rPr>
      </w:pPr>
      <w:r w:rsidRPr="00324A73">
        <w:rPr>
          <w:rFonts w:ascii="Times New Roman" w:hAnsi="Times New Roman" w:cs="Times New Roman"/>
          <w:sz w:val="24"/>
          <w:szCs w:val="24"/>
        </w:rPr>
        <w:t>Organizovanie exkurzi</w:t>
      </w:r>
      <w:r w:rsidR="00EE25C5">
        <w:rPr>
          <w:rFonts w:ascii="Times New Roman" w:hAnsi="Times New Roman" w:cs="Times New Roman"/>
          <w:sz w:val="24"/>
          <w:szCs w:val="24"/>
        </w:rPr>
        <w:t>í</w:t>
      </w:r>
      <w:r w:rsidRPr="00324A73">
        <w:rPr>
          <w:rFonts w:ascii="Times New Roman" w:hAnsi="Times New Roman" w:cs="Times New Roman"/>
          <w:sz w:val="24"/>
          <w:szCs w:val="24"/>
        </w:rPr>
        <w:t xml:space="preserve"> do kopaničiarskeho regiónu v rámci odovzdávania skúseností a sieťovania pre MAS. Spolu </w:t>
      </w:r>
      <w:r w:rsidR="00EE25C5">
        <w:rPr>
          <w:rFonts w:ascii="Times New Roman" w:hAnsi="Times New Roman" w:cs="Times New Roman"/>
          <w:sz w:val="24"/>
          <w:szCs w:val="24"/>
        </w:rPr>
        <w:t xml:space="preserve">ich bolo </w:t>
      </w:r>
      <w:r w:rsidRPr="00324A73">
        <w:rPr>
          <w:rFonts w:ascii="Times New Roman" w:hAnsi="Times New Roman" w:cs="Times New Roman"/>
          <w:sz w:val="24"/>
          <w:szCs w:val="24"/>
        </w:rPr>
        <w:t xml:space="preserve">10 a jednalo sa o tieto MAS: MAS Boskovicko PLUS, MAS Horňácko – Ostrožsko, MAS Strážnicko, MAS Mikulovsko (všetky ČR), MAS Karlukovsky Karst (Bulharsko), Partnerstvo Zegrze Lake a Partnerstwo Zalewu Zegrzyńskiego (Poľsko), MAS Svornosť, MAS Teplička, MAS Terchovská dolina a v spolupráci </w:t>
      </w:r>
      <w:r w:rsidR="00EE25C5">
        <w:rPr>
          <w:rFonts w:ascii="Times New Roman" w:hAnsi="Times New Roman" w:cs="Times New Roman"/>
          <w:sz w:val="24"/>
          <w:szCs w:val="24"/>
        </w:rPr>
        <w:t>s</w:t>
      </w:r>
      <w:r w:rsidRPr="00324A73">
        <w:rPr>
          <w:rFonts w:ascii="Times New Roman" w:hAnsi="Times New Roman" w:cs="Times New Roman"/>
          <w:sz w:val="24"/>
          <w:szCs w:val="24"/>
        </w:rPr>
        <w:t xml:space="preserve"> NSRV i pre zástupcov MAS pôsobiacich v Zlínskom kraji</w:t>
      </w:r>
      <w:r w:rsidR="00EE25C5">
        <w:rPr>
          <w:rFonts w:ascii="Times New Roman" w:hAnsi="Times New Roman" w:cs="Times New Roman"/>
          <w:sz w:val="24"/>
          <w:szCs w:val="24"/>
        </w:rPr>
        <w:t>.</w:t>
      </w:r>
    </w:p>
    <w:p w14:paraId="0A32BB21" w14:textId="77777777" w:rsidR="00190A99" w:rsidRPr="00324A73"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324A73">
        <w:rPr>
          <w:rFonts w:ascii="Times New Roman" w:hAnsi="Times New Roman" w:cs="Times New Roman"/>
          <w:sz w:val="24"/>
          <w:szCs w:val="24"/>
        </w:rPr>
        <w:t>Organizovanie exkurzi</w:t>
      </w:r>
      <w:r w:rsidR="00EE25C5">
        <w:rPr>
          <w:rFonts w:ascii="Times New Roman" w:hAnsi="Times New Roman" w:cs="Times New Roman"/>
          <w:sz w:val="24"/>
          <w:szCs w:val="24"/>
        </w:rPr>
        <w:t>í</w:t>
      </w:r>
      <w:r w:rsidRPr="00324A73">
        <w:rPr>
          <w:rFonts w:ascii="Times New Roman" w:hAnsi="Times New Roman" w:cs="Times New Roman"/>
          <w:sz w:val="24"/>
          <w:szCs w:val="24"/>
        </w:rPr>
        <w:t xml:space="preserve"> pre svojich členov do rôznych regiónov v rámci získavania skúseností a sieťovania. Jednalo sa o exkurzie do územia nasledovných MAS: Boskovicko PLUS, MAS Regiónu Poodří, MAS Horňácko – Ostrožsko, MAS Strážnicko, MAS Rožňovsko, MAS Horní Pomoraví, MAS Šumperský venkov.</w:t>
      </w:r>
      <w:r>
        <w:rPr>
          <w:rFonts w:ascii="Times New Roman" w:hAnsi="Times New Roman" w:cs="Times New Roman"/>
          <w:sz w:val="24"/>
          <w:szCs w:val="24"/>
        </w:rPr>
        <w:t xml:space="preserve"> MAS Svornosť</w:t>
      </w:r>
      <w:r w:rsidR="00EE25C5">
        <w:rPr>
          <w:rFonts w:ascii="Times New Roman" w:hAnsi="Times New Roman" w:cs="Times New Roman"/>
          <w:sz w:val="24"/>
          <w:szCs w:val="24"/>
        </w:rPr>
        <w:t>.</w:t>
      </w:r>
    </w:p>
    <w:p w14:paraId="5741888D" w14:textId="77777777" w:rsidR="00190A99" w:rsidRPr="00324A73"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324A73">
        <w:rPr>
          <w:rFonts w:ascii="Times New Roman" w:hAnsi="Times New Roman" w:cs="Times New Roman"/>
          <w:sz w:val="24"/>
          <w:szCs w:val="24"/>
        </w:rPr>
        <w:t>Organizovanie exkurzií v rámci produktu zážitkového cestovného ruchu Kopaničiarska ovocno–destilátová cesta od roku 2015 zatiaľ 7 exkurzií</w:t>
      </w:r>
      <w:r w:rsidR="00EE25C5">
        <w:rPr>
          <w:rFonts w:ascii="Times New Roman" w:hAnsi="Times New Roman" w:cs="Times New Roman"/>
          <w:sz w:val="24"/>
          <w:szCs w:val="24"/>
        </w:rPr>
        <w:t>.</w:t>
      </w:r>
    </w:p>
    <w:p w14:paraId="08205F78" w14:textId="77777777" w:rsidR="00190A99" w:rsidRPr="00324A73"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324A73">
        <w:rPr>
          <w:rFonts w:ascii="Times New Roman" w:hAnsi="Times New Roman" w:cs="Times New Roman"/>
          <w:sz w:val="24"/>
          <w:szCs w:val="24"/>
        </w:rPr>
        <w:t>V období rokov 2010 až 2015 sa KR – MAS zúčastnila nasledovných výstav a veľtrhov, na ktorých propagovala svoje aktivity, regionálne zaujímavosti i celý región: Agrokomplex v Nitre 6x, ITF Slovakiatour Bratislava 2x, Region Tour EXPO Trenčín 2x, REGIONTOUR Brno 1x.</w:t>
      </w:r>
    </w:p>
    <w:p w14:paraId="5CFB34B1" w14:textId="77777777" w:rsidR="00190A99" w:rsidRPr="00324A73"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324A73">
        <w:rPr>
          <w:rFonts w:ascii="Times New Roman" w:hAnsi="Times New Roman" w:cs="Times New Roman"/>
          <w:sz w:val="24"/>
          <w:szCs w:val="24"/>
        </w:rPr>
        <w:t>V rámci osvety svojich aktivít a propagácie regiónu sa KR – MAS zúčastňovala na mnohých podujatiach v regióne i v jeho okolí ako sú regionálne tržnice, vianočné trhy, folklórne slávnosti apod. Spolu ich bolo vyše 30.</w:t>
      </w:r>
    </w:p>
    <w:p w14:paraId="2C2149B0" w14:textId="77777777" w:rsidR="00190A99"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324A73">
        <w:rPr>
          <w:rFonts w:ascii="Times New Roman" w:hAnsi="Times New Roman" w:cs="Times New Roman"/>
          <w:sz w:val="24"/>
          <w:szCs w:val="24"/>
        </w:rPr>
        <w:t xml:space="preserve">Ďalej sa KR – MAS aktívne zúčastňovala rôznych seminárov, konferencií a exkurzií organizovaných NSRV. </w:t>
      </w:r>
    </w:p>
    <w:p w14:paraId="1414A12F" w14:textId="77777777" w:rsidR="00190A99" w:rsidRPr="005C6A4B" w:rsidRDefault="00190A99" w:rsidP="003301D6">
      <w:pPr>
        <w:pStyle w:val="Odsekzoznamu"/>
        <w:numPr>
          <w:ilvl w:val="0"/>
          <w:numId w:val="1"/>
        </w:numPr>
        <w:spacing w:after="0" w:line="360" w:lineRule="auto"/>
        <w:ind w:left="714" w:hanging="357"/>
        <w:contextualSpacing w:val="0"/>
        <w:jc w:val="both"/>
        <w:rPr>
          <w:rFonts w:ascii="Times New Roman" w:hAnsi="Times New Roman" w:cs="Times New Roman"/>
          <w:sz w:val="24"/>
          <w:szCs w:val="24"/>
        </w:rPr>
      </w:pPr>
      <w:r w:rsidRPr="005C6A4B">
        <w:rPr>
          <w:rFonts w:ascii="Times New Roman" w:hAnsi="Times New Roman" w:cs="Times New Roman"/>
          <w:sz w:val="24"/>
          <w:szCs w:val="24"/>
        </w:rPr>
        <w:t xml:space="preserve">KR </w:t>
      </w:r>
      <w:r>
        <w:rPr>
          <w:rFonts w:ascii="Times New Roman" w:hAnsi="Times New Roman" w:cs="Times New Roman"/>
          <w:sz w:val="24"/>
          <w:szCs w:val="24"/>
        </w:rPr>
        <w:t>–</w:t>
      </w:r>
      <w:r w:rsidRPr="005C6A4B">
        <w:rPr>
          <w:rFonts w:ascii="Times New Roman" w:hAnsi="Times New Roman" w:cs="Times New Roman"/>
          <w:sz w:val="24"/>
          <w:szCs w:val="24"/>
        </w:rPr>
        <w:t xml:space="preserve"> MAS</w:t>
      </w:r>
      <w:r>
        <w:rPr>
          <w:rFonts w:ascii="Times New Roman" w:hAnsi="Times New Roman" w:cs="Times New Roman"/>
          <w:sz w:val="24"/>
          <w:szCs w:val="24"/>
        </w:rPr>
        <w:t xml:space="preserve"> od roku 2012 každoročne</w:t>
      </w:r>
      <w:r w:rsidRPr="005C6A4B">
        <w:rPr>
          <w:rFonts w:ascii="Times New Roman" w:hAnsi="Times New Roman" w:cs="Times New Roman"/>
          <w:sz w:val="24"/>
          <w:szCs w:val="24"/>
        </w:rPr>
        <w:t xml:space="preserve"> vyhlasuje výzvu na predkladanie žiadostí o grant v rámci </w:t>
      </w:r>
      <w:r>
        <w:rPr>
          <w:rFonts w:ascii="Times New Roman" w:hAnsi="Times New Roman" w:cs="Times New Roman"/>
          <w:sz w:val="24"/>
          <w:szCs w:val="24"/>
        </w:rPr>
        <w:t xml:space="preserve">vlastného </w:t>
      </w:r>
      <w:r w:rsidRPr="005C6A4B">
        <w:rPr>
          <w:rFonts w:ascii="Times New Roman" w:hAnsi="Times New Roman" w:cs="Times New Roman"/>
          <w:sz w:val="24"/>
          <w:szCs w:val="24"/>
        </w:rPr>
        <w:t>Grantového programu „Podporujeme akčných!“</w:t>
      </w:r>
      <w:r>
        <w:rPr>
          <w:rFonts w:ascii="Times New Roman" w:hAnsi="Times New Roman" w:cs="Times New Roman"/>
          <w:sz w:val="24"/>
          <w:szCs w:val="24"/>
        </w:rPr>
        <w:t xml:space="preserve">. </w:t>
      </w:r>
      <w:r w:rsidRPr="00465AFA">
        <w:rPr>
          <w:rFonts w:ascii="Times New Roman" w:hAnsi="Times New Roman" w:cs="Times New Roman"/>
          <w:sz w:val="24"/>
          <w:szCs w:val="24"/>
        </w:rPr>
        <w:t xml:space="preserve">Cieľom grantového programu je podporiť verejno-prospešné projekty realizované na území </w:t>
      </w:r>
      <w:r>
        <w:rPr>
          <w:rFonts w:ascii="Times New Roman" w:hAnsi="Times New Roman" w:cs="Times New Roman"/>
          <w:sz w:val="24"/>
          <w:szCs w:val="24"/>
        </w:rPr>
        <w:t xml:space="preserve">KR </w:t>
      </w:r>
      <w:r w:rsidRPr="00465AFA">
        <w:rPr>
          <w:rFonts w:ascii="Times New Roman" w:hAnsi="Times New Roman" w:cs="Times New Roman"/>
          <w:sz w:val="24"/>
          <w:szCs w:val="24"/>
        </w:rPr>
        <w:t xml:space="preserve">- </w:t>
      </w:r>
      <w:r>
        <w:rPr>
          <w:rFonts w:ascii="Times New Roman" w:hAnsi="Times New Roman" w:cs="Times New Roman"/>
          <w:sz w:val="24"/>
          <w:szCs w:val="24"/>
        </w:rPr>
        <w:t>MAS</w:t>
      </w:r>
      <w:r w:rsidRPr="00465AFA">
        <w:rPr>
          <w:rFonts w:ascii="Times New Roman" w:hAnsi="Times New Roman" w:cs="Times New Roman"/>
          <w:sz w:val="24"/>
          <w:szCs w:val="24"/>
        </w:rPr>
        <w:t>, ktoré napomôžu lepšiemu zhodnoteniu prírodného a kultúrneho potenciálu územia, rozvoju ochrany prírody, životného prostredia, rozvoja cestovného ruchu na území a zapájaniu sa obyvateľov do aktivít rozvoja</w:t>
      </w:r>
      <w:r>
        <w:rPr>
          <w:rFonts w:ascii="Times New Roman" w:hAnsi="Times New Roman" w:cs="Times New Roman"/>
          <w:sz w:val="24"/>
          <w:szCs w:val="24"/>
        </w:rPr>
        <w:t xml:space="preserve">. Posledná výzva bola vyhlásená dňa 10.12.2015 a možno ju nájsť na webovej stránke </w:t>
      </w:r>
      <w:hyperlink r:id="rId8" w:history="1">
        <w:r w:rsidRPr="00A96B29">
          <w:rPr>
            <w:rStyle w:val="Hypertextovprepojenie"/>
            <w:rFonts w:ascii="Times New Roman" w:hAnsi="Times New Roman" w:cs="Times New Roman"/>
            <w:sz w:val="24"/>
            <w:szCs w:val="24"/>
          </w:rPr>
          <w:t>www.kopaniciarskyregion.sk</w:t>
        </w:r>
      </w:hyperlink>
      <w:r>
        <w:rPr>
          <w:rFonts w:ascii="Times New Roman" w:hAnsi="Times New Roman" w:cs="Times New Roman"/>
          <w:sz w:val="24"/>
          <w:szCs w:val="24"/>
        </w:rPr>
        <w:t>.</w:t>
      </w:r>
    </w:p>
    <w:p w14:paraId="76783D0C" w14:textId="77777777" w:rsidR="000151E6" w:rsidRDefault="00190A99" w:rsidP="003301D6">
      <w:pPr>
        <w:pStyle w:val="Odsekzoznamu"/>
        <w:numPr>
          <w:ilvl w:val="0"/>
          <w:numId w:val="1"/>
        </w:numPr>
        <w:spacing w:after="0" w:line="360" w:lineRule="auto"/>
        <w:ind w:left="714" w:hanging="357"/>
        <w:contextualSpacing w:val="0"/>
        <w:jc w:val="both"/>
      </w:pPr>
      <w:r w:rsidRPr="00F97E22">
        <w:rPr>
          <w:rFonts w:ascii="Times New Roman" w:hAnsi="Times New Roman" w:cs="Times New Roman"/>
          <w:sz w:val="24"/>
          <w:szCs w:val="24"/>
        </w:rPr>
        <w:t xml:space="preserve">KR </w:t>
      </w:r>
      <w:r>
        <w:rPr>
          <w:rFonts w:ascii="Times New Roman" w:hAnsi="Times New Roman" w:cs="Times New Roman"/>
          <w:sz w:val="24"/>
          <w:szCs w:val="24"/>
        </w:rPr>
        <w:t>–</w:t>
      </w:r>
      <w:r w:rsidRPr="00F97E22">
        <w:rPr>
          <w:rFonts w:ascii="Times New Roman" w:hAnsi="Times New Roman" w:cs="Times New Roman"/>
          <w:sz w:val="24"/>
          <w:szCs w:val="24"/>
        </w:rPr>
        <w:t xml:space="preserve"> MAS</w:t>
      </w:r>
      <w:r>
        <w:rPr>
          <w:rFonts w:ascii="Times New Roman" w:hAnsi="Times New Roman" w:cs="Times New Roman"/>
          <w:sz w:val="24"/>
          <w:szCs w:val="24"/>
        </w:rPr>
        <w:t xml:space="preserve"> od roku 2012 každoročne organizuje súťaž pre talenty z kopaničiarskeho regiónu či už je to fotosúťaž, výtvarná súťaž</w:t>
      </w:r>
      <w:r w:rsidRPr="00D53211">
        <w:rPr>
          <w:rFonts w:ascii="Times New Roman" w:hAnsi="Times New Roman" w:cs="Times New Roman"/>
          <w:sz w:val="24"/>
          <w:szCs w:val="24"/>
        </w:rPr>
        <w:t xml:space="preserve"> </w:t>
      </w:r>
      <w:r>
        <w:rPr>
          <w:rFonts w:ascii="Times New Roman" w:hAnsi="Times New Roman" w:cs="Times New Roman"/>
          <w:sz w:val="24"/>
          <w:szCs w:val="24"/>
        </w:rPr>
        <w:t xml:space="preserve">alebo kopaničiarsky cestovateľ. Posledná súťaž bola vyhlásená v máji 2015. Jedná sa o fotografickú súťaž </w:t>
      </w:r>
      <w:r w:rsidRPr="00D53211">
        <w:rPr>
          <w:rFonts w:ascii="Times New Roman" w:hAnsi="Times New Roman" w:cs="Times New Roman"/>
          <w:sz w:val="24"/>
          <w:szCs w:val="24"/>
        </w:rPr>
        <w:t xml:space="preserve">"Na potulkách </w:t>
      </w:r>
      <w:r w:rsidRPr="00D53211">
        <w:rPr>
          <w:rFonts w:ascii="Times New Roman" w:hAnsi="Times New Roman" w:cs="Times New Roman"/>
          <w:sz w:val="24"/>
          <w:szCs w:val="24"/>
        </w:rPr>
        <w:lastRenderedPageBreak/>
        <w:t>kopaničiarskym regiónom"</w:t>
      </w:r>
      <w:r>
        <w:rPr>
          <w:rFonts w:ascii="Times New Roman" w:hAnsi="Times New Roman" w:cs="Times New Roman"/>
          <w:sz w:val="24"/>
          <w:szCs w:val="24"/>
        </w:rPr>
        <w:t>, ktorej výsledky i slávnostná vernisáž budú vyhlásené 17.12.2015 v Pamätnej izbe D. S. Jurkoviča v Brezovej pod Bradlom.</w:t>
      </w:r>
    </w:p>
    <w:p w14:paraId="7DCADF4E" w14:textId="77777777" w:rsidR="00512FE8" w:rsidRDefault="00512FE8" w:rsidP="00A7388C">
      <w:pPr>
        <w:pStyle w:val="Nadpis2"/>
      </w:pPr>
    </w:p>
    <w:p w14:paraId="6AE5AD8B" w14:textId="77777777" w:rsidR="00A7388C" w:rsidRPr="00A7388C" w:rsidRDefault="00A7388C" w:rsidP="003301D6">
      <w:pPr>
        <w:pStyle w:val="Odsekzoznamu"/>
        <w:keepNext/>
        <w:keepLines/>
        <w:numPr>
          <w:ilvl w:val="0"/>
          <w:numId w:val="15"/>
        </w:numPr>
        <w:spacing w:after="0" w:line="360" w:lineRule="auto"/>
        <w:contextualSpacing w:val="0"/>
        <w:outlineLvl w:val="1"/>
        <w:rPr>
          <w:rFonts w:ascii="Times New Roman" w:eastAsiaTheme="majorEastAsia" w:hAnsi="Times New Roman" w:cstheme="majorBidi"/>
          <w:b/>
          <w:vanish/>
          <w:sz w:val="24"/>
          <w:szCs w:val="26"/>
        </w:rPr>
      </w:pPr>
      <w:bookmarkStart w:id="114" w:name="_Toc437862608"/>
      <w:bookmarkStart w:id="115" w:name="_Toc437862750"/>
      <w:bookmarkStart w:id="116" w:name="_Toc437877336"/>
      <w:bookmarkStart w:id="117" w:name="_Toc437877534"/>
      <w:bookmarkStart w:id="118" w:name="_Toc437877734"/>
      <w:bookmarkStart w:id="119" w:name="_Toc437877934"/>
      <w:bookmarkStart w:id="120" w:name="_Toc437878137"/>
      <w:bookmarkStart w:id="121" w:name="_Toc437878341"/>
      <w:bookmarkStart w:id="122" w:name="_Toc437878545"/>
      <w:bookmarkStart w:id="123" w:name="_Toc437878749"/>
      <w:bookmarkStart w:id="124" w:name="_Toc439149951"/>
      <w:bookmarkStart w:id="125" w:name="_Toc439150307"/>
      <w:bookmarkStart w:id="126" w:name="_Toc439150504"/>
      <w:bookmarkStart w:id="127" w:name="_Toc485645594"/>
      <w:bookmarkStart w:id="128" w:name="_Toc48564575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83F913B" w14:textId="77777777" w:rsidR="00A7388C" w:rsidRPr="00A7388C" w:rsidRDefault="00A7388C" w:rsidP="003301D6">
      <w:pPr>
        <w:pStyle w:val="Odsekzoznamu"/>
        <w:keepNext/>
        <w:keepLines/>
        <w:numPr>
          <w:ilvl w:val="0"/>
          <w:numId w:val="15"/>
        </w:numPr>
        <w:spacing w:after="0" w:line="360" w:lineRule="auto"/>
        <w:contextualSpacing w:val="0"/>
        <w:outlineLvl w:val="1"/>
        <w:rPr>
          <w:rFonts w:ascii="Times New Roman" w:eastAsiaTheme="majorEastAsia" w:hAnsi="Times New Roman" w:cstheme="majorBidi"/>
          <w:b/>
          <w:vanish/>
          <w:sz w:val="24"/>
          <w:szCs w:val="26"/>
        </w:rPr>
      </w:pPr>
      <w:bookmarkStart w:id="129" w:name="_Toc437862609"/>
      <w:bookmarkStart w:id="130" w:name="_Toc437862751"/>
      <w:bookmarkStart w:id="131" w:name="_Toc437877337"/>
      <w:bookmarkStart w:id="132" w:name="_Toc437877535"/>
      <w:bookmarkStart w:id="133" w:name="_Toc437877735"/>
      <w:bookmarkStart w:id="134" w:name="_Toc437877935"/>
      <w:bookmarkStart w:id="135" w:name="_Toc437878138"/>
      <w:bookmarkStart w:id="136" w:name="_Toc437878342"/>
      <w:bookmarkStart w:id="137" w:name="_Toc437878546"/>
      <w:bookmarkStart w:id="138" w:name="_Toc437878750"/>
      <w:bookmarkStart w:id="139" w:name="_Toc439149952"/>
      <w:bookmarkStart w:id="140" w:name="_Toc439150308"/>
      <w:bookmarkStart w:id="141" w:name="_Toc439150505"/>
      <w:bookmarkStart w:id="142" w:name="_Toc485645595"/>
      <w:bookmarkStart w:id="143" w:name="_Toc48564575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9B32EEC" w14:textId="77777777" w:rsidR="00A7388C" w:rsidRPr="00A7388C" w:rsidRDefault="00A7388C" w:rsidP="003301D6">
      <w:pPr>
        <w:pStyle w:val="Odsekzoznamu"/>
        <w:keepNext/>
        <w:keepLines/>
        <w:numPr>
          <w:ilvl w:val="1"/>
          <w:numId w:val="15"/>
        </w:numPr>
        <w:spacing w:after="0" w:line="360" w:lineRule="auto"/>
        <w:contextualSpacing w:val="0"/>
        <w:outlineLvl w:val="1"/>
        <w:rPr>
          <w:rFonts w:ascii="Times New Roman" w:eastAsiaTheme="majorEastAsia" w:hAnsi="Times New Roman" w:cstheme="majorBidi"/>
          <w:b/>
          <w:vanish/>
          <w:sz w:val="24"/>
          <w:szCs w:val="26"/>
        </w:rPr>
      </w:pPr>
      <w:bookmarkStart w:id="144" w:name="_Toc437862610"/>
      <w:bookmarkStart w:id="145" w:name="_Toc437862752"/>
      <w:bookmarkStart w:id="146" w:name="_Toc437877338"/>
      <w:bookmarkStart w:id="147" w:name="_Toc437877536"/>
      <w:bookmarkStart w:id="148" w:name="_Toc437877736"/>
      <w:bookmarkStart w:id="149" w:name="_Toc437877936"/>
      <w:bookmarkStart w:id="150" w:name="_Toc437878139"/>
      <w:bookmarkStart w:id="151" w:name="_Toc437878343"/>
      <w:bookmarkStart w:id="152" w:name="_Toc437878547"/>
      <w:bookmarkStart w:id="153" w:name="_Toc437878751"/>
      <w:bookmarkStart w:id="154" w:name="_Toc439149953"/>
      <w:bookmarkStart w:id="155" w:name="_Toc439150309"/>
      <w:bookmarkStart w:id="156" w:name="_Toc439150506"/>
      <w:bookmarkStart w:id="157" w:name="_Toc485645596"/>
      <w:bookmarkStart w:id="158" w:name="_Toc48564575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3A1BC6D6" w14:textId="77777777" w:rsidR="00A7388C" w:rsidRPr="00A7388C" w:rsidRDefault="00A7388C" w:rsidP="003301D6">
      <w:pPr>
        <w:pStyle w:val="Nadpis2"/>
        <w:numPr>
          <w:ilvl w:val="1"/>
          <w:numId w:val="15"/>
        </w:numPr>
        <w:ind w:left="567"/>
      </w:pPr>
      <w:bookmarkStart w:id="159" w:name="_Toc485645756"/>
      <w:r w:rsidRPr="00891B13">
        <w:t>Tvorba partnerstva a stratégie CLLD</w:t>
      </w:r>
      <w:bookmarkEnd w:id="159"/>
    </w:p>
    <w:p w14:paraId="56A7D4EF" w14:textId="77777777" w:rsidR="0040366F" w:rsidRDefault="000151E6" w:rsidP="0040366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 xml:space="preserve">V súčasnosti má Združenie </w:t>
      </w:r>
      <w:r w:rsidR="0040366F">
        <w:rPr>
          <w:rFonts w:ascii="Times New Roman" w:hAnsi="Times New Roman" w:cs="Times New Roman"/>
          <w:sz w:val="24"/>
          <w:szCs w:val="24"/>
        </w:rPr>
        <w:t>59</w:t>
      </w:r>
      <w:r w:rsidR="0040366F" w:rsidRPr="00860782">
        <w:rPr>
          <w:rFonts w:ascii="Times New Roman" w:hAnsi="Times New Roman" w:cs="Times New Roman"/>
          <w:sz w:val="24"/>
          <w:szCs w:val="24"/>
        </w:rPr>
        <w:t xml:space="preserve"> </w:t>
      </w:r>
      <w:r w:rsidR="00860782" w:rsidRPr="00860782">
        <w:rPr>
          <w:rFonts w:ascii="Times New Roman" w:hAnsi="Times New Roman" w:cs="Times New Roman"/>
          <w:sz w:val="24"/>
          <w:szCs w:val="24"/>
        </w:rPr>
        <w:t xml:space="preserve">členov, kde 26 členov je z verejného sektora (obce) a zvyšných </w:t>
      </w:r>
      <w:r w:rsidR="0040366F">
        <w:rPr>
          <w:rFonts w:ascii="Times New Roman" w:hAnsi="Times New Roman" w:cs="Times New Roman"/>
          <w:sz w:val="24"/>
          <w:szCs w:val="24"/>
        </w:rPr>
        <w:t>33</w:t>
      </w:r>
      <w:r w:rsidR="0040366F" w:rsidRPr="00860782">
        <w:rPr>
          <w:rFonts w:ascii="Times New Roman" w:hAnsi="Times New Roman" w:cs="Times New Roman"/>
          <w:sz w:val="24"/>
          <w:szCs w:val="24"/>
        </w:rPr>
        <w:t xml:space="preserve"> </w:t>
      </w:r>
      <w:r w:rsidR="00860782" w:rsidRPr="00860782">
        <w:rPr>
          <w:rFonts w:ascii="Times New Roman" w:hAnsi="Times New Roman" w:cs="Times New Roman"/>
          <w:sz w:val="24"/>
          <w:szCs w:val="24"/>
        </w:rPr>
        <w:t xml:space="preserve">členov patrí pod neverejný sektor - fyzické a právnické osoby, neziskové organizácie, občianske združenia a pod. Percentuálne zastúpenie je nasledovné: verejný sektor </w:t>
      </w:r>
      <w:r w:rsidR="0040366F">
        <w:rPr>
          <w:rFonts w:ascii="Times New Roman" w:hAnsi="Times New Roman" w:cs="Times New Roman"/>
          <w:sz w:val="24"/>
          <w:szCs w:val="24"/>
        </w:rPr>
        <w:t>44,07</w:t>
      </w:r>
      <w:r w:rsidR="00860782" w:rsidRPr="00860782">
        <w:rPr>
          <w:rFonts w:ascii="Times New Roman" w:hAnsi="Times New Roman" w:cs="Times New Roman"/>
          <w:sz w:val="24"/>
          <w:szCs w:val="24"/>
        </w:rPr>
        <w:t xml:space="preserve"> %, súkromný sektor </w:t>
      </w:r>
      <w:r w:rsidR="0040366F">
        <w:rPr>
          <w:rFonts w:ascii="Times New Roman" w:hAnsi="Times New Roman" w:cs="Times New Roman"/>
          <w:sz w:val="24"/>
          <w:szCs w:val="24"/>
        </w:rPr>
        <w:t>25,42</w:t>
      </w:r>
      <w:r w:rsidR="00860782" w:rsidRPr="00860782">
        <w:rPr>
          <w:rFonts w:ascii="Times New Roman" w:hAnsi="Times New Roman" w:cs="Times New Roman"/>
          <w:sz w:val="24"/>
          <w:szCs w:val="24"/>
        </w:rPr>
        <w:t xml:space="preserve"> % a občiansky </w:t>
      </w:r>
      <w:r w:rsidR="0040366F">
        <w:rPr>
          <w:rFonts w:ascii="Times New Roman" w:hAnsi="Times New Roman" w:cs="Times New Roman"/>
          <w:sz w:val="24"/>
          <w:szCs w:val="24"/>
        </w:rPr>
        <w:t>30,51</w:t>
      </w:r>
      <w:r w:rsidR="00860782" w:rsidRPr="00860782">
        <w:rPr>
          <w:rFonts w:ascii="Times New Roman" w:hAnsi="Times New Roman" w:cs="Times New Roman"/>
          <w:sz w:val="24"/>
          <w:szCs w:val="24"/>
        </w:rPr>
        <w:t xml:space="preserve"> %. Členská základňa Združenia je zastúpená rovnomerne v rámci celého regiónu. Či už je to zastúpenie všetkých 26 obcí ako členov Združenia, alebo aj súkromného, teda podnikateľského a neziskového sektora, kde majú podnikatelia, neziskový sektor a fyzické osoby zastúpenie. Najviac členov je z miest Myjava, Stará Turá a Brezová pod Bradlom, čo je na to, že sa jedná o centrá regiónu, prirodzená skutočnosť. Obce, ktoré svoje zastúpenie nemajú</w:t>
      </w:r>
      <w:r w:rsidR="00860782">
        <w:rPr>
          <w:rFonts w:ascii="Times New Roman" w:hAnsi="Times New Roman" w:cs="Times New Roman"/>
          <w:sz w:val="24"/>
          <w:szCs w:val="24"/>
        </w:rPr>
        <w:t>,</w:t>
      </w:r>
      <w:r w:rsidR="00860782" w:rsidRPr="00860782">
        <w:rPr>
          <w:rFonts w:ascii="Times New Roman" w:hAnsi="Times New Roman" w:cs="Times New Roman"/>
          <w:sz w:val="24"/>
          <w:szCs w:val="24"/>
        </w:rPr>
        <w:t xml:space="preserve"> sú najmenšie obce z regiónu a v oblastiach, ktoré sa KR – MAS snaží napĺňať</w:t>
      </w:r>
      <w:r w:rsidR="00860782">
        <w:rPr>
          <w:rFonts w:ascii="Times New Roman" w:hAnsi="Times New Roman" w:cs="Times New Roman"/>
          <w:sz w:val="24"/>
          <w:szCs w:val="24"/>
        </w:rPr>
        <w:t>,</w:t>
      </w:r>
      <w:r w:rsidR="00860782" w:rsidRPr="00860782">
        <w:rPr>
          <w:rFonts w:ascii="Times New Roman" w:hAnsi="Times New Roman" w:cs="Times New Roman"/>
          <w:sz w:val="24"/>
          <w:szCs w:val="24"/>
        </w:rPr>
        <w:t xml:space="preserve"> tam buď nepôsobia žiadne subjekty alebo neprejavili o členstvo záujem. Počas prípravy stratégie boli prostredníctvom regionálneho týždenníka Kopaničiar expres i webovej stránky </w:t>
      </w:r>
      <w:hyperlink r:id="rId9" w:history="1">
        <w:r w:rsidR="00915EF5" w:rsidRPr="003E6E33">
          <w:rPr>
            <w:rStyle w:val="Hypertextovprepojenie"/>
            <w:rFonts w:ascii="Times New Roman" w:hAnsi="Times New Roman" w:cs="Times New Roman"/>
            <w:sz w:val="24"/>
            <w:szCs w:val="24"/>
          </w:rPr>
          <w:t>www.kopaniciarskyregion.sk</w:t>
        </w:r>
      </w:hyperlink>
      <w:r w:rsidR="00915EF5">
        <w:rPr>
          <w:rFonts w:ascii="Times New Roman" w:hAnsi="Times New Roman" w:cs="Times New Roman"/>
          <w:sz w:val="24"/>
          <w:szCs w:val="24"/>
        </w:rPr>
        <w:t xml:space="preserve"> </w:t>
      </w:r>
      <w:r w:rsidR="00860782" w:rsidRPr="00860782">
        <w:rPr>
          <w:rFonts w:ascii="Times New Roman" w:hAnsi="Times New Roman" w:cs="Times New Roman"/>
          <w:sz w:val="24"/>
          <w:szCs w:val="24"/>
        </w:rPr>
        <w:t>vyzvané subjekty pôsobiace v oblasti cestovného ruchu, poľnohospodárstva, lesného hospodárstva, regionálneho rozvoja, či v občianskom živote na vstup do členskej základne KR – MAS. Na členskej schôdzi v novembri 2015 tak bolo prijatých až 8 nových členov a členská základňa sa rozšírila na 64 členov.</w:t>
      </w:r>
      <w:r w:rsidR="0040366F">
        <w:rPr>
          <w:rFonts w:ascii="Times New Roman" w:hAnsi="Times New Roman" w:cs="Times New Roman"/>
          <w:sz w:val="24"/>
          <w:szCs w:val="24"/>
        </w:rPr>
        <w:t xml:space="preserve"> V priebehu rokov 2016 a 2017 však niektorí členovia neverejného sektora vystúpili zo združenia a členská základňa sa tak ustálila na čísle 59. Z toho neverejný sektor je zastúpený až v 14 obciach, čo je </w:t>
      </w:r>
      <w:r w:rsidR="00E30D1B">
        <w:rPr>
          <w:rFonts w:ascii="Times New Roman" w:hAnsi="Times New Roman" w:cs="Times New Roman"/>
          <w:sz w:val="24"/>
          <w:szCs w:val="24"/>
        </w:rPr>
        <w:t>53,85</w:t>
      </w:r>
      <w:r w:rsidR="0040366F">
        <w:rPr>
          <w:rFonts w:ascii="Times New Roman" w:hAnsi="Times New Roman" w:cs="Times New Roman"/>
          <w:sz w:val="24"/>
          <w:szCs w:val="24"/>
        </w:rPr>
        <w:t xml:space="preserve"> % z celkového počtu členských obcí.</w:t>
      </w:r>
    </w:p>
    <w:p w14:paraId="7FA0C2D1" w14:textId="77777777" w:rsidR="00E30D1B" w:rsidRDefault="000151E6" w:rsidP="00E30D1B">
      <w:pPr>
        <w:spacing w:after="0" w:line="360" w:lineRule="auto"/>
        <w:jc w:val="both"/>
        <w:rPr>
          <w:rFonts w:ascii="Times New Roman" w:hAnsi="Times New Roman"/>
          <w:sz w:val="24"/>
          <w:szCs w:val="24"/>
        </w:rPr>
      </w:pPr>
      <w:r>
        <w:rPr>
          <w:rFonts w:ascii="Times New Roman" w:hAnsi="Times New Roman" w:cs="Times New Roman"/>
          <w:b/>
          <w:i/>
          <w:sz w:val="24"/>
          <w:szCs w:val="24"/>
        </w:rPr>
        <w:tab/>
      </w:r>
      <w:r w:rsidR="00654706">
        <w:rPr>
          <w:rFonts w:ascii="Times New Roman" w:hAnsi="Times New Roman"/>
          <w:sz w:val="24"/>
          <w:szCs w:val="24"/>
        </w:rPr>
        <w:t xml:space="preserve">Zrejme aj vzhľadom na dobré meno KR – MAS prejavilo o vstup do tejto organizácie až 7 obcí z okolia územia KR – MAS. Išlo o nasledovné obce: zo západu Podbranč, Sobotište, Rovensko, z juhu Prašník a Šípkové, z východu Moravské Lieskové a Bošáca. Jednotlivé obce doručovali do kancelárie KR – MAS v priebehu roka 2014 žiadosti o prijatie avšak bez vyplnenej prihlášky za člena. Starostovia týchto obcí boli prizvaní na zasadnutie Predsedníctva KR – MAS dňa 8.12, kde mali možnosť svoju obec bližšie predstaviť ako aj uviesť dôvod o vstup do občianskeho združenia. Vzhľadom na to, že je vôľou členov predsedníctva uchovávať homogénnosť regiónu s roztratením osídlením, evanjelickým obyvateľstvom, typickou kopaničiarskou architektúrou i nárečím, odporučilo predsedníctvo členskej schôdzi rozšíriť územie KR – MAS iba o také obce, ktoré toto kritérium spĺňajú. Následne tak Členská schôdza v januári 2015 prijala za členov obce Podbranč, Sobotište a </w:t>
      </w:r>
      <w:r w:rsidR="00654706">
        <w:rPr>
          <w:rFonts w:ascii="Times New Roman" w:hAnsi="Times New Roman"/>
          <w:sz w:val="24"/>
          <w:szCs w:val="24"/>
        </w:rPr>
        <w:lastRenderedPageBreak/>
        <w:t xml:space="preserve">Prašník a rozšírila tak svoje územie pôsobnosti. </w:t>
      </w:r>
      <w:r w:rsidR="00E30D1B">
        <w:rPr>
          <w:rFonts w:ascii="Times New Roman" w:hAnsi="Times New Roman"/>
          <w:sz w:val="24"/>
          <w:szCs w:val="24"/>
        </w:rPr>
        <w:t xml:space="preserve">Za člena bola prijatá aj obec Rovensko, tí však nedoložili formálne náležitosti potrebné k členstvu, keďže sa nakoniec rozhodli zostať členom </w:t>
      </w:r>
      <w:r w:rsidR="00E30D1B" w:rsidRPr="00640735">
        <w:rPr>
          <w:rFonts w:ascii="Times New Roman" w:hAnsi="Times New Roman"/>
          <w:sz w:val="24"/>
          <w:szCs w:val="24"/>
        </w:rPr>
        <w:t>MAS Záhorie</w:t>
      </w:r>
      <w:r w:rsidR="00E30D1B">
        <w:rPr>
          <w:rFonts w:ascii="Times New Roman" w:hAnsi="Times New Roman"/>
          <w:sz w:val="24"/>
          <w:szCs w:val="24"/>
        </w:rPr>
        <w:t>.</w:t>
      </w:r>
    </w:p>
    <w:p w14:paraId="555EBEA4" w14:textId="77777777" w:rsidR="00860782" w:rsidRPr="00860782" w:rsidRDefault="00654706" w:rsidP="000151E6">
      <w:pPr>
        <w:spacing w:after="0" w:line="360" w:lineRule="auto"/>
        <w:jc w:val="both"/>
        <w:rPr>
          <w:rFonts w:ascii="Times New Roman" w:hAnsi="Times New Roman" w:cs="Times New Roman"/>
          <w:sz w:val="24"/>
          <w:szCs w:val="24"/>
        </w:rPr>
      </w:pPr>
      <w:r>
        <w:rPr>
          <w:rFonts w:ascii="Times New Roman" w:hAnsi="Times New Roman"/>
          <w:sz w:val="24"/>
          <w:szCs w:val="24"/>
        </w:rPr>
        <w:tab/>
      </w:r>
      <w:r w:rsidR="00860782" w:rsidRPr="00860782">
        <w:rPr>
          <w:rFonts w:ascii="Times New Roman" w:hAnsi="Times New Roman" w:cs="Times New Roman"/>
          <w:sz w:val="24"/>
          <w:szCs w:val="24"/>
        </w:rPr>
        <w:t>Pre prípravu stratégie b</w:t>
      </w:r>
      <w:r w:rsidR="00860782">
        <w:rPr>
          <w:rFonts w:ascii="Times New Roman" w:hAnsi="Times New Roman" w:cs="Times New Roman"/>
          <w:sz w:val="24"/>
          <w:szCs w:val="24"/>
        </w:rPr>
        <w:t>ol zostavený riadiaci tím. Prvý</w:t>
      </w:r>
      <w:r w:rsidR="00860782" w:rsidRPr="00860782">
        <w:rPr>
          <w:rFonts w:ascii="Times New Roman" w:hAnsi="Times New Roman" w:cs="Times New Roman"/>
          <w:sz w:val="24"/>
          <w:szCs w:val="24"/>
        </w:rPr>
        <w:t>krát sa stretol 24.6.2015, kde si jeho členovia dohodli, akým spôsobom budú koordinovať prípravu stratégie, plánovať a organizovať stretnutia pracovných skupín, seminárov a členskej schôdze. Druhé stretnutie sa konalo 29.</w:t>
      </w:r>
      <w:r w:rsidR="00860782">
        <w:rPr>
          <w:rFonts w:ascii="Times New Roman" w:hAnsi="Times New Roman" w:cs="Times New Roman"/>
          <w:sz w:val="24"/>
          <w:szCs w:val="24"/>
        </w:rPr>
        <w:t xml:space="preserve"> septembra</w:t>
      </w:r>
      <w:r w:rsidR="00860782" w:rsidRPr="00860782">
        <w:rPr>
          <w:rFonts w:ascii="Times New Roman" w:hAnsi="Times New Roman" w:cs="Times New Roman"/>
          <w:sz w:val="24"/>
          <w:szCs w:val="24"/>
        </w:rPr>
        <w:t>, teda po vyhlásení výzvy, kde sa rozdelili úlohy, kto na čom bude pracovať. Potom sa riadiaci tím stretával už iba v rámci sedení pracovných skupín.</w:t>
      </w:r>
    </w:p>
    <w:p w14:paraId="2EC47704" w14:textId="77777777" w:rsidR="00860782" w:rsidRPr="00860782" w:rsidRDefault="00915EF5" w:rsidP="00915E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Pri príprave stratégie CLLD 2014 - 2020 prebehli v máji až júli 2015 dotazníkové prieskumy pre jednotlivé sektory. Bolo vytvorených viacero druhov dotazníkov zameraných zvlášť na skúmanie názorov občanov na rôzne oblasti života v obciach a mestách a zvlášť na zisťovanie potrieb podnikateľov i tretieho sektora. Štvrtý dotazník bol určený pre samosprávy a okrem informácií o obci a občianskej vybavenosti bola zisťovaná i projektová pripravenosť na nové programové obdobie. Posledný dotazník bol pripravený v súlade so schváleným PRV SR 2014 – 2020 a známymi aktivitami v opatreniach pre obce ako aj ďalšími možnými aktivitami, ktoré by mohli byť podporované v rámci prípravy CLLD stratégie. V auguste boli dotazníky vyhodnotené. Vzory dotazníkov aj ich vyhodnotenie sú prílohou stratégie.</w:t>
      </w:r>
    </w:p>
    <w:p w14:paraId="42169B56" w14:textId="77777777" w:rsidR="00860782" w:rsidRPr="00860782" w:rsidRDefault="00915EF5" w:rsidP="00915E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 xml:space="preserve">Ďalej boli oslovení členovia i podnikateľský sektor mailom, aby predkladali zámery, ktoré by pomohli pracovným skupinám a riadiacemu tímu pri formovaní opatrení a celej stratégie. Tiež prebehlo množstvo individuálnych konzultácií, či už s podnikateľmi ale aj starostami </w:t>
      </w:r>
      <w:r w:rsidR="00860782">
        <w:rPr>
          <w:rFonts w:ascii="Times New Roman" w:hAnsi="Times New Roman" w:cs="Times New Roman"/>
          <w:sz w:val="24"/>
          <w:szCs w:val="24"/>
        </w:rPr>
        <w:t xml:space="preserve">obcí </w:t>
      </w:r>
      <w:r w:rsidR="00860782" w:rsidRPr="00860782">
        <w:rPr>
          <w:rFonts w:ascii="Times New Roman" w:hAnsi="Times New Roman" w:cs="Times New Roman"/>
          <w:sz w:val="24"/>
          <w:szCs w:val="24"/>
        </w:rPr>
        <w:t>ohľadne ich projektových zámerov.</w:t>
      </w:r>
    </w:p>
    <w:p w14:paraId="785205A2" w14:textId="77777777" w:rsidR="00860782" w:rsidRPr="00860782" w:rsidRDefault="00915EF5" w:rsidP="00915E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Ďalej sa uskutočnili 2 semináre občianskeho združenia s verejnosťou s názvom „Príprava CLLD stratégie Kopaničiarskeho regiónu pre nové programové obdobie“. Ich cieľom bolo informovať verejnosť o rozšírených možnostiach získania dotácií pre samosprávy, subjekty podnikateľského i tretieho sektora pôsobiacich v kopaničiarskom regióne prostredníctvom KR – MAS. Semináre boli aktivitou projektu „Príprava CLLD stratégie na roky 2014 - 2020 pre Kopaničiarsky región – MAS“ predloženého v rámci Programu rozvoja vidieka SR 2014 - 2020.</w:t>
      </w:r>
    </w:p>
    <w:p w14:paraId="7DAF1E6B" w14:textId="77777777" w:rsidR="00860782" w:rsidRPr="00860782" w:rsidRDefault="00915EF5" w:rsidP="00915E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Prvý seminár sa uskutočnil 7.10.2015 v Hotel</w:t>
      </w:r>
      <w:r w:rsidR="00860782">
        <w:rPr>
          <w:rFonts w:ascii="Times New Roman" w:hAnsi="Times New Roman" w:cs="Times New Roman"/>
          <w:sz w:val="24"/>
          <w:szCs w:val="24"/>
        </w:rPr>
        <w:t>i</w:t>
      </w:r>
      <w:r w:rsidR="00860782" w:rsidRPr="00860782">
        <w:rPr>
          <w:rFonts w:ascii="Times New Roman" w:hAnsi="Times New Roman" w:cs="Times New Roman"/>
          <w:sz w:val="24"/>
          <w:szCs w:val="24"/>
        </w:rPr>
        <w:t xml:space="preserve"> Štefánik v Myjave. Účastníci seminára boli oboznámení s podopatreniami PRV SR 2014 – 2020, oprávnenými zaradiť do CLLD stratégie, podopatreniami Opatrenia č. 7 Základné služby a obnova dedín vo vidieckych oblastiach a aktivitami oprávnenými zaradiť do stratégie CLLD z Integrovaného regionálneho operačného programu 2014 – 2020. Ďalej bola predstavená Metodika na vypracovanie </w:t>
      </w:r>
      <w:r w:rsidR="00860782" w:rsidRPr="00860782">
        <w:rPr>
          <w:rFonts w:ascii="Times New Roman" w:hAnsi="Times New Roman" w:cs="Times New Roman"/>
          <w:sz w:val="24"/>
          <w:szCs w:val="24"/>
        </w:rPr>
        <w:lastRenderedPageBreak/>
        <w:t>stratégie CLLD. V záverečnom bloku bol vyhodnotený dotazníkový prieskum a aktivity, ktoré by na základe výsledkov z neho pripadali do CLLD stratégie. Spolu s tým bola predstavená i SWOT analýza regiónu, ktorá vychádzala zo stratégie na roky 2007 – 2013, avšak upravená na aktuálnu situáciu v regióne. Účastníci seminára mali možnosť vyjadriť sa i k navrhovaným aktivitám i k SWOT analýze a ich pripomienky boli zapracované. Na záver bol predstavený zásobník projektov na projekty spolupráce na nové programové obdobie.</w:t>
      </w:r>
    </w:p>
    <w:p w14:paraId="422EF7C4" w14:textId="77777777" w:rsidR="00860782" w:rsidRPr="00860782" w:rsidRDefault="008117EF" w:rsidP="008117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Na druhom seminári konanom 19.11.2015 v tom istom hotel</w:t>
      </w:r>
      <w:r w:rsidR="00860782">
        <w:rPr>
          <w:rFonts w:ascii="Times New Roman" w:hAnsi="Times New Roman" w:cs="Times New Roman"/>
          <w:sz w:val="24"/>
          <w:szCs w:val="24"/>
        </w:rPr>
        <w:t>i</w:t>
      </w:r>
      <w:r w:rsidR="00860782" w:rsidRPr="00860782">
        <w:rPr>
          <w:rFonts w:ascii="Times New Roman" w:hAnsi="Times New Roman" w:cs="Times New Roman"/>
          <w:sz w:val="24"/>
          <w:szCs w:val="24"/>
        </w:rPr>
        <w:t xml:space="preserve"> boli účastníkom najskôr ozrejmené Kritériá pre výber MAS, s cieľom vysvetliť, aké kroky bolo treba pri tvorbe CLLD stratégie vykonať, aby bola úspešne hodnotená a zároveň, aby lepšie pochopili súvislosti ohľadne navrhovaných finančných alokácií ako aj oprávnených žiadateľov. Následne boli predstavené projektové zámery obcí, podnikateľov a občianskeho sektora, ktoré boli tiež dôležitým východiskom pre stanovovanie priorít, opatrení i aktivít pre CLLD stratégiu. Tie boli predstavené v záverečnom bode seminára a jeho účastníci mali možnosť sa k jednotlivým opatreniam vyjadrovať a diskutovať o nich. Niektoré pripomienky boli v priebehu ďalšieho obdobia do stratégie zapracované, z nich najdôležitejší bol návrh rozšíriť Prioritu č. 2: Využitie miestneho potenciálu pre rozvoj cestovného ruchu o naše vlastné 2 opatrenia a to Budovanie a značenie jazdeckých a bežkárskych trás a Grantový program „Podporujeme akčných!“</w:t>
      </w:r>
      <w:r w:rsidR="006A2874">
        <w:rPr>
          <w:rFonts w:ascii="Times New Roman" w:hAnsi="Times New Roman" w:cs="Times New Roman"/>
          <w:sz w:val="24"/>
          <w:szCs w:val="24"/>
        </w:rPr>
        <w:t>.</w:t>
      </w:r>
    </w:p>
    <w:p w14:paraId="1EE3EEA6" w14:textId="77777777" w:rsidR="00860782" w:rsidRPr="00860782" w:rsidRDefault="008117EF" w:rsidP="008117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Pre prípravu samotnej CLLD stratégie boli zostavené 3 pracovné skupiny po 4 členoch: verejný sektor (dvaja zástupcovia miest, resp. obcí nad 1 000 obyvateľov, dvaja z obcí do 1 000 obyvateľov), podnikateľský sektor (zástupca firmy z poľnohospodárskeho a lesohospodárskeho sektora, firma pôsobiaca v oblasti agroturistiky a firma z oblasti regionálneho rozvoja) a občiansky sektor.</w:t>
      </w:r>
    </w:p>
    <w:p w14:paraId="294724FB" w14:textId="77777777" w:rsidR="00860782" w:rsidRPr="00860782" w:rsidRDefault="008117EF" w:rsidP="008117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Stretnutia pracovných skupín sa uskutočnili 3., 14. a 21.</w:t>
      </w:r>
      <w:r w:rsidR="006A2874">
        <w:rPr>
          <w:rFonts w:ascii="Times New Roman" w:hAnsi="Times New Roman" w:cs="Times New Roman"/>
          <w:sz w:val="24"/>
          <w:szCs w:val="24"/>
        </w:rPr>
        <w:t xml:space="preserve"> októbra</w:t>
      </w:r>
      <w:r w:rsidR="00860782" w:rsidRPr="00860782">
        <w:rPr>
          <w:rFonts w:ascii="Times New Roman" w:hAnsi="Times New Roman" w:cs="Times New Roman"/>
          <w:sz w:val="24"/>
          <w:szCs w:val="24"/>
        </w:rPr>
        <w:t>, kedy sa zišli členovia všetkých troch pracovných skupín. Riešilo sa na nich postupn</w:t>
      </w:r>
      <w:r w:rsidR="006A2874">
        <w:rPr>
          <w:rFonts w:ascii="Times New Roman" w:hAnsi="Times New Roman" w:cs="Times New Roman"/>
          <w:sz w:val="24"/>
          <w:szCs w:val="24"/>
        </w:rPr>
        <w:t>é</w:t>
      </w:r>
      <w:r w:rsidR="00860782" w:rsidRPr="00860782">
        <w:rPr>
          <w:rFonts w:ascii="Times New Roman" w:hAnsi="Times New Roman" w:cs="Times New Roman"/>
          <w:sz w:val="24"/>
          <w:szCs w:val="24"/>
        </w:rPr>
        <w:t xml:space="preserve"> spracovanie analytickej časti, SWOT analýzy a identifikáci</w:t>
      </w:r>
      <w:r w:rsidR="006A2874">
        <w:rPr>
          <w:rFonts w:ascii="Times New Roman" w:hAnsi="Times New Roman" w:cs="Times New Roman"/>
          <w:sz w:val="24"/>
          <w:szCs w:val="24"/>
        </w:rPr>
        <w:t>e</w:t>
      </w:r>
      <w:r w:rsidR="00860782" w:rsidRPr="00860782">
        <w:rPr>
          <w:rFonts w:ascii="Times New Roman" w:hAnsi="Times New Roman" w:cs="Times New Roman"/>
          <w:sz w:val="24"/>
          <w:szCs w:val="24"/>
        </w:rPr>
        <w:t xml:space="preserve"> potrieb. Dňa 5.</w:t>
      </w:r>
      <w:r w:rsidR="006A2874">
        <w:rPr>
          <w:rFonts w:ascii="Times New Roman" w:hAnsi="Times New Roman" w:cs="Times New Roman"/>
          <w:sz w:val="24"/>
          <w:szCs w:val="24"/>
        </w:rPr>
        <w:t xml:space="preserve"> novembra</w:t>
      </w:r>
      <w:r w:rsidR="00860782" w:rsidRPr="00860782">
        <w:rPr>
          <w:rFonts w:ascii="Times New Roman" w:hAnsi="Times New Roman" w:cs="Times New Roman"/>
          <w:sz w:val="24"/>
          <w:szCs w:val="24"/>
        </w:rPr>
        <w:t xml:space="preserve"> sedela každá skupina zvlášť a riešili, ktoré opatrenia sa budú realizovať a v ktorých kto bude žiadateľom. Pracovná skupina pre občiansky sektor navrhla vytvoriť opatrenie čisto iba pre občiansky sektor dotované z IROP s názvom Podpora sociálnych a komunitných služieb. Tiež prac. skupina pre súkromný sektor navrhla vytvoriť 1 nové opatrenie dotované z IROP a to v Priorite č. 2: Využitie miestneho potenciálu pre rozvoj cestovného ruchu s názvom Investície do zariadení a objektov cestovného ruchu, z ktorého by mohli čerpať ubytovacie zariadenia z kapacitou nad 30 lôžok. V rámci opatrenia Vznik nových a rozširovanie existujúcich podnikov v oblasti priemyselnej </w:t>
      </w:r>
      <w:r w:rsidR="00860782" w:rsidRPr="00860782">
        <w:rPr>
          <w:rFonts w:ascii="Times New Roman" w:hAnsi="Times New Roman" w:cs="Times New Roman"/>
          <w:sz w:val="24"/>
          <w:szCs w:val="24"/>
        </w:rPr>
        <w:lastRenderedPageBreak/>
        <w:t>výroby v Priorite č. 3 navrhla pracovná skupina doplniť i oblasť remeselnej výroby. Dňa 1</w:t>
      </w:r>
      <w:r w:rsidR="00B269E5">
        <w:rPr>
          <w:rFonts w:ascii="Times New Roman" w:hAnsi="Times New Roman" w:cs="Times New Roman"/>
          <w:sz w:val="24"/>
          <w:szCs w:val="24"/>
        </w:rPr>
        <w:t>8</w:t>
      </w:r>
      <w:r w:rsidR="00860782" w:rsidRPr="00860782">
        <w:rPr>
          <w:rFonts w:ascii="Times New Roman" w:hAnsi="Times New Roman" w:cs="Times New Roman"/>
          <w:sz w:val="24"/>
          <w:szCs w:val="24"/>
        </w:rPr>
        <w:t>.</w:t>
      </w:r>
      <w:r w:rsidR="006A2874">
        <w:rPr>
          <w:rFonts w:ascii="Times New Roman" w:hAnsi="Times New Roman" w:cs="Times New Roman"/>
          <w:sz w:val="24"/>
          <w:szCs w:val="24"/>
        </w:rPr>
        <w:t xml:space="preserve"> novembra</w:t>
      </w:r>
      <w:r w:rsidR="00860782" w:rsidRPr="00860782">
        <w:rPr>
          <w:rFonts w:ascii="Times New Roman" w:hAnsi="Times New Roman" w:cs="Times New Roman"/>
          <w:sz w:val="24"/>
          <w:szCs w:val="24"/>
        </w:rPr>
        <w:t xml:space="preserve"> pracovná skupina pre verejný sektor vzniesla požiadavku na vytvorenie nového opatrenia Podpora na investície do vytvárania, zlepšovania alebo rozširovania všetkých druhov infraštruktúr malých rozmerov s jeho zaradením do Priority 1 Služby pre vidiecke obyvateľstvo. Po dlhej diskusii sa však zapracovala do tohto opatrenia iba aktivita na investície do verejných priestranstiev, parkov a námestí. Zároveň sa na základe zverejnených informácií zrušilo opatrenie  Investície do zariadení a objektov cestovného ruchu, keďže cestovný ruch nemá byť prostredníctvom IROP podporovaný. Vytvorilo sa tak nové opatrenie cez IROP a to Kvalitné služby na vidieku.  Zároveň pracovná skupina pre podnikateľský sektor navrhla zrušiť opatrenie Podpora stolárskej výroby </w:t>
      </w:r>
      <w:r w:rsidR="006A2874">
        <w:rPr>
          <w:rFonts w:ascii="Times New Roman" w:hAnsi="Times New Roman" w:cs="Times New Roman"/>
          <w:sz w:val="24"/>
          <w:szCs w:val="24"/>
        </w:rPr>
        <w:t>a spracovania dreva, pričom takí</w:t>
      </w:r>
      <w:r w:rsidR="00860782" w:rsidRPr="00860782">
        <w:rPr>
          <w:rFonts w:ascii="Times New Roman" w:hAnsi="Times New Roman" w:cs="Times New Roman"/>
          <w:sz w:val="24"/>
          <w:szCs w:val="24"/>
        </w:rPr>
        <w:t>to výrobcovia budú môcť žiadať cez Vznik nových a rozširovanie existujúcich podnikov v oblasti remeselnej a priemyselnej výroby. Na ďalšom sedení pracovných skupín dňa 25.</w:t>
      </w:r>
      <w:r w:rsidR="006A2874">
        <w:rPr>
          <w:rFonts w:ascii="Times New Roman" w:hAnsi="Times New Roman" w:cs="Times New Roman"/>
          <w:sz w:val="24"/>
          <w:szCs w:val="24"/>
        </w:rPr>
        <w:t xml:space="preserve"> Novembra </w:t>
      </w:r>
      <w:r w:rsidR="00860782" w:rsidRPr="00860782">
        <w:rPr>
          <w:rFonts w:ascii="Times New Roman" w:hAnsi="Times New Roman" w:cs="Times New Roman"/>
          <w:sz w:val="24"/>
          <w:szCs w:val="24"/>
        </w:rPr>
        <w:t>sa pripomienkovali monitorovacie ukazovatele a výberové kritériá. Jeden z členov súkromného sektora prišiel s návrhom začlenenia niektorého z podopatrení opatrenia 16 Spolupráca z PRV SR 2014 – 2020 do stratégie regiónu. Vraj by v rámci bioplynovej stanice bola možnosť vytvoriť zariadenie na sušenie či už ovocia, hríbov, byliniek či dosiek s možnosťou vybudovania wellness zariadenia. Na základe toho bolo zapracované ďalšie opatrenie Spolupráca medzi malými hospodárskymi subjektmi pri organizácii spoločných pracovných procesov a spoločnom využívaní zariadení a zdrojov a pri rozvoji služieb v oblasti cestovného ruchu/ich uvádzania na trh. Dňa 10.</w:t>
      </w:r>
      <w:r w:rsidR="006A2874">
        <w:rPr>
          <w:rFonts w:ascii="Times New Roman" w:hAnsi="Times New Roman" w:cs="Times New Roman"/>
          <w:sz w:val="24"/>
          <w:szCs w:val="24"/>
        </w:rPr>
        <w:t xml:space="preserve"> decembra</w:t>
      </w:r>
      <w:r w:rsidR="00860782" w:rsidRPr="00860782">
        <w:rPr>
          <w:rFonts w:ascii="Times New Roman" w:hAnsi="Times New Roman" w:cs="Times New Roman"/>
          <w:sz w:val="24"/>
          <w:szCs w:val="24"/>
        </w:rPr>
        <w:t xml:space="preserve"> sa členovia všetkých pracovných skupín zišli znovu, aby odporučili stratégiu na schválenie predsedníctvu a členskej schôdzi. Avšak občiansky sektor vzniesol na základe oprávnenosti MAS ako žiadateľov z Operačného programu ľudské zdroje požiadavku na vytvorenie nového opatrenia, na základe ktorého by bolo možné vytvoriť pracovné miesto na MAS. Opatrenie bolo nazvané Podpora zamestnanosti, začleňovania a rozvoja ľudských zdrojov. </w:t>
      </w:r>
    </w:p>
    <w:p w14:paraId="29628062" w14:textId="77777777" w:rsidR="00860782" w:rsidRPr="00860782" w:rsidRDefault="005F6238" w:rsidP="005F62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0782" w:rsidRPr="00860782">
        <w:rPr>
          <w:rFonts w:ascii="Times New Roman" w:hAnsi="Times New Roman" w:cs="Times New Roman"/>
          <w:sz w:val="24"/>
          <w:szCs w:val="24"/>
        </w:rPr>
        <w:t>Okrem seminárov a stretávaní sa v pracovných skupinách sa uskutočnili 3 členské schôdze v týchto termínoch:</w:t>
      </w:r>
    </w:p>
    <w:p w14:paraId="42E40937" w14:textId="77777777" w:rsidR="00860782" w:rsidRPr="005F6238" w:rsidRDefault="00860782" w:rsidP="003301D6">
      <w:pPr>
        <w:pStyle w:val="Odsekzoznamu"/>
        <w:numPr>
          <w:ilvl w:val="0"/>
          <w:numId w:val="1"/>
        </w:numPr>
        <w:spacing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2</w:t>
      </w:r>
      <w:r w:rsidR="009A6948">
        <w:rPr>
          <w:rFonts w:ascii="Times New Roman" w:hAnsi="Times New Roman" w:cs="Times New Roman"/>
          <w:sz w:val="24"/>
          <w:szCs w:val="24"/>
        </w:rPr>
        <w:t>5</w:t>
      </w:r>
      <w:r w:rsidRPr="005F6238">
        <w:rPr>
          <w:rFonts w:ascii="Times New Roman" w:hAnsi="Times New Roman" w:cs="Times New Roman"/>
          <w:sz w:val="24"/>
          <w:szCs w:val="24"/>
        </w:rPr>
        <w:t>.</w:t>
      </w:r>
      <w:r w:rsidR="006A2874" w:rsidRPr="005F6238">
        <w:rPr>
          <w:rFonts w:ascii="Times New Roman" w:hAnsi="Times New Roman" w:cs="Times New Roman"/>
          <w:sz w:val="24"/>
          <w:szCs w:val="24"/>
        </w:rPr>
        <w:t xml:space="preserve"> júna</w:t>
      </w:r>
      <w:r w:rsidRPr="005F6238">
        <w:rPr>
          <w:rFonts w:ascii="Times New Roman" w:hAnsi="Times New Roman" w:cs="Times New Roman"/>
          <w:sz w:val="24"/>
          <w:szCs w:val="24"/>
        </w:rPr>
        <w:t xml:space="preserve"> – na ktorej bolo informované o výzve na prípravnú podporu a vyzvali sme členov na zapojenie sa do niektorých z troch pracovných skupín pre prípravu stratégie</w:t>
      </w:r>
      <w:r w:rsidR="006A2874" w:rsidRPr="005F6238">
        <w:rPr>
          <w:rFonts w:ascii="Times New Roman" w:hAnsi="Times New Roman" w:cs="Times New Roman"/>
          <w:sz w:val="24"/>
          <w:szCs w:val="24"/>
        </w:rPr>
        <w:t>,</w:t>
      </w:r>
    </w:p>
    <w:p w14:paraId="4142661C" w14:textId="77777777" w:rsidR="00860782" w:rsidRPr="005F6238" w:rsidRDefault="00860782" w:rsidP="003301D6">
      <w:pPr>
        <w:pStyle w:val="Odsekzoznamu"/>
        <w:numPr>
          <w:ilvl w:val="0"/>
          <w:numId w:val="1"/>
        </w:numPr>
        <w:spacing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19.</w:t>
      </w:r>
      <w:r w:rsidR="006A2874" w:rsidRPr="005F6238">
        <w:rPr>
          <w:rFonts w:ascii="Times New Roman" w:hAnsi="Times New Roman" w:cs="Times New Roman"/>
          <w:sz w:val="24"/>
          <w:szCs w:val="24"/>
        </w:rPr>
        <w:t xml:space="preserve"> novembra</w:t>
      </w:r>
      <w:r w:rsidRPr="005F6238">
        <w:rPr>
          <w:rFonts w:ascii="Times New Roman" w:hAnsi="Times New Roman" w:cs="Times New Roman"/>
          <w:sz w:val="24"/>
          <w:szCs w:val="24"/>
        </w:rPr>
        <w:t xml:space="preserve"> – na ktorej sa riešili odhlášky členov a prihlášky členov. </w:t>
      </w:r>
      <w:r w:rsidR="00B549F5" w:rsidRPr="005F6238">
        <w:rPr>
          <w:rFonts w:ascii="Times New Roman" w:hAnsi="Times New Roman" w:cs="Times New Roman"/>
          <w:sz w:val="24"/>
          <w:szCs w:val="24"/>
        </w:rPr>
        <w:t>Bola prezentovaná SWOT an</w:t>
      </w:r>
      <w:r w:rsidR="008117EF" w:rsidRPr="005F6238">
        <w:rPr>
          <w:rFonts w:ascii="Times New Roman" w:hAnsi="Times New Roman" w:cs="Times New Roman"/>
          <w:sz w:val="24"/>
          <w:szCs w:val="24"/>
        </w:rPr>
        <w:t>a</w:t>
      </w:r>
      <w:r w:rsidR="00B549F5" w:rsidRPr="005F6238">
        <w:rPr>
          <w:rFonts w:ascii="Times New Roman" w:hAnsi="Times New Roman" w:cs="Times New Roman"/>
          <w:sz w:val="24"/>
          <w:szCs w:val="24"/>
        </w:rPr>
        <w:t xml:space="preserve">lýza, ku  ktorej mohli dať členovia ešte pripomienky. </w:t>
      </w:r>
      <w:r w:rsidRPr="005F6238">
        <w:rPr>
          <w:rFonts w:ascii="Times New Roman" w:hAnsi="Times New Roman" w:cs="Times New Roman"/>
          <w:sz w:val="24"/>
          <w:szCs w:val="24"/>
        </w:rPr>
        <w:t xml:space="preserve">Členovia mohli dať pripomienky k navrhovaným opatreniam. Vzhľadom na bohatý zásobník projektových zámerov orientovaných na cestovný ruch, ktoré chce MAS v budúcnosti riešiť, tu padol </w:t>
      </w:r>
      <w:r w:rsidRPr="005F6238">
        <w:rPr>
          <w:rFonts w:ascii="Times New Roman" w:hAnsi="Times New Roman" w:cs="Times New Roman"/>
          <w:sz w:val="24"/>
          <w:szCs w:val="24"/>
        </w:rPr>
        <w:lastRenderedPageBreak/>
        <w:t>návrh na vytvorenie nového opatrenia v rámci Priority č. 2: Využitie miestneho potenciálu pre rozvoj cestovného ruchu s názvom Projekty spolupráce so zameraním na cestovný ruch</w:t>
      </w:r>
      <w:r w:rsidR="006A2874" w:rsidRPr="005F6238">
        <w:rPr>
          <w:rFonts w:ascii="Times New Roman" w:hAnsi="Times New Roman" w:cs="Times New Roman"/>
          <w:sz w:val="24"/>
          <w:szCs w:val="24"/>
        </w:rPr>
        <w:t>,</w:t>
      </w:r>
    </w:p>
    <w:p w14:paraId="2B5425ED" w14:textId="77777777" w:rsidR="00860782" w:rsidRDefault="00860782" w:rsidP="003301D6">
      <w:pPr>
        <w:pStyle w:val="Odsekzoznamu"/>
        <w:numPr>
          <w:ilvl w:val="0"/>
          <w:numId w:val="1"/>
        </w:numPr>
        <w:spacing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9.</w:t>
      </w:r>
      <w:r w:rsidR="006A2874" w:rsidRPr="005F6238">
        <w:rPr>
          <w:rFonts w:ascii="Times New Roman" w:hAnsi="Times New Roman" w:cs="Times New Roman"/>
          <w:sz w:val="24"/>
          <w:szCs w:val="24"/>
        </w:rPr>
        <w:t xml:space="preserve"> decembra</w:t>
      </w:r>
      <w:r w:rsidRPr="005F6238">
        <w:rPr>
          <w:rFonts w:ascii="Times New Roman" w:hAnsi="Times New Roman" w:cs="Times New Roman"/>
          <w:sz w:val="24"/>
          <w:szCs w:val="24"/>
        </w:rPr>
        <w:t xml:space="preserve"> – na ktorej sa schvaľovala pripravená stratégia CLLD.</w:t>
      </w:r>
    </w:p>
    <w:p w14:paraId="563FC233" w14:textId="77777777" w:rsidR="00E30D1B" w:rsidRPr="005F6238" w:rsidRDefault="00E30D1B" w:rsidP="00E30D1B">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Na základe aktualizácie výzvy, kde bolo potrebné CLLD stratégiu prepracovať v súlade s novými podmienkami a kritériami, zasadala dňa 26.6. 2017 pracovná skupina, ktorá pripomienkovala návrh kancelárie na úpravu stratégie. Predsedníctvo tento návrh schválilo v ten istý deň a 27.6. najvyšší orgán schválil ako Dodatok č. 2 k CLLD stratégií.</w:t>
      </w:r>
    </w:p>
    <w:p w14:paraId="6709F4D8" w14:textId="77777777" w:rsidR="00860782" w:rsidRPr="00DF6F68" w:rsidRDefault="00860782" w:rsidP="00860782">
      <w:pPr>
        <w:spacing w:before="120" w:after="0" w:line="360" w:lineRule="auto"/>
        <w:jc w:val="both"/>
        <w:rPr>
          <w:rFonts w:ascii="Times New Roman" w:hAnsi="Times New Roman" w:cs="Times New Roman"/>
          <w:i/>
          <w:sz w:val="24"/>
          <w:szCs w:val="24"/>
        </w:rPr>
      </w:pPr>
      <w:r w:rsidRPr="00DF6F68">
        <w:rPr>
          <w:rFonts w:ascii="Times New Roman" w:hAnsi="Times New Roman" w:cs="Times New Roman"/>
          <w:i/>
          <w:sz w:val="24"/>
          <w:szCs w:val="24"/>
        </w:rPr>
        <w:t xml:space="preserve">Prílohy:  </w:t>
      </w:r>
    </w:p>
    <w:p w14:paraId="0402E5E7" w14:textId="77777777" w:rsidR="00FA457C" w:rsidRDefault="00FA457C" w:rsidP="00866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Príloha č. 4 Zoznam členov MAS podľa sektorov (vrátané obcí)</w:t>
      </w:r>
    </w:p>
    <w:p w14:paraId="7E3A83D0" w14:textId="77777777" w:rsidR="00E30D1B" w:rsidRDefault="00866300" w:rsidP="00D0587E">
      <w:pPr>
        <w:rPr>
          <w:rFonts w:ascii="Times New Roman" w:hAnsi="Times New Roman" w:cs="Times New Roman"/>
          <w:sz w:val="24"/>
          <w:szCs w:val="24"/>
        </w:rPr>
      </w:pPr>
      <w:r>
        <w:rPr>
          <w:rFonts w:ascii="Times New Roman" w:hAnsi="Times New Roman" w:cs="Times New Roman"/>
          <w:sz w:val="24"/>
          <w:szCs w:val="24"/>
        </w:rPr>
        <w:t xml:space="preserve">Príloha č. 5 </w:t>
      </w:r>
      <w:r w:rsidR="002A70EB" w:rsidRPr="005F6238">
        <w:rPr>
          <w:rFonts w:ascii="Times New Roman" w:hAnsi="Times New Roman" w:cs="Times New Roman"/>
          <w:sz w:val="24"/>
          <w:szCs w:val="24"/>
        </w:rPr>
        <w:t>D</w:t>
      </w:r>
      <w:r w:rsidR="00025DAD" w:rsidRPr="005F6238">
        <w:rPr>
          <w:rFonts w:ascii="Times New Roman" w:hAnsi="Times New Roman" w:cs="Times New Roman"/>
          <w:sz w:val="24"/>
          <w:szCs w:val="24"/>
        </w:rPr>
        <w:t xml:space="preserve">okumenty preukazujúce proces tvorby </w:t>
      </w:r>
      <w:r w:rsidR="00FA457C">
        <w:rPr>
          <w:rFonts w:ascii="Times New Roman" w:hAnsi="Times New Roman" w:cs="Times New Roman"/>
          <w:sz w:val="24"/>
          <w:szCs w:val="24"/>
        </w:rPr>
        <w:t xml:space="preserve">a formovania </w:t>
      </w:r>
      <w:r w:rsidR="00025DAD" w:rsidRPr="005F6238">
        <w:rPr>
          <w:rFonts w:ascii="Times New Roman" w:hAnsi="Times New Roman" w:cs="Times New Roman"/>
          <w:sz w:val="24"/>
          <w:szCs w:val="24"/>
        </w:rPr>
        <w:t>partnerstva</w:t>
      </w:r>
      <w:r w:rsidR="005F6238" w:rsidRPr="005F6238">
        <w:rPr>
          <w:rFonts w:ascii="Times New Roman" w:hAnsi="Times New Roman" w:cs="Times New Roman"/>
          <w:sz w:val="24"/>
          <w:szCs w:val="24"/>
        </w:rPr>
        <w:t>:</w:t>
      </w:r>
      <w:r w:rsidR="00E30D1B" w:rsidRPr="00E30D1B">
        <w:rPr>
          <w:rFonts w:ascii="Times New Roman" w:hAnsi="Times New Roman" w:cs="Times New Roman"/>
          <w:sz w:val="24"/>
          <w:szCs w:val="24"/>
        </w:rPr>
        <w:t xml:space="preserve"> </w:t>
      </w:r>
    </w:p>
    <w:p w14:paraId="25DFCBE8" w14:textId="77777777" w:rsidR="00E30D1B" w:rsidRDefault="00E30D1B" w:rsidP="00E30D1B">
      <w:pPr>
        <w:pStyle w:val="Odsekzoznamu"/>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Zakladajúce stanovy,</w:t>
      </w:r>
    </w:p>
    <w:p w14:paraId="159E5B2D" w14:textId="77777777" w:rsidR="00E30D1B" w:rsidRDefault="00E30D1B" w:rsidP="00E30D1B">
      <w:pPr>
        <w:pStyle w:val="Odsekzoznamu"/>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Zápisnica z ustanovujúcej členskej schôdze a prezenčná listina,</w:t>
      </w:r>
    </w:p>
    <w:p w14:paraId="771C834B" w14:textId="77777777" w:rsidR="00E30D1B" w:rsidRPr="00E30D1B" w:rsidRDefault="00E30D1B" w:rsidP="00E30D1B">
      <w:pPr>
        <w:pStyle w:val="Odsekzoznamu"/>
        <w:numPr>
          <w:ilvl w:val="0"/>
          <w:numId w:val="1"/>
        </w:numPr>
        <w:spacing w:after="0" w:line="360" w:lineRule="auto"/>
        <w:ind w:left="426"/>
        <w:jc w:val="both"/>
        <w:rPr>
          <w:rFonts w:ascii="Times New Roman" w:hAnsi="Times New Roman" w:cs="Times New Roman"/>
          <w:sz w:val="24"/>
          <w:szCs w:val="24"/>
        </w:rPr>
      </w:pPr>
      <w:r w:rsidRPr="00E30D1B">
        <w:rPr>
          <w:rFonts w:ascii="Times New Roman" w:hAnsi="Times New Roman" w:cs="Times New Roman"/>
          <w:sz w:val="24"/>
          <w:szCs w:val="24"/>
        </w:rPr>
        <w:t>Zápisnica z členskej schôdze konanej 10. 12. 2014,  8. 1. 2015</w:t>
      </w:r>
      <w:r>
        <w:rPr>
          <w:rFonts w:ascii="Times New Roman" w:hAnsi="Times New Roman" w:cs="Times New Roman"/>
          <w:sz w:val="24"/>
          <w:szCs w:val="24"/>
        </w:rPr>
        <w:t>.</w:t>
      </w:r>
    </w:p>
    <w:p w14:paraId="1BE5CC0F" w14:textId="77777777" w:rsidR="00E30D1B" w:rsidRPr="00FA457C" w:rsidRDefault="00E30D1B" w:rsidP="00D0587E">
      <w:pPr>
        <w:rPr>
          <w:rFonts w:ascii="Times New Roman" w:hAnsi="Times New Roman" w:cs="Times New Roman"/>
          <w:sz w:val="24"/>
          <w:szCs w:val="24"/>
        </w:rPr>
      </w:pPr>
      <w:r>
        <w:rPr>
          <w:rFonts w:ascii="Times New Roman" w:hAnsi="Times New Roman" w:cs="Times New Roman"/>
          <w:sz w:val="24"/>
          <w:szCs w:val="24"/>
        </w:rPr>
        <w:t>Príloha č. 5.1 Dokumenty preukazujúce proces tvorby stratégie CLLD (informačné aktivity)</w:t>
      </w:r>
    </w:p>
    <w:p w14:paraId="59D22002" w14:textId="77777777" w:rsidR="005F6238" w:rsidRPr="005F6238" w:rsidRDefault="005C0E1F" w:rsidP="003301D6">
      <w:pPr>
        <w:pStyle w:val="Odsekzoznamu"/>
        <w:numPr>
          <w:ilvl w:val="0"/>
          <w:numId w:val="1"/>
        </w:numPr>
        <w:spacing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 xml:space="preserve">Dotazník pre ISRU k príprave Integrovanej stratégie rozvoja územia Kopaničiarskeho regiónu MAS pre nové programovacie obdobie 2014 – 2020, </w:t>
      </w:r>
    </w:p>
    <w:p w14:paraId="6D22CE48" w14:textId="77777777" w:rsidR="005C0E1F" w:rsidRPr="005F6238" w:rsidRDefault="005C0E1F" w:rsidP="003301D6">
      <w:pPr>
        <w:pStyle w:val="Odsekzoznamu"/>
        <w:numPr>
          <w:ilvl w:val="0"/>
          <w:numId w:val="1"/>
        </w:numPr>
        <w:spacing w:before="120"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 xml:space="preserve">Dotazník - prieskum názorov občanov obcí, </w:t>
      </w:r>
    </w:p>
    <w:p w14:paraId="6B508D06" w14:textId="77777777" w:rsidR="005C0E1F" w:rsidRPr="005F6238" w:rsidRDefault="005C0E1F" w:rsidP="003301D6">
      <w:pPr>
        <w:pStyle w:val="Odsekzoznamu"/>
        <w:numPr>
          <w:ilvl w:val="0"/>
          <w:numId w:val="1"/>
        </w:numPr>
        <w:spacing w:before="120"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Dotazník - prieskum názorov občanov miest</w:t>
      </w:r>
      <w:r w:rsidR="005F6238">
        <w:rPr>
          <w:rFonts w:ascii="Times New Roman" w:hAnsi="Times New Roman" w:cs="Times New Roman"/>
          <w:sz w:val="24"/>
          <w:szCs w:val="24"/>
        </w:rPr>
        <w:t>,</w:t>
      </w:r>
    </w:p>
    <w:p w14:paraId="0C3F1C8A" w14:textId="77777777" w:rsidR="005C0E1F" w:rsidRPr="005F6238" w:rsidRDefault="005C0E1F" w:rsidP="003301D6">
      <w:pPr>
        <w:pStyle w:val="Odsekzoznamu"/>
        <w:numPr>
          <w:ilvl w:val="0"/>
          <w:numId w:val="1"/>
        </w:numPr>
        <w:spacing w:before="120"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Dotazník pre podnikateľov</w:t>
      </w:r>
      <w:r w:rsidR="005F6238">
        <w:rPr>
          <w:rFonts w:ascii="Times New Roman" w:hAnsi="Times New Roman" w:cs="Times New Roman"/>
          <w:sz w:val="24"/>
          <w:szCs w:val="24"/>
        </w:rPr>
        <w:t>,</w:t>
      </w:r>
    </w:p>
    <w:p w14:paraId="6C368943" w14:textId="77777777" w:rsidR="005C0E1F" w:rsidRPr="005F6238" w:rsidRDefault="005C0E1F" w:rsidP="000E2D5E">
      <w:pPr>
        <w:pStyle w:val="Odsekzoznamu"/>
        <w:numPr>
          <w:ilvl w:val="0"/>
          <w:numId w:val="1"/>
        </w:numPr>
        <w:spacing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Dotazník pre tretí sektor</w:t>
      </w:r>
      <w:r w:rsidR="005F6238">
        <w:rPr>
          <w:rFonts w:ascii="Times New Roman" w:hAnsi="Times New Roman" w:cs="Times New Roman"/>
          <w:sz w:val="24"/>
          <w:szCs w:val="24"/>
        </w:rPr>
        <w:t>,</w:t>
      </w:r>
    </w:p>
    <w:p w14:paraId="033CB2D9" w14:textId="77777777" w:rsidR="005C0E1F" w:rsidRPr="005F6238" w:rsidRDefault="005C0E1F" w:rsidP="003301D6">
      <w:pPr>
        <w:pStyle w:val="Odsekzoznamu"/>
        <w:numPr>
          <w:ilvl w:val="0"/>
          <w:numId w:val="1"/>
        </w:numPr>
        <w:spacing w:before="120" w:after="0" w:line="360" w:lineRule="auto"/>
        <w:ind w:left="426"/>
        <w:jc w:val="both"/>
        <w:rPr>
          <w:rFonts w:ascii="Times New Roman" w:hAnsi="Times New Roman" w:cs="Times New Roman"/>
          <w:sz w:val="24"/>
          <w:szCs w:val="24"/>
        </w:rPr>
      </w:pPr>
      <w:r w:rsidRPr="005F6238">
        <w:rPr>
          <w:rFonts w:ascii="Times New Roman" w:hAnsi="Times New Roman" w:cs="Times New Roman"/>
          <w:sz w:val="24"/>
          <w:szCs w:val="24"/>
        </w:rPr>
        <w:t>Dotazník pre starostov obcí</w:t>
      </w:r>
      <w:r w:rsidR="005F6238">
        <w:rPr>
          <w:rFonts w:ascii="Times New Roman" w:hAnsi="Times New Roman" w:cs="Times New Roman"/>
          <w:sz w:val="24"/>
          <w:szCs w:val="24"/>
        </w:rPr>
        <w:t>,</w:t>
      </w:r>
    </w:p>
    <w:p w14:paraId="4AA5EAB3" w14:textId="77777777" w:rsidR="008E4A20" w:rsidRPr="008E4A20" w:rsidRDefault="005C0E1F" w:rsidP="008E4A20">
      <w:pPr>
        <w:pStyle w:val="Odsekzoznamu"/>
        <w:numPr>
          <w:ilvl w:val="0"/>
          <w:numId w:val="1"/>
        </w:numPr>
        <w:spacing w:after="0" w:line="360" w:lineRule="auto"/>
        <w:ind w:left="425" w:hanging="357"/>
        <w:rPr>
          <w:rFonts w:ascii="Times New Roman" w:hAnsi="Times New Roman" w:cs="Times New Roman"/>
          <w:sz w:val="24"/>
          <w:szCs w:val="24"/>
        </w:rPr>
      </w:pPr>
      <w:r w:rsidRPr="008132C9">
        <w:rPr>
          <w:rFonts w:ascii="Times New Roman" w:hAnsi="Times New Roman" w:cs="Times New Roman"/>
          <w:sz w:val="24"/>
          <w:szCs w:val="24"/>
        </w:rPr>
        <w:t>Fotodokumentácie</w:t>
      </w:r>
      <w:r w:rsidR="008E4A20">
        <w:rPr>
          <w:rFonts w:ascii="Times New Roman" w:hAnsi="Times New Roman" w:cs="Times New Roman"/>
          <w:sz w:val="24"/>
          <w:szCs w:val="24"/>
        </w:rPr>
        <w:t>,</w:t>
      </w:r>
    </w:p>
    <w:p w14:paraId="5A29B3E3" w14:textId="77777777" w:rsidR="000E2D5E" w:rsidRDefault="000E2D5E" w:rsidP="008E4A20">
      <w:pPr>
        <w:pStyle w:val="Odsekzoznamu"/>
        <w:numPr>
          <w:ilvl w:val="0"/>
          <w:numId w:val="1"/>
        </w:numPr>
        <w:spacing w:after="0" w:line="360" w:lineRule="auto"/>
        <w:ind w:left="425" w:hanging="357"/>
        <w:rPr>
          <w:rFonts w:ascii="Times New Roman" w:hAnsi="Times New Roman" w:cs="Times New Roman"/>
          <w:sz w:val="24"/>
          <w:szCs w:val="24"/>
        </w:rPr>
      </w:pPr>
      <w:r>
        <w:rPr>
          <w:rFonts w:ascii="Times New Roman" w:hAnsi="Times New Roman" w:cs="Times New Roman"/>
          <w:sz w:val="24"/>
          <w:szCs w:val="24"/>
        </w:rPr>
        <w:t>Formuláre z dotazníkového prieskumu</w:t>
      </w:r>
    </w:p>
    <w:p w14:paraId="0CE6FAA9"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Vyhodnotenie dotazníkového prieskumu,</w:t>
      </w:r>
    </w:p>
    <w:p w14:paraId="142AEE27"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Projektové zámery z dotazníkového prieskumu na roky 2015 – 2020,</w:t>
      </w:r>
    </w:p>
    <w:p w14:paraId="4DFF0FF4"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Semináre s verejnosťou k príprave CLLD stratégie KR-MAS,</w:t>
      </w:r>
    </w:p>
    <w:p w14:paraId="4D13EFE9"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Stretnutia pracovných skupín a riadiaceho tímu k príprave CLLD stratégie KR-MAS,</w:t>
      </w:r>
    </w:p>
    <w:p w14:paraId="10E7A98B"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Individuálne stretnutia k príprave CLLD stratégie KR-MAS,</w:t>
      </w:r>
    </w:p>
    <w:p w14:paraId="2260028E" w14:textId="77777777" w:rsid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Členské schôdze KR-MAS k príprave CLLD stratégie KR-MAS,</w:t>
      </w:r>
    </w:p>
    <w:p w14:paraId="584EB8E2" w14:textId="77777777" w:rsidR="00F560B2" w:rsidRPr="000E2D5E" w:rsidRDefault="000E2D5E" w:rsidP="000E2D5E">
      <w:pPr>
        <w:pStyle w:val="Odsekzoznamu"/>
        <w:numPr>
          <w:ilvl w:val="0"/>
          <w:numId w:val="1"/>
        </w:numPr>
        <w:spacing w:line="360" w:lineRule="auto"/>
        <w:ind w:left="425" w:hanging="357"/>
        <w:rPr>
          <w:rFonts w:ascii="Times New Roman" w:hAnsi="Times New Roman" w:cs="Times New Roman"/>
          <w:sz w:val="24"/>
          <w:szCs w:val="24"/>
        </w:rPr>
      </w:pPr>
      <w:r>
        <w:rPr>
          <w:rFonts w:ascii="Times New Roman" w:hAnsi="Times New Roman" w:cs="Times New Roman"/>
          <w:sz w:val="24"/>
          <w:szCs w:val="24"/>
        </w:rPr>
        <w:t>Výročné správy KR-MAS.</w:t>
      </w:r>
    </w:p>
    <w:p w14:paraId="5F1791E3" w14:textId="77777777" w:rsidR="00F560B2" w:rsidRDefault="00F560B2" w:rsidP="000E2D5E">
      <w:pPr>
        <w:pStyle w:val="Odsekzoznamu"/>
        <w:spacing w:before="120"/>
        <w:ind w:left="426"/>
        <w:rPr>
          <w:rFonts w:ascii="Times New Roman" w:hAnsi="Times New Roman" w:cs="Times New Roman"/>
          <w:sz w:val="24"/>
          <w:szCs w:val="24"/>
        </w:rPr>
      </w:pPr>
    </w:p>
    <w:p w14:paraId="26449EDD" w14:textId="77777777" w:rsidR="008771C8" w:rsidRPr="005F6238" w:rsidRDefault="00527DCF" w:rsidP="003301D6">
      <w:pPr>
        <w:pStyle w:val="Nadpis1"/>
        <w:numPr>
          <w:ilvl w:val="0"/>
          <w:numId w:val="3"/>
        </w:numPr>
        <w:ind w:left="426"/>
      </w:pPr>
      <w:bookmarkStart w:id="160" w:name="_Toc485645757"/>
      <w:r w:rsidRPr="005F6238">
        <w:lastRenderedPageBreak/>
        <w:t>Analytický rámec</w:t>
      </w:r>
      <w:bookmarkEnd w:id="160"/>
    </w:p>
    <w:p w14:paraId="318F3F41" w14:textId="77777777" w:rsidR="00621BE5" w:rsidRPr="005F6238" w:rsidRDefault="00DF6F68" w:rsidP="008132C9">
      <w:pPr>
        <w:pStyle w:val="Nadpis2"/>
        <w:ind w:left="360"/>
      </w:pPr>
      <w:bookmarkStart w:id="161" w:name="_Toc437861927"/>
      <w:bookmarkStart w:id="162" w:name="_Toc437862613"/>
      <w:bookmarkStart w:id="163" w:name="_Toc437862755"/>
      <w:bookmarkStart w:id="164" w:name="_Toc437877341"/>
      <w:bookmarkStart w:id="165" w:name="_Toc437877539"/>
      <w:bookmarkStart w:id="166" w:name="_Toc437877739"/>
      <w:bookmarkStart w:id="167" w:name="_Toc437877939"/>
      <w:bookmarkStart w:id="168" w:name="_Toc437878142"/>
      <w:bookmarkStart w:id="169" w:name="_Toc437878346"/>
      <w:bookmarkStart w:id="170" w:name="_Toc437878550"/>
      <w:bookmarkStart w:id="171" w:name="_Toc437878754"/>
      <w:bookmarkStart w:id="172" w:name="_Toc437861928"/>
      <w:bookmarkStart w:id="173" w:name="_Toc437862614"/>
      <w:bookmarkStart w:id="174" w:name="_Toc437862756"/>
      <w:bookmarkStart w:id="175" w:name="_Toc437877342"/>
      <w:bookmarkStart w:id="176" w:name="_Toc437877540"/>
      <w:bookmarkStart w:id="177" w:name="_Toc437877740"/>
      <w:bookmarkStart w:id="178" w:name="_Toc437877940"/>
      <w:bookmarkStart w:id="179" w:name="_Toc437878143"/>
      <w:bookmarkStart w:id="180" w:name="_Toc437878347"/>
      <w:bookmarkStart w:id="181" w:name="_Toc437878551"/>
      <w:bookmarkStart w:id="182" w:name="_Toc437878755"/>
      <w:bookmarkStart w:id="183" w:name="_Toc437861929"/>
      <w:bookmarkStart w:id="184" w:name="_Toc437862615"/>
      <w:bookmarkStart w:id="185" w:name="_Toc437862757"/>
      <w:bookmarkStart w:id="186" w:name="_Toc437877343"/>
      <w:bookmarkStart w:id="187" w:name="_Toc437877541"/>
      <w:bookmarkStart w:id="188" w:name="_Toc437877741"/>
      <w:bookmarkStart w:id="189" w:name="_Toc437877941"/>
      <w:bookmarkStart w:id="190" w:name="_Toc437878144"/>
      <w:bookmarkStart w:id="191" w:name="_Toc437878348"/>
      <w:bookmarkStart w:id="192" w:name="_Toc437878552"/>
      <w:bookmarkStart w:id="193" w:name="_Toc437878756"/>
      <w:bookmarkStart w:id="194" w:name="_Toc437862616"/>
      <w:bookmarkStart w:id="195" w:name="_Toc437862758"/>
      <w:bookmarkStart w:id="196" w:name="_Toc437877344"/>
      <w:bookmarkStart w:id="197" w:name="_Toc437877542"/>
      <w:bookmarkStart w:id="198" w:name="_Toc437877742"/>
      <w:bookmarkStart w:id="199" w:name="_Toc437877942"/>
      <w:bookmarkStart w:id="200" w:name="_Toc437878145"/>
      <w:bookmarkStart w:id="201" w:name="_Toc437878349"/>
      <w:bookmarkStart w:id="202" w:name="_Toc437878553"/>
      <w:bookmarkStart w:id="203" w:name="_Toc437878757"/>
      <w:bookmarkStart w:id="204" w:name="_Toc437862617"/>
      <w:bookmarkStart w:id="205" w:name="_Toc437862759"/>
      <w:bookmarkStart w:id="206" w:name="_Toc437877345"/>
      <w:bookmarkStart w:id="207" w:name="_Toc437877543"/>
      <w:bookmarkStart w:id="208" w:name="_Toc437877743"/>
      <w:bookmarkStart w:id="209" w:name="_Toc437877943"/>
      <w:bookmarkStart w:id="210" w:name="_Toc437878146"/>
      <w:bookmarkStart w:id="211" w:name="_Toc437878350"/>
      <w:bookmarkStart w:id="212" w:name="_Toc437878554"/>
      <w:bookmarkStart w:id="213" w:name="_Toc437878758"/>
      <w:bookmarkStart w:id="214" w:name="_Toc437862618"/>
      <w:bookmarkStart w:id="215" w:name="_Toc437862760"/>
      <w:bookmarkStart w:id="216" w:name="_Toc437877346"/>
      <w:bookmarkStart w:id="217" w:name="_Toc437877544"/>
      <w:bookmarkStart w:id="218" w:name="_Toc437877744"/>
      <w:bookmarkStart w:id="219" w:name="_Toc437877944"/>
      <w:bookmarkStart w:id="220" w:name="_Toc437878147"/>
      <w:bookmarkStart w:id="221" w:name="_Toc437878351"/>
      <w:bookmarkStart w:id="222" w:name="_Toc437878555"/>
      <w:bookmarkStart w:id="223" w:name="_Toc437878759"/>
      <w:bookmarkStart w:id="224" w:name="_Toc48564575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t>3</w:t>
      </w:r>
      <w:r w:rsidR="008132C9">
        <w:t xml:space="preserve">.1  </w:t>
      </w:r>
      <w:r w:rsidR="009E0CE6" w:rsidRPr="005F6238">
        <w:t xml:space="preserve">Analýza </w:t>
      </w:r>
      <w:r w:rsidR="00621BE5" w:rsidRPr="005F6238">
        <w:t>zdrojov územia</w:t>
      </w:r>
      <w:bookmarkEnd w:id="224"/>
    </w:p>
    <w:p w14:paraId="5F7A7894" w14:textId="77777777" w:rsidR="00E225CE" w:rsidRPr="00E225CE" w:rsidRDefault="00DF6F68" w:rsidP="00C46B0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Územie Združenia (ďalej Kopaničiarsky región) sa nachádza v západnej časti Slovenska a je prihraničným regiónom s Českou republikou. Na západe región susedí s okresom Senica, na juhu s okresom Trnava a Piešťany, na východe s obcami okresu Nové Mesto nad Váhom a na severe s Českou republikou. </w:t>
      </w:r>
    </w:p>
    <w:p w14:paraId="7870A90B" w14:textId="77777777" w:rsidR="00E225CE" w:rsidRP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Kopaničiarsky región je situovaný v pohorí Bielych a Malých Karpát a tiež o niečo nižšej Myjavskej pahorkatiny, čím poskytuje obyvateľom, ale aj návštevníkom regiónu príjemné a tiché prostredie pre bývanie a iné aktivity. Rozmanitosť všetkých zložiek prírody, spätá so špecifickým rázom kopaničiarskej krajiny, dodáva Kopaničiarskemu regiónu neopakovateľný charakter, ktorý môže byť dobrých východiskom pre rozvoj vidieckeho cestovného ruchu v regióne a aktivít súvisiacich s agroturistikou. Tiché a odľahlé kopanice, vyhľadávané najmä obyvateľstvom túžiacim po pokoji a </w:t>
      </w:r>
      <w:r w:rsidR="00E225CE">
        <w:rPr>
          <w:rFonts w:ascii="Times New Roman" w:hAnsi="Times New Roman" w:cs="Times New Roman"/>
          <w:sz w:val="24"/>
          <w:szCs w:val="24"/>
        </w:rPr>
        <w:t>bez</w:t>
      </w:r>
      <w:r w:rsidR="00E225CE" w:rsidRPr="00E225CE">
        <w:rPr>
          <w:rFonts w:ascii="Times New Roman" w:hAnsi="Times New Roman" w:cs="Times New Roman"/>
          <w:sz w:val="24"/>
          <w:szCs w:val="24"/>
        </w:rPr>
        <w:t xml:space="preserve">úhonnosti, disponujú zdravým prírodným prostredím. To je značnou výhodou, vzhľadom na blízke väčšie mestá (Senica, Nové Mesto nad Váhom) a s ním spojený priemysel, ktorých kvalita životného prostredia je nižšia. </w:t>
      </w:r>
    </w:p>
    <w:p w14:paraId="1511FEB0" w14:textId="77777777" w:rsidR="00E30D1B" w:rsidRPr="00E225CE" w:rsidRDefault="00DF6F68" w:rsidP="00E30D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Hoci ide o územie v najzápadnejšej časti Trenčianskeho samosprávneho kraja, jeho poloha je vzhľadom na najbližšie rozvojové osi Slovenska (Považie, Záhorie,...) mierne okrajová. Táto sa prejavuje najmä v dopravnej dostupnosti (či už časovej, alebo aj vzdialenostnej) vidieckych obcí, a zvlášť odľahlejších kopaníc, ktorá je na hlavné dopravné osi SR, nízka. Istou nevýhodou (ale aj výhodou, ako to bolo spomínané vyššie) je aj fyzicko-geografická poloha, pretože veľká väčšina územia sa nachádza v rámci Myjavskej pahorkatiny, resp. Bielych a Malých Karpát, kde prevláda pahorkatinný, až vrchovinový ráz územia spojený s horšou dostupnosťou územia. Navyše severná, štátna hranica územia  pôsobila dlhé roky po vzniku samostatnej SR ako bariéra. Iba malá časť územia – juhovýchod, ktorá sa nachádza už v Považskom Podolí, má lepšiu polohu a teda aj dostupnosť – blízkosť európsky významného multimodálneho koridoru  V.a .</w:t>
      </w:r>
      <w:r w:rsidR="00E30D1B">
        <w:rPr>
          <w:rFonts w:ascii="Times New Roman" w:hAnsi="Times New Roman" w:cs="Times New Roman"/>
          <w:sz w:val="24"/>
          <w:szCs w:val="24"/>
        </w:rPr>
        <w:t xml:space="preserve"> V súčasnosti je však poloha na hranici s Českom veľkou výhodou pri čerpaní eurofondov, hlavne z programu cezhraničnej spolupráce SR – ČR, keďže sa aktívnym subjektom pôsobiacim v regióne podarilo v rámci projektov cezhraničnej spolupráce získať státisíce eur, ktoré dopomohli k jeho napredovaniu. Zaujímavé prírodné podmienky spôsobili v poslednom období značný nárast turistov, čo v kombinácií veľkých stavebných investícií z eurofondov, ktoré realizujú firmy zo vzdialenejších regiónov, znamenalo  veľký dopyt po ubytovaní.</w:t>
      </w:r>
    </w:p>
    <w:p w14:paraId="6E646ACB" w14:textId="77777777" w:rsidR="00E225CE" w:rsidRP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ab/>
      </w:r>
      <w:r w:rsidR="00E225CE" w:rsidRPr="00E225CE">
        <w:rPr>
          <w:rFonts w:ascii="Times New Roman" w:hAnsi="Times New Roman" w:cs="Times New Roman"/>
          <w:sz w:val="24"/>
          <w:szCs w:val="24"/>
        </w:rPr>
        <w:t xml:space="preserve">V samotnom regióne, ktorý po regresii strojárskeho priemyslu v regióne v polovici 90-tych rokov minulého storočia, mal veľké ekonomické problémy, vrátane vysokej miery nezamestnanosti, sa v súčasnosti situácia v ekonomickej oblasti zlepšila, aj vďaka vybudovaniu Priemyselného parku Myjava – Javorinská, ktorého základný kameň bol položený v roku 2006. Tento park predstavuje najväčšiu investíciu v regióne a je definovaný ako park celoštátneho významu). </w:t>
      </w:r>
    </w:p>
    <w:p w14:paraId="1D61EB2E" w14:textId="77777777" w:rsidR="00E225CE" w:rsidRDefault="00DF6F68" w:rsidP="00C46B0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tesnej blízkosti regiónu sa nachádza aj Priemyselný park Senica, do ktorého dochádzajú obyvatelia regiónu za prácou. Menšie vplyvy na územie predmetného regiónu majú aj Priemyselný park v Skalici a priemyselná zóna v Novom Meste nad Váhom. </w:t>
      </w:r>
    </w:p>
    <w:p w14:paraId="5087F9E2" w14:textId="77777777" w:rsidR="00DF6F68" w:rsidRDefault="00DF6F68" w:rsidP="00DF6F68">
      <w:pPr>
        <w:spacing w:after="0" w:line="360" w:lineRule="auto"/>
        <w:jc w:val="both"/>
        <w:rPr>
          <w:rFonts w:ascii="Times New Roman" w:hAnsi="Times New Roman" w:cs="Times New Roman"/>
          <w:b/>
          <w:i/>
          <w:sz w:val="24"/>
          <w:szCs w:val="24"/>
        </w:rPr>
      </w:pPr>
    </w:p>
    <w:p w14:paraId="0B8A3975" w14:textId="77777777" w:rsidR="007859C0" w:rsidRPr="007859C0" w:rsidRDefault="007859C0" w:rsidP="00DF6F68">
      <w:pPr>
        <w:spacing w:after="0" w:line="360" w:lineRule="auto"/>
        <w:jc w:val="both"/>
        <w:rPr>
          <w:rFonts w:ascii="Times New Roman" w:hAnsi="Times New Roman" w:cs="Times New Roman"/>
          <w:b/>
          <w:i/>
          <w:sz w:val="24"/>
          <w:szCs w:val="24"/>
        </w:rPr>
      </w:pPr>
      <w:r w:rsidRPr="007859C0">
        <w:rPr>
          <w:rFonts w:ascii="Times New Roman" w:hAnsi="Times New Roman" w:cs="Times New Roman"/>
          <w:b/>
          <w:i/>
          <w:sz w:val="24"/>
          <w:szCs w:val="24"/>
        </w:rPr>
        <w:t xml:space="preserve">Historický vývoj </w:t>
      </w:r>
    </w:p>
    <w:p w14:paraId="50CAF5A0" w14:textId="77777777" w:rsidR="007859C0" w:rsidRDefault="00DF6F68" w:rsidP="00C46B0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9C0" w:rsidRPr="007859C0">
        <w:rPr>
          <w:rFonts w:ascii="Times New Roman" w:hAnsi="Times New Roman" w:cs="Times New Roman"/>
          <w:sz w:val="24"/>
          <w:szCs w:val="24"/>
        </w:rPr>
        <w:t xml:space="preserve">Územie bolo obývané už v kamennej dobe, avšak  osídľovanie nastáva až z 2 blízkych hradov a síce z hradu Branč a z Čachtického hradu – postupne od 14. stor. Oba potrebovali hospodársku základňu, a preto podporovali osídľovanie aj v odľahlejších miestach. Väčšia iniciatíva bola najmä zo strany hradu Čachtice. Väčší príval obyvateľstva do Kopaničiarskeho regiónu nastáva v druhej polovici 16. stor. Išlo  najmä o obyvateľstvo z južného Slovenska, utekajúce pred Turkami ale i obyvateľstvo valašského pôvodu z oravskej a trenčianskej stolice. Príval obyvateľstva bol taký veľký, že ho pôda v bezprostrednom okolí majerov už nestačila uživiť. To podnietilo zakladanie kopaníc, avšak nie pri samotných majeroch, ale v odľahlejších častiach panstiev. V tomto období vznikali i nové obce. V nasledujúcich dvoch storočiach prebiehala na území kopaničiarska kolonizácia, ktorá mala za následok veľký príliv obyvateľstva. Avšak počas tohto obdobia sa stretávame aj s úbytkom obyvateľstva. Išlo najmä o úbytky súvisiace s vojnami, povstaniami, či epidémiami. Rozvoj regiónu po hospodárskej, ale i populačnej stránke súvisí najmä s rozvojom remesiel. Prichádzajú sem nový osadníci z Moravy a rôznych častí Slovenska, najmä protestantské obyvateľstvo. Významnými remeslami boli najmä pytlikárstvo, blanárstvo, mäsiarstvo, ševcovstvo a ďalšie. V polovici 19. storočia sa tento región silne angažoval vo veciach národných, najmä v meruôsmych rokoch. 19.9.1848 v dome pani Anny Koléniovej v Myjave prvý krát pod vedením J.M. Hurbana, Ľ. Štúra a M.M. Hodžu zasadala 1. Slovenská národná rada, ako najvyššia ustanovizeň Slovákov. Avšak po presýtení regiónu obyvateľstvom, ktorý už nedokázalo uživiť, nastáva stagnácia regiónu, kedy začína aj vysťahovalectvo. To vyvrcholilo začiatkom 20. stor., kedy odchádzali obyvatelia regiónu najmä do USA. Rozvoju regiónu nepomohlo ani vybudovanie železnice Nové Mesto nad Váhom – Myjava – Veselí nad Moravou v 20-tich </w:t>
      </w:r>
      <w:r w:rsidR="007859C0" w:rsidRPr="007859C0">
        <w:rPr>
          <w:rFonts w:ascii="Times New Roman" w:hAnsi="Times New Roman" w:cs="Times New Roman"/>
          <w:sz w:val="24"/>
          <w:szCs w:val="24"/>
        </w:rPr>
        <w:lastRenderedPageBreak/>
        <w:t xml:space="preserve">rokoch minulého storočia. Postupný rozvoj regiónu nastáva až tesne pred 2. sv. vojnou, kedy v roku 1937 sa na Myjavu z obavy pred expanziou fašistického Nemecka presťahovala továreň Tauš, ktorá poskytla pracovné príležitosti chudobnému ľudu. Z nej neskôr vznikla Slovenská armatúrka Myjava – najväčší podnik v širokom okolí, ktorý v čase svojej najväčšej slávy zamestnával vyše 5000 zamestnancov. </w:t>
      </w:r>
    </w:p>
    <w:p w14:paraId="153DD6D7" w14:textId="77777777" w:rsidR="00DF6F68" w:rsidRDefault="00DF6F68" w:rsidP="007859C0">
      <w:pPr>
        <w:spacing w:before="120" w:after="0" w:line="360" w:lineRule="auto"/>
        <w:rPr>
          <w:rFonts w:ascii="Times New Roman" w:hAnsi="Times New Roman" w:cs="Times New Roman"/>
          <w:b/>
          <w:i/>
          <w:sz w:val="24"/>
          <w:szCs w:val="24"/>
        </w:rPr>
      </w:pPr>
    </w:p>
    <w:p w14:paraId="0067B62C" w14:textId="77777777" w:rsidR="007859C0" w:rsidRPr="00BC5186" w:rsidRDefault="007859C0" w:rsidP="007859C0">
      <w:pPr>
        <w:spacing w:before="120" w:after="0" w:line="360" w:lineRule="auto"/>
        <w:rPr>
          <w:rFonts w:ascii="Times New Roman" w:hAnsi="Times New Roman" w:cs="Times New Roman"/>
          <w:b/>
          <w:i/>
          <w:sz w:val="24"/>
          <w:szCs w:val="24"/>
        </w:rPr>
      </w:pPr>
      <w:r>
        <w:rPr>
          <w:rFonts w:ascii="Times New Roman" w:hAnsi="Times New Roman" w:cs="Times New Roman"/>
          <w:b/>
          <w:i/>
          <w:sz w:val="24"/>
          <w:szCs w:val="24"/>
        </w:rPr>
        <w:t>Z</w:t>
      </w:r>
      <w:r w:rsidRPr="007859C0">
        <w:rPr>
          <w:rFonts w:ascii="Times New Roman" w:hAnsi="Times New Roman" w:cs="Times New Roman"/>
          <w:b/>
          <w:i/>
          <w:sz w:val="24"/>
          <w:szCs w:val="24"/>
        </w:rPr>
        <w:t xml:space="preserve">aujímavosti a zvláštnosti územia, typické črty </w:t>
      </w:r>
    </w:p>
    <w:p w14:paraId="25C47513" w14:textId="77777777" w:rsidR="007859C0" w:rsidRPr="00E225CE" w:rsidRDefault="00DF6F68" w:rsidP="007859C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9C0" w:rsidRPr="00E225CE">
        <w:rPr>
          <w:rFonts w:ascii="Times New Roman" w:hAnsi="Times New Roman" w:cs="Times New Roman"/>
          <w:sz w:val="24"/>
          <w:szCs w:val="24"/>
        </w:rPr>
        <w:t xml:space="preserve">Zjednocujúcim prvkom regiónu je typické kopaničiarske osídlenie s kopcovitým rázom krajiny, pričom obce v regióne sú často rozložené niekedy aj do desiatok kopaníc. S týmto osídlením je spojená aj typická ľudová architektúra – najmä tradičné poľnohospodárske usadlosti s dvojpodlažnými domami s hospodárskymi budovami – maštaľou, stodolou, atď. Aj keď dnes týchto typických domov ubúda, stále sa ich v regióne nájde dostatočný počet. Väčšina z nich pochádza ešte z 19. stor., kedy sa stavali domy z nepálených tehál a strechy pokrývala slama.  Región je charakteristický svojim kopaničiarskym nárečím, ktoré tak trocha pozabúda na mäkčene a ô. K charakteristikám celého Kopaničiarskeho regiónu patrí dominantné postavenie evanjelickej cirkvi, čo je dedičstvom a tradíciou regiónu.  </w:t>
      </w:r>
    </w:p>
    <w:p w14:paraId="7CCC317E" w14:textId="77777777" w:rsidR="007859C0" w:rsidRP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9C0" w:rsidRPr="00E225CE">
        <w:rPr>
          <w:rFonts w:ascii="Times New Roman" w:hAnsi="Times New Roman" w:cs="Times New Roman"/>
          <w:sz w:val="24"/>
          <w:szCs w:val="24"/>
        </w:rPr>
        <w:t xml:space="preserve">Medzi dominujúce znaky oblasti patrí tiež bohatý folklór, a taktiež výroba skvelej domácej slivovice, známej na celom svete a množstvo zachovaných ľudových remesiel, akými sú napr. prútikárstvo, tkáčstvo, hrnčiarstvo. Medzi kultúrne aktivity, ktoré rozvíjajú folklór a tradície a konajú sa každoročne patria folklórne slávnosti v Myjave, od roku 2002 nazývané Medzinárodný folklórny festival Myjava, ktorý je pod záštitou CIOFF (medzinárodnej organizácie folklórnych festivalov a ľudového umenia).  Tie sa konajú vždy v druhej polovici júna v areály v Trnovcoch. Trvajú štyri dni a každoročne ich navštívi až okolo 35 tisíc návštevníkov zo Slovenska ale aj zo zahraničia. </w:t>
      </w:r>
    </w:p>
    <w:p w14:paraId="4093A3F6" w14:textId="77777777" w:rsidR="007859C0" w:rsidRP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9C0" w:rsidRPr="00E225CE">
        <w:rPr>
          <w:rFonts w:ascii="Times New Roman" w:hAnsi="Times New Roman" w:cs="Times New Roman"/>
          <w:sz w:val="24"/>
          <w:szCs w:val="24"/>
        </w:rPr>
        <w:t xml:space="preserve">Poloha regiónu pri hraniciach s ČR má za následok dlhodobé ovplyvňovanie sa dvoch národov – Slovákov a Moravanov. Tí mali medzi sebou vždy dobré vzťahy a boli si nápomocní. Aj po rozdelení ČSFR sa tieto vzťahy udržiavajú naďalej. Medzi najvýznamnejšie podujatie tejto vzájomnej súdržnosti patria každoročné Slávnosti bratstva Čechov a Slovákov na Veľkej Javorine, konajúce sa vždy v poslednú júlovú nedeľu a majú už vyše 160-ročnú tradíciu. </w:t>
      </w:r>
    </w:p>
    <w:p w14:paraId="7B05F180" w14:textId="77777777" w:rsidR="007859C0" w:rsidRP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9C0" w:rsidRPr="00E225CE">
        <w:rPr>
          <w:rFonts w:ascii="Times New Roman" w:hAnsi="Times New Roman" w:cs="Times New Roman"/>
          <w:sz w:val="24"/>
          <w:szCs w:val="24"/>
        </w:rPr>
        <w:t xml:space="preserve">Všetky tieto charakteristické črty regiónu sú výnimočné a neopakovateľné a dodávajú Kopaničiarskemu regiónu jeho špecifickú identitu a tvoria akýsi základ pre jeho Genius loci. </w:t>
      </w:r>
    </w:p>
    <w:p w14:paraId="2E0EB33D" w14:textId="77777777" w:rsidR="00E225CE" w:rsidRDefault="00DF6F68" w:rsidP="00C46B0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225CE" w:rsidRPr="00E225CE">
        <w:rPr>
          <w:rFonts w:ascii="Times New Roman" w:hAnsi="Times New Roman" w:cs="Times New Roman"/>
          <w:sz w:val="24"/>
          <w:szCs w:val="24"/>
        </w:rPr>
        <w:t>Od začiatku 3.</w:t>
      </w:r>
      <w:r w:rsidR="00B03DA6">
        <w:rPr>
          <w:rFonts w:ascii="Times New Roman" w:hAnsi="Times New Roman" w:cs="Times New Roman"/>
          <w:sz w:val="24"/>
          <w:szCs w:val="24"/>
        </w:rPr>
        <w:t xml:space="preserve"> </w:t>
      </w:r>
      <w:r w:rsidR="00E225CE" w:rsidRPr="00E225CE">
        <w:rPr>
          <w:rFonts w:ascii="Times New Roman" w:hAnsi="Times New Roman" w:cs="Times New Roman"/>
          <w:sz w:val="24"/>
          <w:szCs w:val="24"/>
        </w:rPr>
        <w:t>tisícročia zaznamenáva región postupný rozvoj v rôznych oblastiach. Napomohli k tomu aj predvstupové fondy z EÚ akými sú PHARE, SAPARD a ISPA, vďaka k</w:t>
      </w:r>
      <w:r w:rsidR="00B03DA6">
        <w:rPr>
          <w:rFonts w:ascii="Times New Roman" w:hAnsi="Times New Roman" w:cs="Times New Roman"/>
          <w:sz w:val="24"/>
          <w:szCs w:val="24"/>
        </w:rPr>
        <w:t>t</w:t>
      </w:r>
      <w:r w:rsidR="00E225CE" w:rsidRPr="00E225CE">
        <w:rPr>
          <w:rFonts w:ascii="Times New Roman" w:hAnsi="Times New Roman" w:cs="Times New Roman"/>
          <w:sz w:val="24"/>
          <w:szCs w:val="24"/>
        </w:rPr>
        <w:t>orým sa niektorým obciam regiónu podarilo zlepšiť situáciu v sociálnej, ekonomickej, poľnohospodárskej, či inštitucionálnej oblasti. V regióne, či už ako celok (Veľká Javorina-Bradlo, z ktorého Združenie vzniklo), ale aj samosta</w:t>
      </w:r>
      <w:r w:rsidR="00B03DA6">
        <w:rPr>
          <w:rFonts w:ascii="Times New Roman" w:hAnsi="Times New Roman" w:cs="Times New Roman"/>
          <w:sz w:val="24"/>
          <w:szCs w:val="24"/>
        </w:rPr>
        <w:t>t</w:t>
      </w:r>
      <w:r w:rsidR="00E225CE" w:rsidRPr="00E225CE">
        <w:rPr>
          <w:rFonts w:ascii="Times New Roman" w:hAnsi="Times New Roman" w:cs="Times New Roman"/>
          <w:sz w:val="24"/>
          <w:szCs w:val="24"/>
        </w:rPr>
        <w:t>né obce, alebo združenia obcí, majú bohaté skúsenosti aj z čerpania financií zo štrukturálnych fondov EÚ, z Európskeho sociálneho fondu (ESF), Európskeho fondu regionálneho rozvoja (ERDF) a Európskeho poľnohospodárskeho usmerňovacieho a garančného fondu (EAGGF). Bohaté skúsenosti m</w:t>
      </w:r>
      <w:r w:rsidR="002B6198">
        <w:rPr>
          <w:rFonts w:ascii="Times New Roman" w:hAnsi="Times New Roman" w:cs="Times New Roman"/>
          <w:sz w:val="24"/>
          <w:szCs w:val="24"/>
        </w:rPr>
        <w:t>ajú</w:t>
      </w:r>
      <w:r w:rsidR="00E225CE" w:rsidRPr="00E225CE">
        <w:rPr>
          <w:rFonts w:ascii="Times New Roman" w:hAnsi="Times New Roman" w:cs="Times New Roman"/>
          <w:sz w:val="24"/>
          <w:szCs w:val="24"/>
        </w:rPr>
        <w:t xml:space="preserve"> najmä mest</w:t>
      </w:r>
      <w:r w:rsidR="002B6198">
        <w:rPr>
          <w:rFonts w:ascii="Times New Roman" w:hAnsi="Times New Roman" w:cs="Times New Roman"/>
          <w:sz w:val="24"/>
          <w:szCs w:val="24"/>
        </w:rPr>
        <w:t>á</w:t>
      </w:r>
      <w:r w:rsidR="00E225CE" w:rsidRPr="00E225CE">
        <w:rPr>
          <w:rFonts w:ascii="Times New Roman" w:hAnsi="Times New Roman" w:cs="Times New Roman"/>
          <w:sz w:val="24"/>
          <w:szCs w:val="24"/>
        </w:rPr>
        <w:t xml:space="preserve"> Myjava</w:t>
      </w:r>
      <w:r w:rsidR="002B6198">
        <w:rPr>
          <w:rFonts w:ascii="Times New Roman" w:hAnsi="Times New Roman" w:cs="Times New Roman"/>
          <w:sz w:val="24"/>
          <w:szCs w:val="24"/>
        </w:rPr>
        <w:t xml:space="preserve"> a Stará Turá</w:t>
      </w:r>
      <w:r w:rsidR="00E225CE" w:rsidRPr="00E225CE">
        <w:rPr>
          <w:rFonts w:ascii="Times New Roman" w:hAnsi="Times New Roman" w:cs="Times New Roman"/>
          <w:sz w:val="24"/>
          <w:szCs w:val="24"/>
        </w:rPr>
        <w:t>, ktoré pomocou fondov z EÚ db</w:t>
      </w:r>
      <w:r w:rsidR="002B6198">
        <w:rPr>
          <w:rFonts w:ascii="Times New Roman" w:hAnsi="Times New Roman" w:cs="Times New Roman"/>
          <w:sz w:val="24"/>
          <w:szCs w:val="24"/>
        </w:rPr>
        <w:t>ajú</w:t>
      </w:r>
      <w:r w:rsidR="00E225CE" w:rsidRPr="00E225CE">
        <w:rPr>
          <w:rFonts w:ascii="Times New Roman" w:hAnsi="Times New Roman" w:cs="Times New Roman"/>
          <w:sz w:val="24"/>
          <w:szCs w:val="24"/>
        </w:rPr>
        <w:t xml:space="preserve"> nielen na rozvoj samotného mesta, ale aj </w:t>
      </w:r>
      <w:r w:rsidR="002B6198">
        <w:rPr>
          <w:rFonts w:ascii="Times New Roman" w:hAnsi="Times New Roman" w:cs="Times New Roman"/>
          <w:sz w:val="24"/>
          <w:szCs w:val="24"/>
        </w:rPr>
        <w:t xml:space="preserve">ich </w:t>
      </w:r>
      <w:r w:rsidR="00E225CE" w:rsidRPr="00E225CE">
        <w:rPr>
          <w:rFonts w:ascii="Times New Roman" w:hAnsi="Times New Roman" w:cs="Times New Roman"/>
          <w:sz w:val="24"/>
          <w:szCs w:val="24"/>
        </w:rPr>
        <w:t>vidieck</w:t>
      </w:r>
      <w:r w:rsidR="002B6198">
        <w:rPr>
          <w:rFonts w:ascii="Times New Roman" w:hAnsi="Times New Roman" w:cs="Times New Roman"/>
          <w:sz w:val="24"/>
          <w:szCs w:val="24"/>
        </w:rPr>
        <w:t>ych</w:t>
      </w:r>
      <w:r w:rsidR="00E225CE" w:rsidRPr="00E225CE">
        <w:rPr>
          <w:rFonts w:ascii="Times New Roman" w:hAnsi="Times New Roman" w:cs="Times New Roman"/>
          <w:sz w:val="24"/>
          <w:szCs w:val="24"/>
        </w:rPr>
        <w:t xml:space="preserve"> čast</w:t>
      </w:r>
      <w:r w:rsidR="002B6198">
        <w:rPr>
          <w:rFonts w:ascii="Times New Roman" w:hAnsi="Times New Roman" w:cs="Times New Roman"/>
          <w:sz w:val="24"/>
          <w:szCs w:val="24"/>
        </w:rPr>
        <w:t>í, ted</w:t>
      </w:r>
      <w:r w:rsidR="00E225CE" w:rsidRPr="00E225CE">
        <w:rPr>
          <w:rFonts w:ascii="Times New Roman" w:hAnsi="Times New Roman" w:cs="Times New Roman"/>
          <w:sz w:val="24"/>
          <w:szCs w:val="24"/>
        </w:rPr>
        <w:t xml:space="preserve">a kopaníc. </w:t>
      </w:r>
    </w:p>
    <w:p w14:paraId="04FEE8D4" w14:textId="77777777" w:rsidR="002B6198" w:rsidRPr="000856A4" w:rsidRDefault="00DF6F68" w:rsidP="00DF6F68">
      <w:pPr>
        <w:pStyle w:val="Default"/>
        <w:spacing w:line="360" w:lineRule="auto"/>
        <w:rPr>
          <w:color w:val="auto"/>
        </w:rPr>
      </w:pPr>
      <w:r>
        <w:rPr>
          <w:color w:val="auto"/>
        </w:rPr>
        <w:tab/>
      </w:r>
      <w:r w:rsidR="002B6198">
        <w:rPr>
          <w:color w:val="auto"/>
        </w:rPr>
        <w:t xml:space="preserve">Samotné OZ Kopaničiarsky región – MAS </w:t>
      </w:r>
      <w:r w:rsidR="002B6198" w:rsidRPr="000856A4">
        <w:rPr>
          <w:color w:val="auto"/>
        </w:rPr>
        <w:t>má bohaté skúsenosti s realizáciou projektov, pričom zo všetkých slovenských MAS ich zrealizoval najviac.</w:t>
      </w:r>
      <w:r w:rsidR="002B6198">
        <w:rPr>
          <w:color w:val="auto"/>
        </w:rPr>
        <w:t xml:space="preserve"> </w:t>
      </w:r>
      <w:r w:rsidR="002B6198" w:rsidRPr="00812CF0">
        <w:rPr>
          <w:color w:val="auto"/>
        </w:rPr>
        <w:t xml:space="preserve">Vzhľadom na množstvo </w:t>
      </w:r>
      <w:r w:rsidR="002B6198">
        <w:rPr>
          <w:color w:val="auto"/>
        </w:rPr>
        <w:t xml:space="preserve">ďalších </w:t>
      </w:r>
      <w:r w:rsidR="002B6198" w:rsidRPr="00812CF0">
        <w:rPr>
          <w:color w:val="auto"/>
        </w:rPr>
        <w:t>aktivít, ktoré v rám</w:t>
      </w:r>
      <w:r w:rsidR="002B6198">
        <w:rPr>
          <w:color w:val="auto"/>
        </w:rPr>
        <w:t>ci regiónu KR – MAS riešila bolo</w:t>
      </w:r>
      <w:r w:rsidR="002B6198" w:rsidRPr="00812CF0">
        <w:rPr>
          <w:color w:val="auto"/>
        </w:rPr>
        <w:t xml:space="preserve"> vytvorené v kancelárii 4. pracovné miesto </w:t>
      </w:r>
      <w:r w:rsidR="002B6198">
        <w:rPr>
          <w:color w:val="auto"/>
        </w:rPr>
        <w:t xml:space="preserve">- </w:t>
      </w:r>
      <w:r w:rsidR="002B6198" w:rsidRPr="00812CF0">
        <w:rPr>
          <w:i/>
          <w:color w:val="auto"/>
        </w:rPr>
        <w:t>Špecialista pre regionálny rozvoj a rozvoj vidieka</w:t>
      </w:r>
      <w:r w:rsidR="002B6198">
        <w:rPr>
          <w:i/>
          <w:color w:val="auto"/>
        </w:rPr>
        <w:t>.</w:t>
      </w:r>
    </w:p>
    <w:p w14:paraId="4236D34C" w14:textId="77777777" w:rsidR="002B6198" w:rsidRPr="00C53EB1" w:rsidRDefault="002B6198" w:rsidP="002B6198">
      <w:pPr>
        <w:pStyle w:val="Default"/>
        <w:spacing w:before="120" w:line="360" w:lineRule="auto"/>
        <w:rPr>
          <w:color w:val="auto"/>
        </w:rPr>
      </w:pPr>
      <w:r w:rsidRPr="00C53EB1">
        <w:rPr>
          <w:color w:val="auto"/>
        </w:rPr>
        <w:t xml:space="preserve">V rámci PRV </w:t>
      </w:r>
      <w:r w:rsidRPr="00C53EB1">
        <w:t>SR 2007 – 2013,</w:t>
      </w:r>
      <w:r w:rsidRPr="00C53EB1">
        <w:rPr>
          <w:color w:val="auto"/>
        </w:rPr>
        <w:t xml:space="preserve"> opatrenia 4.2 Vykonávanie projektov spolupráce zrealizoval 2 projekty nadnárodnej spolupráce:</w:t>
      </w:r>
    </w:p>
    <w:p w14:paraId="4C54F2FC" w14:textId="77777777" w:rsidR="002B6198" w:rsidRPr="00C53EB1" w:rsidRDefault="002B6198" w:rsidP="003301D6">
      <w:pPr>
        <w:pStyle w:val="Default"/>
        <w:numPr>
          <w:ilvl w:val="0"/>
          <w:numId w:val="2"/>
        </w:numPr>
        <w:spacing w:line="360" w:lineRule="auto"/>
        <w:ind w:left="426"/>
        <w:rPr>
          <w:color w:val="auto"/>
        </w:rPr>
      </w:pPr>
      <w:r w:rsidRPr="00C53EB1">
        <w:rPr>
          <w:color w:val="auto"/>
        </w:rPr>
        <w:t>Dňa 31.05.2011 podala KR - MAS žiadosť o nenávratný finančný príspevok na projekt „</w:t>
      </w:r>
      <w:r w:rsidRPr="00C53EB1">
        <w:rPr>
          <w:b/>
          <w:color w:val="auto"/>
        </w:rPr>
        <w:t>Oživujeme vidiecke stavby na Morave a Myjave</w:t>
      </w:r>
      <w:r w:rsidRPr="00C53EB1">
        <w:rPr>
          <w:color w:val="auto"/>
        </w:rPr>
        <w:t>“ v spolupráci s </w:t>
      </w:r>
      <w:r w:rsidRPr="00C53EB1">
        <w:rPr>
          <w:b/>
          <w:i/>
          <w:color w:val="auto"/>
        </w:rPr>
        <w:t>MAS Horňácko a Ostrožsko a MAS Strážnicko</w:t>
      </w:r>
      <w:r w:rsidRPr="00C53EB1">
        <w:rPr>
          <w:color w:val="auto"/>
        </w:rPr>
        <w:t xml:space="preserve">. Zmluva </w:t>
      </w:r>
      <w:r w:rsidRPr="00C53EB1">
        <w:rPr>
          <w:bdr w:val="none" w:sz="0" w:space="0" w:color="auto" w:frame="1"/>
        </w:rPr>
        <w:t>s PPA</w:t>
      </w:r>
      <w:r w:rsidRPr="00C53EB1">
        <w:rPr>
          <w:color w:val="auto"/>
        </w:rPr>
        <w:t xml:space="preserve"> o poskytnutí NFP bola podpísaná 22.9.2011. Projekt bol zameraný na rozšírenie tradičného zariadenia Gazdovského dvora v Myjave o sušiareň ovocia a vstavanú chlebovú pec, podporu tradičných remeselníkov a výrobcov. Výstupom bola i publikácia o spracovaní ovocia vo všetkých troch partnerských regiónoch. Ukončený bol v decembri 2012.</w:t>
      </w:r>
    </w:p>
    <w:p w14:paraId="71FA885B" w14:textId="77777777" w:rsidR="002B6198" w:rsidRPr="00C53EB1" w:rsidRDefault="002B6198" w:rsidP="003301D6">
      <w:pPr>
        <w:numPr>
          <w:ilvl w:val="0"/>
          <w:numId w:val="2"/>
        </w:numPr>
        <w:spacing w:before="120" w:after="0" w:line="360" w:lineRule="auto"/>
        <w:ind w:left="425" w:hanging="357"/>
        <w:jc w:val="both"/>
        <w:rPr>
          <w:rFonts w:ascii="Times New Roman" w:hAnsi="Times New Roman" w:cs="Times New Roman"/>
          <w:sz w:val="24"/>
          <w:szCs w:val="24"/>
          <w:bdr w:val="none" w:sz="0" w:space="0" w:color="auto" w:frame="1"/>
        </w:rPr>
      </w:pPr>
      <w:r w:rsidRPr="00C53EB1">
        <w:rPr>
          <w:rFonts w:ascii="Times New Roman" w:hAnsi="Times New Roman" w:cs="Times New Roman"/>
          <w:sz w:val="24"/>
          <w:szCs w:val="24"/>
        </w:rPr>
        <w:t>Dňa 30.3.2012 bola podaná v spolupráci s </w:t>
      </w:r>
      <w:r w:rsidRPr="00C53EB1">
        <w:rPr>
          <w:rFonts w:ascii="Times New Roman" w:hAnsi="Times New Roman" w:cs="Times New Roman"/>
          <w:b/>
          <w:i/>
          <w:sz w:val="24"/>
          <w:szCs w:val="24"/>
        </w:rPr>
        <w:t>MAS Horňácko a Ostrožsko</w:t>
      </w:r>
      <w:r w:rsidRPr="00C53EB1">
        <w:rPr>
          <w:rFonts w:ascii="Times New Roman" w:hAnsi="Times New Roman" w:cs="Times New Roman"/>
          <w:sz w:val="24"/>
          <w:szCs w:val="24"/>
        </w:rPr>
        <w:t xml:space="preserve"> žiadosť o NFP na realizáciu projektu </w:t>
      </w:r>
      <w:r w:rsidRPr="00C53EB1">
        <w:rPr>
          <w:rFonts w:ascii="Times New Roman" w:hAnsi="Times New Roman" w:cs="Times New Roman"/>
          <w:b/>
          <w:sz w:val="24"/>
          <w:szCs w:val="24"/>
        </w:rPr>
        <w:t>„Chodníčky za poznaním slovensko-moravského pohraničia“</w:t>
      </w:r>
      <w:r w:rsidRPr="00C53EB1">
        <w:rPr>
          <w:rFonts w:ascii="Times New Roman" w:hAnsi="Times New Roman" w:cs="Times New Roman"/>
          <w:sz w:val="24"/>
          <w:szCs w:val="24"/>
        </w:rPr>
        <w:t>. Z</w:t>
      </w:r>
      <w:r w:rsidRPr="00C53EB1">
        <w:rPr>
          <w:rFonts w:ascii="Times New Roman" w:hAnsi="Times New Roman" w:cs="Times New Roman"/>
          <w:sz w:val="24"/>
          <w:szCs w:val="24"/>
          <w:bdr w:val="none" w:sz="0" w:space="0" w:color="auto" w:frame="1"/>
        </w:rPr>
        <w:t>mluva s PPA na jeho realizáciu bola podpísaná 31.10.2012. Predmetom projektu na slovenskej strane bol</w:t>
      </w:r>
      <w:r>
        <w:rPr>
          <w:rFonts w:ascii="Times New Roman" w:hAnsi="Times New Roman" w:cs="Times New Roman"/>
          <w:sz w:val="24"/>
          <w:szCs w:val="24"/>
          <w:bdr w:val="none" w:sz="0" w:space="0" w:color="auto" w:frame="1"/>
        </w:rPr>
        <w:t>o</w:t>
      </w:r>
      <w:r w:rsidRPr="00C53EB1">
        <w:rPr>
          <w:rFonts w:ascii="Times New Roman" w:hAnsi="Times New Roman" w:cs="Times New Roman"/>
          <w:sz w:val="24"/>
          <w:szCs w:val="24"/>
          <w:bdr w:val="none" w:sz="0" w:space="0" w:color="auto" w:frame="1"/>
        </w:rPr>
        <w:t xml:space="preserve"> vytvorenie siedmych náučných chodníčkov, na ktorých boli osadené vysvetľujúce panely so zaujímavosťami z regiónu. Súčasťou projektu boli i sprievodné aktivity, ako napr. spoločné stretnutie Klubu turistov Ostrožskej Lhoty a Kopaničiarskeho regiónu. Ukončený bol v auguste 2013.</w:t>
      </w:r>
    </w:p>
    <w:p w14:paraId="334E10F5" w14:textId="77777777" w:rsidR="002B6198" w:rsidRPr="00C53EB1" w:rsidRDefault="002B6198" w:rsidP="002B6198">
      <w:pPr>
        <w:spacing w:before="120" w:after="0" w:line="360" w:lineRule="auto"/>
        <w:ind w:left="68"/>
        <w:jc w:val="both"/>
        <w:rPr>
          <w:rFonts w:ascii="Times New Roman" w:hAnsi="Times New Roman" w:cs="Times New Roman"/>
          <w:sz w:val="24"/>
          <w:szCs w:val="24"/>
          <w:bdr w:val="none" w:sz="0" w:space="0" w:color="auto" w:frame="1"/>
        </w:rPr>
      </w:pPr>
      <w:r w:rsidRPr="00C53EB1">
        <w:rPr>
          <w:rFonts w:ascii="Times New Roman" w:hAnsi="Times New Roman" w:cs="Times New Roman"/>
          <w:sz w:val="24"/>
          <w:szCs w:val="24"/>
          <w:bdr w:val="none" w:sz="0" w:space="0" w:color="auto" w:frame="1"/>
        </w:rPr>
        <w:t xml:space="preserve">V rámci poslednej výzvy v auguste 2013 na projekty spolupráce predložil KR – MAS 3 projekty národnej spolupráce, pričom všetky 3 boli schválené. Jedná sa o tieto projekty: </w:t>
      </w:r>
    </w:p>
    <w:p w14:paraId="54ED5142" w14:textId="77777777" w:rsidR="002B6198" w:rsidRPr="00C53EB1" w:rsidRDefault="002B6198" w:rsidP="003301D6">
      <w:pPr>
        <w:pStyle w:val="Odsekzoznamu"/>
        <w:numPr>
          <w:ilvl w:val="0"/>
          <w:numId w:val="2"/>
        </w:numPr>
        <w:spacing w:before="120" w:after="0" w:line="360" w:lineRule="auto"/>
        <w:ind w:left="425" w:hanging="357"/>
        <w:contextualSpacing w:val="0"/>
        <w:jc w:val="both"/>
        <w:rPr>
          <w:rFonts w:ascii="Times New Roman" w:hAnsi="Times New Roman" w:cs="Times New Roman"/>
          <w:b/>
          <w:sz w:val="24"/>
          <w:szCs w:val="24"/>
          <w:bdr w:val="none" w:sz="0" w:space="0" w:color="auto" w:frame="1"/>
        </w:rPr>
      </w:pPr>
      <w:r w:rsidRPr="00725985">
        <w:rPr>
          <w:rFonts w:ascii="Times New Roman" w:hAnsi="Times New Roman" w:cs="Times New Roman"/>
          <w:b/>
          <w:sz w:val="24"/>
          <w:szCs w:val="24"/>
          <w:bdr w:val="none" w:sz="0" w:space="0" w:color="auto" w:frame="1"/>
        </w:rPr>
        <w:lastRenderedPageBreak/>
        <w:t>„Podpora regionálnych produktov z Kopaníc a</w:t>
      </w:r>
      <w:r>
        <w:rPr>
          <w:rFonts w:ascii="Times New Roman" w:hAnsi="Times New Roman" w:cs="Times New Roman"/>
          <w:b/>
          <w:sz w:val="24"/>
          <w:szCs w:val="24"/>
          <w:bdr w:val="none" w:sz="0" w:space="0" w:color="auto" w:frame="1"/>
        </w:rPr>
        <w:t> </w:t>
      </w:r>
      <w:r w:rsidRPr="00725985">
        <w:rPr>
          <w:rFonts w:ascii="Times New Roman" w:hAnsi="Times New Roman" w:cs="Times New Roman"/>
          <w:b/>
          <w:sz w:val="24"/>
          <w:szCs w:val="24"/>
          <w:bdr w:val="none" w:sz="0" w:space="0" w:color="auto" w:frame="1"/>
        </w:rPr>
        <w:t>Záhoria</w:t>
      </w:r>
      <w:r>
        <w:rPr>
          <w:rFonts w:ascii="Times New Roman" w:hAnsi="Times New Roman" w:cs="Times New Roman"/>
          <w:b/>
          <w:sz w:val="24"/>
          <w:szCs w:val="24"/>
          <w:bdr w:val="none" w:sz="0" w:space="0" w:color="auto" w:frame="1"/>
        </w:rPr>
        <w:t>“</w:t>
      </w:r>
      <w:r w:rsidRPr="00725985">
        <w:rPr>
          <w:rFonts w:ascii="Times New Roman" w:hAnsi="Times New Roman" w:cs="Times New Roman"/>
          <w:sz w:val="24"/>
          <w:szCs w:val="24"/>
          <w:bdr w:val="none" w:sz="0" w:space="0" w:color="auto" w:frame="1"/>
        </w:rPr>
        <w:t>, na ktorom KR – MAS ako</w:t>
      </w:r>
      <w:r w:rsidRPr="00C53EB1">
        <w:rPr>
          <w:rFonts w:ascii="Times New Roman" w:hAnsi="Times New Roman" w:cs="Times New Roman"/>
          <w:sz w:val="24"/>
          <w:szCs w:val="24"/>
          <w:bdr w:val="none" w:sz="0" w:space="0" w:color="auto" w:frame="1"/>
        </w:rPr>
        <w:t xml:space="preserve"> Koordinačná MAS spolupracovala s </w:t>
      </w:r>
      <w:r w:rsidRPr="00C53EB1">
        <w:rPr>
          <w:rFonts w:ascii="Times New Roman" w:hAnsi="Times New Roman" w:cs="Times New Roman"/>
          <w:b/>
          <w:i/>
          <w:sz w:val="24"/>
          <w:szCs w:val="24"/>
          <w:bdr w:val="none" w:sz="0" w:space="0" w:color="auto" w:frame="1"/>
        </w:rPr>
        <w:t>MAS Podhoran a VSP Horné Záhorie</w:t>
      </w:r>
      <w:r w:rsidRPr="00C53EB1">
        <w:rPr>
          <w:rFonts w:ascii="Times New Roman" w:hAnsi="Times New Roman" w:cs="Times New Roman"/>
          <w:sz w:val="24"/>
          <w:szCs w:val="24"/>
          <w:bdr w:val="none" w:sz="0" w:space="0" w:color="auto" w:frame="1"/>
        </w:rPr>
        <w:t xml:space="preserve">. Cieľom projektu bolo zavedenie systému regionálneho značenia služieb na území Kopaničiarskeho regiónu, oživenie značky </w:t>
      </w:r>
      <w:r w:rsidRPr="00C53EB1">
        <w:rPr>
          <w:rFonts w:ascii="Times New Roman" w:hAnsi="Times New Roman" w:cs="Times New Roman"/>
          <w:i/>
          <w:sz w:val="24"/>
          <w:szCs w:val="24"/>
          <w:bdr w:val="none" w:sz="0" w:space="0" w:color="auto" w:frame="1"/>
        </w:rPr>
        <w:t>Záhorie regionálny produkt</w:t>
      </w:r>
      <w:r w:rsidRPr="00C53EB1">
        <w:rPr>
          <w:rFonts w:ascii="Times New Roman" w:hAnsi="Times New Roman" w:cs="Times New Roman"/>
          <w:sz w:val="24"/>
          <w:szCs w:val="24"/>
          <w:bdr w:val="none" w:sz="0" w:space="0" w:color="auto" w:frame="1"/>
        </w:rPr>
        <w:t xml:space="preserve"> a jej rozšírenie do severnejších častí tohto regiónu, podpora miestnych ľudí v regiónoch, ktorí vytvárajú hodnoty, venujú sa tradičným remeslám súvisiacich s danou oblasťou alebo vyrábajú produkty zachovanými tradičnými výrobnými postupmi, ktoré šetria prírodné zdroje a životné prostredie, podporiť spoluprácu miestnych výrobcov a poskytovateľov služieb a podporiť aktivitu partnerstva uchádzajúceho sa o štatút MAS prostredníctvom prenosu skúseností z dvoch fungujúcich MAS. V rámci projektu sa vytvorili materiály propagujúce úspešných uchádzačov o regionálne značky a vybudovala sa Izba ľudových tradícií, remesiel a regionálnych výrobkov, kde bolo vytvorené 1 pracovné miesto -</w:t>
      </w:r>
      <w:r w:rsidRPr="00C53EB1">
        <w:rPr>
          <w:rFonts w:ascii="Times New Roman" w:hAnsi="Times New Roman" w:cs="Times New Roman"/>
          <w:sz w:val="24"/>
          <w:szCs w:val="24"/>
        </w:rPr>
        <w:t xml:space="preserve"> </w:t>
      </w:r>
      <w:r w:rsidRPr="00C53EB1">
        <w:rPr>
          <w:rFonts w:ascii="Times New Roman" w:hAnsi="Times New Roman" w:cs="Times New Roman"/>
          <w:sz w:val="24"/>
          <w:szCs w:val="24"/>
          <w:bdr w:val="none" w:sz="0" w:space="0" w:color="auto" w:frame="1"/>
        </w:rPr>
        <w:t xml:space="preserve">Špecialista pre tvorbu koncepcií a propagáciu cestovného ruchu. Je tu možné zakúpiť si produkty, ktoré získali regionálnu značku </w:t>
      </w:r>
      <w:r w:rsidRPr="00C53EB1">
        <w:rPr>
          <w:rFonts w:ascii="Times New Roman" w:hAnsi="Times New Roman" w:cs="Times New Roman"/>
          <w:i/>
          <w:sz w:val="24"/>
          <w:szCs w:val="24"/>
          <w:bdr w:val="none" w:sz="0" w:space="0" w:color="auto" w:frame="1"/>
        </w:rPr>
        <w:t>Kopanice regionálny produkt</w:t>
      </w:r>
      <w:r>
        <w:rPr>
          <w:rFonts w:ascii="Times New Roman" w:hAnsi="Times New Roman" w:cs="Times New Roman"/>
          <w:i/>
          <w:sz w:val="24"/>
          <w:szCs w:val="24"/>
          <w:bdr w:val="none" w:sz="0" w:space="0" w:color="auto" w:frame="1"/>
        </w:rPr>
        <w:t>.</w:t>
      </w:r>
    </w:p>
    <w:p w14:paraId="2F532B0B" w14:textId="77777777" w:rsidR="002B6198" w:rsidRPr="00C53EB1" w:rsidRDefault="002B6198" w:rsidP="003301D6">
      <w:pPr>
        <w:pStyle w:val="Odsekzoznamu"/>
        <w:numPr>
          <w:ilvl w:val="0"/>
          <w:numId w:val="2"/>
        </w:numPr>
        <w:spacing w:before="120" w:after="0" w:line="360" w:lineRule="auto"/>
        <w:ind w:left="425" w:hanging="357"/>
        <w:contextualSpacing w:val="0"/>
        <w:jc w:val="both"/>
        <w:rPr>
          <w:rFonts w:ascii="Times New Roman" w:hAnsi="Times New Roman" w:cs="Times New Roman"/>
          <w:b/>
          <w:sz w:val="24"/>
          <w:szCs w:val="24"/>
          <w:bdr w:val="none" w:sz="0" w:space="0" w:color="auto" w:frame="1"/>
        </w:rPr>
      </w:pPr>
      <w:r w:rsidRPr="00C53EB1">
        <w:rPr>
          <w:rFonts w:ascii="Times New Roman" w:hAnsi="Times New Roman" w:cs="Times New Roman"/>
          <w:sz w:val="24"/>
          <w:szCs w:val="24"/>
          <w:bdr w:val="none" w:sz="0" w:space="0" w:color="auto" w:frame="1"/>
        </w:rPr>
        <w:t>Ako</w:t>
      </w:r>
      <w:r w:rsidRPr="00C53EB1">
        <w:rPr>
          <w:rFonts w:ascii="Times New Roman" w:hAnsi="Times New Roman" w:cs="Times New Roman"/>
          <w:b/>
          <w:sz w:val="24"/>
          <w:szCs w:val="24"/>
          <w:bdr w:val="none" w:sz="0" w:space="0" w:color="auto" w:frame="1"/>
        </w:rPr>
        <w:t xml:space="preserve"> </w:t>
      </w:r>
      <w:r w:rsidRPr="00C53EB1">
        <w:rPr>
          <w:rFonts w:ascii="Times New Roman" w:hAnsi="Times New Roman" w:cs="Times New Roman"/>
          <w:sz w:val="24"/>
          <w:szCs w:val="24"/>
          <w:bdr w:val="none" w:sz="0" w:space="0" w:color="auto" w:frame="1"/>
        </w:rPr>
        <w:t>Koordinačná MAS</w:t>
      </w:r>
      <w:r w:rsidRPr="00C53EB1">
        <w:rPr>
          <w:rFonts w:ascii="Times New Roman" w:hAnsi="Times New Roman" w:cs="Times New Roman"/>
          <w:b/>
          <w:sz w:val="24"/>
          <w:szCs w:val="24"/>
          <w:bdr w:val="none" w:sz="0" w:space="0" w:color="auto" w:frame="1"/>
        </w:rPr>
        <w:t xml:space="preserve"> </w:t>
      </w:r>
      <w:r w:rsidRPr="00C53EB1">
        <w:rPr>
          <w:rFonts w:ascii="Times New Roman" w:hAnsi="Times New Roman" w:cs="Times New Roman"/>
          <w:sz w:val="24"/>
          <w:szCs w:val="24"/>
          <w:bdr w:val="none" w:sz="0" w:space="0" w:color="auto" w:frame="1"/>
        </w:rPr>
        <w:t>realizovala KR – MAS aj projekt</w:t>
      </w:r>
      <w:r w:rsidRPr="00C53EB1">
        <w:rPr>
          <w:rFonts w:ascii="Times New Roman" w:hAnsi="Times New Roman" w:cs="Times New Roman"/>
          <w:b/>
          <w:sz w:val="24"/>
          <w:szCs w:val="24"/>
          <w:bdr w:val="none" w:sz="0" w:space="0" w:color="auto" w:frame="1"/>
        </w:rPr>
        <w:t xml:space="preserve"> „Osobnosti našej histórie“ </w:t>
      </w:r>
      <w:r w:rsidRPr="00C53EB1">
        <w:rPr>
          <w:rFonts w:ascii="Times New Roman" w:hAnsi="Times New Roman" w:cs="Times New Roman"/>
          <w:sz w:val="24"/>
          <w:szCs w:val="24"/>
          <w:bdr w:val="none" w:sz="0" w:space="0" w:color="auto" w:frame="1"/>
        </w:rPr>
        <w:t>a to v spolupráci s </w:t>
      </w:r>
      <w:r w:rsidRPr="00C53EB1">
        <w:rPr>
          <w:rFonts w:ascii="Times New Roman" w:hAnsi="Times New Roman" w:cs="Times New Roman"/>
          <w:b/>
          <w:i/>
          <w:sz w:val="24"/>
          <w:szCs w:val="24"/>
          <w:bdr w:val="none" w:sz="0" w:space="0" w:color="auto" w:frame="1"/>
        </w:rPr>
        <w:t>MAS Vršatec</w:t>
      </w:r>
      <w:r w:rsidRPr="00C53EB1">
        <w:rPr>
          <w:rFonts w:ascii="Times New Roman" w:hAnsi="Times New Roman" w:cs="Times New Roman"/>
          <w:sz w:val="24"/>
          <w:szCs w:val="24"/>
          <w:bdr w:val="none" w:sz="0" w:space="0" w:color="auto" w:frame="1"/>
        </w:rPr>
        <w:t>. Hlavnou aktivitou projektu KR – MAS bolo zrekonštruovanie miestnosti v budove Národného domu Štefánikovho v Brezovej pod Bradlom, z ktorej bola zriadená Pamätná izba Dušana Samuela Jurkoviča. Boli v nej umiestnené rôzne panely určené pre informačné tabule, artefakty zo života tohto n</w:t>
      </w:r>
      <w:r>
        <w:rPr>
          <w:rFonts w:ascii="Times New Roman" w:hAnsi="Times New Roman" w:cs="Times New Roman"/>
          <w:sz w:val="24"/>
          <w:szCs w:val="24"/>
          <w:bdr w:val="none" w:sz="0" w:space="0" w:color="auto" w:frame="1"/>
        </w:rPr>
        <w:t>aj</w:t>
      </w:r>
      <w:r w:rsidRPr="00C53EB1">
        <w:rPr>
          <w:rFonts w:ascii="Times New Roman" w:hAnsi="Times New Roman" w:cs="Times New Roman"/>
          <w:sz w:val="24"/>
          <w:szCs w:val="24"/>
          <w:bdr w:val="none" w:sz="0" w:space="0" w:color="auto" w:frame="1"/>
        </w:rPr>
        <w:t>významnejšieho česko-slovenského architekta svojej doby i vosková figurína Dušana Samuela Jurkoviča v životnej veľkosti. Tiež tu bola umiestnená technológia ako je veľkoplošný televízor a dotykový monitor, kde býva exkurziám premietaný film zo smútočného obradu M. R. Štefánika, alebo je možné tu vidieť virtuálnu prehliadku 24 diel z jeho tvorby či otestovať sa v interaktívnom výučbovom kvíze o živote a dielach tohto architekta. Virtuálna prehliadka sa nachádza na stránke</w:t>
      </w:r>
      <w:r>
        <w:rPr>
          <w:rFonts w:ascii="Times New Roman" w:hAnsi="Times New Roman" w:cs="Times New Roman"/>
          <w:sz w:val="24"/>
          <w:szCs w:val="24"/>
          <w:bdr w:val="none" w:sz="0" w:space="0" w:color="auto" w:frame="1"/>
        </w:rPr>
        <w:t xml:space="preserve"> </w:t>
      </w:r>
      <w:hyperlink r:id="rId10" w:history="1">
        <w:r w:rsidRPr="00C53EB1">
          <w:rPr>
            <w:rStyle w:val="Hypertextovprepojenie"/>
            <w:rFonts w:ascii="Times New Roman" w:hAnsi="Times New Roman" w:cs="Times New Roman"/>
            <w:sz w:val="24"/>
            <w:szCs w:val="24"/>
            <w:bdr w:val="none" w:sz="0" w:space="0" w:color="auto" w:frame="1"/>
          </w:rPr>
          <w:t>www.kopaniciarskyregion.sk</w:t>
        </w:r>
      </w:hyperlink>
      <w:r w:rsidRPr="00C53EB1">
        <w:rPr>
          <w:rFonts w:ascii="Times New Roman" w:hAnsi="Times New Roman" w:cs="Times New Roman"/>
          <w:sz w:val="24"/>
          <w:szCs w:val="24"/>
          <w:bdr w:val="none" w:sz="0" w:space="0" w:color="auto" w:frame="1"/>
        </w:rPr>
        <w:t>. V rámci projektu bolo vytvorené 1 pracovné miesto.</w:t>
      </w:r>
    </w:p>
    <w:p w14:paraId="24A70536" w14:textId="77777777" w:rsidR="002B6198" w:rsidRPr="00C53EB1" w:rsidRDefault="002B6198" w:rsidP="003301D6">
      <w:pPr>
        <w:pStyle w:val="Odsekzoznamu"/>
        <w:numPr>
          <w:ilvl w:val="0"/>
          <w:numId w:val="2"/>
        </w:numPr>
        <w:spacing w:before="120" w:after="0" w:line="360" w:lineRule="auto"/>
        <w:ind w:left="425" w:hanging="357"/>
        <w:contextualSpacing w:val="0"/>
        <w:jc w:val="both"/>
        <w:rPr>
          <w:rFonts w:ascii="Times New Roman" w:hAnsi="Times New Roman" w:cs="Times New Roman"/>
          <w:b/>
          <w:sz w:val="24"/>
          <w:szCs w:val="24"/>
          <w:bdr w:val="none" w:sz="0" w:space="0" w:color="auto" w:frame="1"/>
        </w:rPr>
      </w:pPr>
      <w:r w:rsidRPr="00C53EB1">
        <w:rPr>
          <w:rFonts w:ascii="Times New Roman" w:hAnsi="Times New Roman" w:cs="Times New Roman"/>
          <w:b/>
          <w:sz w:val="24"/>
          <w:szCs w:val="24"/>
          <w:bdr w:val="none" w:sz="0" w:space="0" w:color="auto" w:frame="1"/>
        </w:rPr>
        <w:t xml:space="preserve">„Spoznávame krásy našich regiónov“ </w:t>
      </w:r>
      <w:r w:rsidRPr="00C53EB1">
        <w:rPr>
          <w:rFonts w:ascii="Times New Roman" w:hAnsi="Times New Roman" w:cs="Times New Roman"/>
          <w:sz w:val="24"/>
          <w:szCs w:val="24"/>
          <w:bdr w:val="none" w:sz="0" w:space="0" w:color="auto" w:frame="1"/>
        </w:rPr>
        <w:t xml:space="preserve">bol projekt realizovaný v spolupráci s MAS Svornosť, ktorá v tomto prípade bola Koordinačnou MAS. Na strane KR – MAS bol dobudovaním </w:t>
      </w:r>
      <w:r w:rsidRPr="00C53EB1">
        <w:rPr>
          <w:rFonts w:ascii="Times New Roman" w:hAnsi="Times New Roman" w:cs="Times New Roman"/>
          <w:i/>
          <w:sz w:val="24"/>
          <w:szCs w:val="24"/>
          <w:bdr w:val="none" w:sz="0" w:space="0" w:color="auto" w:frame="1"/>
        </w:rPr>
        <w:t>Náučného chodníka Drgoňova - Durcova dolina</w:t>
      </w:r>
      <w:r w:rsidRPr="00C53EB1">
        <w:rPr>
          <w:rFonts w:ascii="Times New Roman" w:hAnsi="Times New Roman" w:cs="Times New Roman"/>
          <w:sz w:val="24"/>
          <w:szCs w:val="24"/>
          <w:bdr w:val="none" w:sz="0" w:space="0" w:color="auto" w:frame="1"/>
        </w:rPr>
        <w:t xml:space="preserve"> v k. ú. Stará Turá, značenia na vybudovaných náučných chodníkoch a </w:t>
      </w:r>
      <w:r w:rsidRPr="00C53EB1">
        <w:rPr>
          <w:rFonts w:ascii="Times New Roman" w:hAnsi="Times New Roman" w:cs="Times New Roman"/>
          <w:i/>
          <w:sz w:val="24"/>
          <w:szCs w:val="24"/>
          <w:bdr w:val="none" w:sz="0" w:space="0" w:color="auto" w:frame="1"/>
        </w:rPr>
        <w:t>Kopaničiarskej ovocno-destilátovej cesty</w:t>
      </w:r>
      <w:r w:rsidRPr="00C53EB1">
        <w:rPr>
          <w:rFonts w:ascii="Times New Roman" w:hAnsi="Times New Roman" w:cs="Times New Roman"/>
          <w:sz w:val="24"/>
          <w:szCs w:val="24"/>
          <w:bdr w:val="none" w:sz="0" w:space="0" w:color="auto" w:frame="1"/>
        </w:rPr>
        <w:t xml:space="preserve">, či vytvorením </w:t>
      </w:r>
      <w:r w:rsidRPr="00C53EB1">
        <w:rPr>
          <w:rFonts w:ascii="Times New Roman" w:hAnsi="Times New Roman" w:cs="Times New Roman"/>
          <w:i/>
          <w:sz w:val="24"/>
          <w:szCs w:val="24"/>
          <w:bdr w:val="none" w:sz="0" w:space="0" w:color="auto" w:frame="1"/>
        </w:rPr>
        <w:t>Malého historického okruhu v meste Myjava</w:t>
      </w:r>
      <w:r w:rsidRPr="00C53EB1">
        <w:rPr>
          <w:rFonts w:ascii="Times New Roman" w:hAnsi="Times New Roman" w:cs="Times New Roman"/>
          <w:sz w:val="24"/>
          <w:szCs w:val="24"/>
          <w:bdr w:val="none" w:sz="0" w:space="0" w:color="auto" w:frame="1"/>
        </w:rPr>
        <w:t xml:space="preserve"> vytvorený základ pre etablovanie rôznych tematických „turistických balíčkov“, ktoré sú dnes ponúkané turistom v kopaničiarskom regióne.</w:t>
      </w:r>
    </w:p>
    <w:p w14:paraId="367FB5A5" w14:textId="77777777" w:rsidR="002B6198" w:rsidRPr="00C53EB1" w:rsidRDefault="002B6198" w:rsidP="002B6198">
      <w:pPr>
        <w:pStyle w:val="Default"/>
        <w:spacing w:before="120" w:line="360" w:lineRule="auto"/>
        <w:rPr>
          <w:color w:val="auto"/>
        </w:rPr>
      </w:pPr>
      <w:r w:rsidRPr="00C53EB1">
        <w:rPr>
          <w:color w:val="auto"/>
        </w:rPr>
        <w:lastRenderedPageBreak/>
        <w:t>Vzhľadom na novovytvorenú pracovnú pozíciu si KR – MAS dovolila predkladať aj projekty do Programu cezhraničnej spolupráce SR – ČR 2007 – 2013, pričom najskôr to bolo iba prostredníctvom Fondu mikroprojektov, ktorý na slovenskej strane spravuje Trenčiansky samosprávny kraj. Ide o nasledovné projekty:</w:t>
      </w:r>
    </w:p>
    <w:p w14:paraId="5C684A4A" w14:textId="77777777" w:rsidR="002B6198" w:rsidRPr="00C53EB1" w:rsidRDefault="002B6198" w:rsidP="003301D6">
      <w:pPr>
        <w:pStyle w:val="Default"/>
        <w:numPr>
          <w:ilvl w:val="0"/>
          <w:numId w:val="2"/>
        </w:numPr>
        <w:spacing w:line="360" w:lineRule="auto"/>
        <w:ind w:left="426"/>
        <w:rPr>
          <w:color w:val="auto"/>
        </w:rPr>
      </w:pPr>
      <w:r w:rsidRPr="00C53EB1">
        <w:rPr>
          <w:color w:val="auto"/>
        </w:rPr>
        <w:t xml:space="preserve">V priebehu roka 2011 zrealizovala KR – MAS s družobnou </w:t>
      </w:r>
      <w:r w:rsidRPr="00C53EB1">
        <w:rPr>
          <w:b/>
          <w:i/>
          <w:color w:val="auto"/>
        </w:rPr>
        <w:t>MAS Ostrožsko a Horňácko</w:t>
      </w:r>
      <w:r w:rsidRPr="00C53EB1">
        <w:rPr>
          <w:color w:val="auto"/>
        </w:rPr>
        <w:t xml:space="preserve"> cezhraničný projekt </w:t>
      </w:r>
      <w:r w:rsidRPr="00C53EB1">
        <w:rPr>
          <w:b/>
          <w:color w:val="auto"/>
        </w:rPr>
        <w:t>"Načo chodiť pešky, keď môžu byť bežky ..."</w:t>
      </w:r>
      <w:r w:rsidRPr="00C53EB1">
        <w:rPr>
          <w:color w:val="auto"/>
        </w:rPr>
        <w:t xml:space="preserve">.  Projekt bol zameraný na </w:t>
      </w:r>
      <w:r w:rsidRPr="00C53EB1">
        <w:rPr>
          <w:i/>
          <w:color w:val="auto"/>
        </w:rPr>
        <w:t>vytrasovanie a vyznačenie bežkárskych trás</w:t>
      </w:r>
      <w:r w:rsidRPr="00C53EB1">
        <w:rPr>
          <w:color w:val="auto"/>
        </w:rPr>
        <w:t xml:space="preserve"> v Kopaničiarskom regióne s prepojením na územie partnera z ČR a ich následnú propagáciu.</w:t>
      </w:r>
    </w:p>
    <w:p w14:paraId="27F6E06F" w14:textId="77777777" w:rsidR="002B6198" w:rsidRPr="00C53EB1" w:rsidRDefault="002B6198" w:rsidP="003301D6">
      <w:pPr>
        <w:pStyle w:val="Default"/>
        <w:numPr>
          <w:ilvl w:val="0"/>
          <w:numId w:val="2"/>
        </w:numPr>
        <w:spacing w:before="120" w:line="360" w:lineRule="auto"/>
        <w:ind w:left="425" w:hanging="357"/>
        <w:rPr>
          <w:color w:val="auto"/>
        </w:rPr>
      </w:pPr>
      <w:r w:rsidRPr="00C53EB1">
        <w:t>V spolupráci s </w:t>
      </w:r>
      <w:r w:rsidRPr="00EE25C5">
        <w:rPr>
          <w:b/>
          <w:i/>
        </w:rPr>
        <w:t>MAS Strážnicko</w:t>
      </w:r>
      <w:r w:rsidRPr="00C53EB1">
        <w:t xml:space="preserve"> bol počas roka 2013 zrealizovaný projekt </w:t>
      </w:r>
      <w:r w:rsidRPr="00C53EB1">
        <w:rPr>
          <w:b/>
        </w:rPr>
        <w:t>„Kopaničiarska ovocno–destilátová cesta“</w:t>
      </w:r>
      <w:r w:rsidRPr="00C53EB1">
        <w:t>. Jeho cieľom bolo posilniť vz</w:t>
      </w:r>
      <w:r>
        <w:t>ájomnú spoluprácu medzi subjekt</w:t>
      </w:r>
      <w:r w:rsidRPr="00C53EB1">
        <w:t xml:space="preserve">mi oboch regiónov v podpore netradičnej formy cestovného ruchu – zážitkovej turistiky v podobe vytvorenia gastronomickej cesty. Projekt vyvrcholil zorganizovaním nového kultúrno-spoločenského podujatia v Gazdovskom dvore v Turej Lúke pod názvom Ovocná tržnica, ktorého cieľom je propagovať produkciu, spracovanie i spotrebu ovocia. </w:t>
      </w:r>
    </w:p>
    <w:p w14:paraId="450CDD36" w14:textId="77777777" w:rsidR="002B6198" w:rsidRPr="00C53EB1" w:rsidRDefault="002B6198" w:rsidP="003301D6">
      <w:pPr>
        <w:pStyle w:val="Default"/>
        <w:numPr>
          <w:ilvl w:val="0"/>
          <w:numId w:val="2"/>
        </w:numPr>
        <w:spacing w:before="120" w:line="360" w:lineRule="auto"/>
        <w:ind w:left="425" w:hanging="357"/>
        <w:rPr>
          <w:color w:val="auto"/>
        </w:rPr>
      </w:pPr>
      <w:r w:rsidRPr="00C53EB1">
        <w:t xml:space="preserve">Počas roka 2014 bol v spolupráci s </w:t>
      </w:r>
      <w:r w:rsidRPr="00C53EB1">
        <w:rPr>
          <w:b/>
          <w:i/>
        </w:rPr>
        <w:t>MAS Horňácko – Ostrožsko</w:t>
      </w:r>
      <w:r w:rsidRPr="00C53EB1">
        <w:t xml:space="preserve"> zrealizovaný projekt </w:t>
      </w:r>
      <w:r>
        <w:t>„</w:t>
      </w:r>
      <w:r w:rsidRPr="00C53EB1">
        <w:rPr>
          <w:b/>
        </w:rPr>
        <w:t>Cezhraničná maľovaná mapa Kopanice, Horňácko, Ostrožsko</w:t>
      </w:r>
      <w:r>
        <w:rPr>
          <w:b/>
        </w:rPr>
        <w:t>“</w:t>
      </w:r>
      <w:r w:rsidRPr="00C53EB1">
        <w:rPr>
          <w:b/>
        </w:rPr>
        <w:t xml:space="preserve">, </w:t>
      </w:r>
      <w:r w:rsidRPr="00C53EB1">
        <w:t>ktorého výstupom bola rovnomenná maľovaná mapa propagujúca atraktivity týchto regiónov.</w:t>
      </w:r>
    </w:p>
    <w:p w14:paraId="198F471F" w14:textId="77777777" w:rsidR="002B6198" w:rsidRPr="00C53EB1" w:rsidRDefault="002B6198" w:rsidP="002B6198">
      <w:pPr>
        <w:pStyle w:val="Default"/>
        <w:spacing w:before="120" w:line="360" w:lineRule="auto"/>
        <w:rPr>
          <w:color w:val="auto"/>
        </w:rPr>
      </w:pPr>
      <w:r w:rsidRPr="00C53EB1">
        <w:rPr>
          <w:color w:val="auto"/>
        </w:rPr>
        <w:t>V roku 2013 sa KR – MAS zapojila i do výzvy na veľké projekty v rámci Programu cezhraničnej spolupráce SR – ČR 2007 – 2013 a v priebehu roku 2014 tak realizovala 3 takéto  projekty:</w:t>
      </w:r>
    </w:p>
    <w:p w14:paraId="28A83652" w14:textId="77777777" w:rsidR="002B6198" w:rsidRPr="00C53EB1" w:rsidRDefault="002B6198" w:rsidP="003301D6">
      <w:pPr>
        <w:pStyle w:val="Default"/>
        <w:numPr>
          <w:ilvl w:val="0"/>
          <w:numId w:val="2"/>
        </w:numPr>
        <w:spacing w:before="120" w:line="360" w:lineRule="auto"/>
        <w:ind w:left="425" w:hanging="357"/>
        <w:rPr>
          <w:color w:val="auto"/>
        </w:rPr>
      </w:pPr>
      <w:r w:rsidRPr="00C53EB1">
        <w:rPr>
          <w:color w:val="auto"/>
        </w:rPr>
        <w:t>Projekt „</w:t>
      </w:r>
      <w:r w:rsidRPr="00C53EB1">
        <w:rPr>
          <w:b/>
          <w:color w:val="auto"/>
        </w:rPr>
        <w:t>Podpora a propagácia atrakti</w:t>
      </w:r>
      <w:r>
        <w:rPr>
          <w:b/>
          <w:color w:val="auto"/>
        </w:rPr>
        <w:t>vít cestovného ruchu slovensko-</w:t>
      </w:r>
      <w:r w:rsidRPr="00C53EB1">
        <w:rPr>
          <w:b/>
          <w:color w:val="auto"/>
        </w:rPr>
        <w:t xml:space="preserve">moravského pomedzia“ </w:t>
      </w:r>
      <w:r w:rsidRPr="00C53EB1">
        <w:rPr>
          <w:color w:val="auto"/>
        </w:rPr>
        <w:t xml:space="preserve">sa realizoval v spolupráci </w:t>
      </w:r>
      <w:r>
        <w:rPr>
          <w:color w:val="auto"/>
        </w:rPr>
        <w:t>s</w:t>
      </w:r>
      <w:r w:rsidRPr="00C53EB1">
        <w:rPr>
          <w:color w:val="auto"/>
        </w:rPr>
        <w:t> </w:t>
      </w:r>
      <w:r w:rsidRPr="00EE25C5">
        <w:rPr>
          <w:b/>
          <w:i/>
          <w:color w:val="auto"/>
        </w:rPr>
        <w:t>MAS Východní Slovácko</w:t>
      </w:r>
      <w:r w:rsidRPr="00C53EB1">
        <w:rPr>
          <w:color w:val="auto"/>
        </w:rPr>
        <w:t xml:space="preserve"> a spočíval</w:t>
      </w:r>
      <w:r>
        <w:rPr>
          <w:color w:val="auto"/>
        </w:rPr>
        <w:t xml:space="preserve"> predovšetkým v kúpe, inštalácii</w:t>
      </w:r>
      <w:r w:rsidRPr="00C53EB1">
        <w:rPr>
          <w:color w:val="auto"/>
        </w:rPr>
        <w:t xml:space="preserve"> elektronických infokioskov a ich napĺňaní informáciami o regióne a možnostiach cestovného ruchu.</w:t>
      </w:r>
    </w:p>
    <w:p w14:paraId="5838BB42" w14:textId="77777777" w:rsidR="002B6198" w:rsidRPr="00C53EB1" w:rsidRDefault="002B6198" w:rsidP="003301D6">
      <w:pPr>
        <w:pStyle w:val="Default"/>
        <w:numPr>
          <w:ilvl w:val="0"/>
          <w:numId w:val="2"/>
        </w:numPr>
        <w:spacing w:before="120" w:line="360" w:lineRule="auto"/>
        <w:ind w:left="425" w:hanging="357"/>
        <w:rPr>
          <w:color w:val="auto"/>
        </w:rPr>
      </w:pPr>
      <w:r w:rsidRPr="00C53EB1">
        <w:rPr>
          <w:color w:val="auto"/>
        </w:rPr>
        <w:t xml:space="preserve">Úlohou ďalšieho projektu bolo strategicky sa pripraviť na nové programové obdobie EÚ 2014- 2020 a volal sa </w:t>
      </w:r>
      <w:r w:rsidRPr="00C53EB1">
        <w:rPr>
          <w:b/>
          <w:color w:val="auto"/>
        </w:rPr>
        <w:t xml:space="preserve">„Spoločné dokumenty na podporu rozvoja regiónu pod Veľkou Javorinou“. </w:t>
      </w:r>
      <w:r w:rsidRPr="00C53EB1">
        <w:rPr>
          <w:color w:val="auto"/>
        </w:rPr>
        <w:t xml:space="preserve">V rámci projektu boli v spolupráci </w:t>
      </w:r>
      <w:r>
        <w:rPr>
          <w:color w:val="auto"/>
        </w:rPr>
        <w:t>s</w:t>
      </w:r>
      <w:r w:rsidRPr="00C53EB1">
        <w:rPr>
          <w:color w:val="auto"/>
        </w:rPr>
        <w:t> </w:t>
      </w:r>
      <w:r w:rsidRPr="00C53EB1">
        <w:rPr>
          <w:b/>
          <w:i/>
          <w:color w:val="auto"/>
        </w:rPr>
        <w:t>MAS Horňácko a Ostrožsko</w:t>
      </w:r>
      <w:r w:rsidRPr="00C53EB1">
        <w:rPr>
          <w:color w:val="auto"/>
        </w:rPr>
        <w:t xml:space="preserve"> pripravené 3 rozvojové dokumenty: </w:t>
      </w:r>
      <w:r w:rsidRPr="00C53EB1">
        <w:rPr>
          <w:b/>
          <w:i/>
          <w:color w:val="auto"/>
        </w:rPr>
        <w:t xml:space="preserve">Vytrasovanie jazdeckých ciest v kopaničiarskom a horňáckom regióne, Štúdia budovania cyklochodníkov a cyklotrás v kopaničiarskom a horňáckom regióne, Koncepcia rozvoja cestovného ruchu v regióne pod Veľkou Javorinou a Bradlom </w:t>
      </w:r>
      <w:r w:rsidRPr="00C53EB1">
        <w:rPr>
          <w:color w:val="auto"/>
        </w:rPr>
        <w:t xml:space="preserve">a projektová dokumentácia na stavebné povolenie na 3 </w:t>
      </w:r>
      <w:r w:rsidRPr="00C53EB1">
        <w:rPr>
          <w:b/>
          <w:i/>
          <w:color w:val="auto"/>
        </w:rPr>
        <w:lastRenderedPageBreak/>
        <w:t>Cyklochodníky v kopaničiarskom regióne (</w:t>
      </w:r>
      <w:r w:rsidRPr="00C53EB1">
        <w:rPr>
          <w:color w:val="auto"/>
        </w:rPr>
        <w:t>v Myjave, Starej Turej a Chvojnici)</w:t>
      </w:r>
      <w:r>
        <w:rPr>
          <w:color w:val="auto"/>
        </w:rPr>
        <w:t>.</w:t>
      </w:r>
    </w:p>
    <w:p w14:paraId="1374BA28" w14:textId="77777777" w:rsidR="002B6198" w:rsidRPr="00C53EB1" w:rsidRDefault="002B6198" w:rsidP="003301D6">
      <w:pPr>
        <w:pStyle w:val="Default"/>
        <w:numPr>
          <w:ilvl w:val="0"/>
          <w:numId w:val="2"/>
        </w:numPr>
        <w:spacing w:before="120" w:line="360" w:lineRule="auto"/>
        <w:ind w:left="425" w:hanging="357"/>
        <w:rPr>
          <w:color w:val="auto"/>
        </w:rPr>
      </w:pPr>
      <w:r w:rsidRPr="00C53EB1">
        <w:rPr>
          <w:color w:val="auto"/>
        </w:rPr>
        <w:t>V poslednom z veľkých cezhraničných projektov s názvom „</w:t>
      </w:r>
      <w:r w:rsidRPr="00C53EB1">
        <w:rPr>
          <w:b/>
          <w:color w:val="auto"/>
        </w:rPr>
        <w:t>S mobilem po Bílých Karpatech“</w:t>
      </w:r>
      <w:r w:rsidRPr="00C53EB1">
        <w:rPr>
          <w:color w:val="auto"/>
        </w:rPr>
        <w:t xml:space="preserve"> bola KR – MAS partnerom organizácie </w:t>
      </w:r>
      <w:r w:rsidRPr="00C53EB1">
        <w:rPr>
          <w:b/>
          <w:i/>
          <w:color w:val="auto"/>
        </w:rPr>
        <w:t>Slovácký běžecký klub Kyjov o.s..</w:t>
      </w:r>
      <w:r w:rsidRPr="00C53EB1">
        <w:rPr>
          <w:color w:val="auto"/>
        </w:rPr>
        <w:t xml:space="preserve"> Predmetom projektu bol vývoj mobilnej aplikácie - on-line informácie (vrátane nového vnútorného systému zadávania online dát prostredníctvom GPS) o úprave tratí pre bežecké lyžovanie, zjazdnosti cyklotrás a priechodnosti peších turistických chodníkov a informácie o bezpečnosti na týchto trasách. V spoločnej mobilnej aplikácii a na webovom portál</w:t>
      </w:r>
      <w:r>
        <w:rPr>
          <w:color w:val="auto"/>
        </w:rPr>
        <w:t>i</w:t>
      </w:r>
      <w:r w:rsidRPr="00C53EB1">
        <w:rPr>
          <w:color w:val="auto"/>
        </w:rPr>
        <w:t xml:space="preserve"> sú zverejňované dáta o tratiach zozbierané pomocou GPS. Ďalším</w:t>
      </w:r>
      <w:r w:rsidRPr="00C53EB1">
        <w:t xml:space="preserve"> výstupom bolo </w:t>
      </w:r>
      <w:r w:rsidRPr="00C53EB1">
        <w:rPr>
          <w:color w:val="auto"/>
        </w:rPr>
        <w:t>zakúpenie GPS zariadenia a stopovacieho zariadenia ako aj publicita projektu a webovej stránky prostredníctvom internetového marketingu na slovenských portáloch – bezkar.sk, nabezky.sk a PR formou web inzercie a vydaním propagačných brožúr</w:t>
      </w:r>
      <w:r>
        <w:rPr>
          <w:color w:val="auto"/>
        </w:rPr>
        <w:t>.</w:t>
      </w:r>
    </w:p>
    <w:p w14:paraId="00164895" w14:textId="77777777" w:rsidR="002B6198" w:rsidRPr="00C53EB1" w:rsidRDefault="002B6198" w:rsidP="002B6198">
      <w:pPr>
        <w:pStyle w:val="Default"/>
        <w:spacing w:before="120" w:line="360" w:lineRule="auto"/>
        <w:rPr>
          <w:color w:val="auto"/>
        </w:rPr>
      </w:pPr>
      <w:r w:rsidRPr="00C53EB1">
        <w:rPr>
          <w:color w:val="auto"/>
        </w:rPr>
        <w:t xml:space="preserve">KR – MAS sa zapojila i do realizácie </w:t>
      </w:r>
      <w:r>
        <w:rPr>
          <w:color w:val="auto"/>
        </w:rPr>
        <w:t>štyroch</w:t>
      </w:r>
      <w:r w:rsidRPr="00C53EB1">
        <w:rPr>
          <w:color w:val="auto"/>
        </w:rPr>
        <w:t xml:space="preserve"> projektov ako partner projektu v rámci Programu cezhraničnej spolupráce SR – ČR 2007 – 2013, Fond mikroprojektov na českej strane. Tu ho spravuje Region Bíl</w:t>
      </w:r>
      <w:r>
        <w:rPr>
          <w:color w:val="auto"/>
        </w:rPr>
        <w:t>é</w:t>
      </w:r>
      <w:r w:rsidRPr="00C53EB1">
        <w:rPr>
          <w:color w:val="auto"/>
        </w:rPr>
        <w:t xml:space="preserve"> Karpaty, v projektoch sú žiadateľmi české organizácie a zmluvu s týmto donorom podpisujú českí žiadatelia a KR - MAS sa podieľa na realizácii aktivít bez finančného podielu. Takýmito projektmi boli:</w:t>
      </w:r>
    </w:p>
    <w:p w14:paraId="71EB2A82" w14:textId="77777777" w:rsidR="002B6198" w:rsidRPr="00C53EB1" w:rsidRDefault="002B6198" w:rsidP="003301D6">
      <w:pPr>
        <w:pStyle w:val="Default"/>
        <w:numPr>
          <w:ilvl w:val="0"/>
          <w:numId w:val="2"/>
        </w:numPr>
        <w:spacing w:before="120" w:line="360" w:lineRule="auto"/>
        <w:ind w:left="425" w:hanging="357"/>
        <w:rPr>
          <w:color w:val="auto"/>
        </w:rPr>
      </w:pPr>
      <w:r w:rsidRPr="00C53EB1">
        <w:rPr>
          <w:b/>
          <w:color w:val="auto"/>
        </w:rPr>
        <w:t>"Poznej své přátele"</w:t>
      </w:r>
      <w:r w:rsidRPr="00C53EB1">
        <w:rPr>
          <w:color w:val="auto"/>
        </w:rPr>
        <w:t xml:space="preserve">, žiadateľ </w:t>
      </w:r>
      <w:r w:rsidRPr="00C53EB1">
        <w:rPr>
          <w:b/>
          <w:i/>
          <w:color w:val="auto"/>
        </w:rPr>
        <w:t>MAS Boskovicko PLUS, o.s</w:t>
      </w:r>
      <w:r w:rsidRPr="00C53EB1">
        <w:rPr>
          <w:color w:val="auto"/>
        </w:rPr>
        <w:t>. Hlavným cieľom projektu bolo spoločné poznanie mentality česko-slovenského pohraničia. Projekt sa realizoval v roku 2010 a jeho predmetom boli viacdňové pobyty rôznych skupín obyvateľov z územia KR – MAS na území MAS Boskovicko PLUS. Išlo o stretnutia detí základnej školy, reprezentantov spolkov (futbalisti, hasiči, matky s deťmi, farníci, záhradkári a poľnohospodári) a zástupcov MAS a samospráv.</w:t>
      </w:r>
    </w:p>
    <w:p w14:paraId="65CAA7C6" w14:textId="77777777" w:rsidR="002B6198" w:rsidRPr="00C53EB1" w:rsidRDefault="002B6198" w:rsidP="003301D6">
      <w:pPr>
        <w:pStyle w:val="Default"/>
        <w:numPr>
          <w:ilvl w:val="0"/>
          <w:numId w:val="2"/>
        </w:numPr>
        <w:spacing w:before="120" w:line="360" w:lineRule="auto"/>
        <w:ind w:left="425" w:hanging="357"/>
        <w:rPr>
          <w:color w:val="auto"/>
        </w:rPr>
      </w:pPr>
      <w:r w:rsidRPr="00C53EB1">
        <w:rPr>
          <w:b/>
          <w:color w:val="auto"/>
          <w:shd w:val="clear" w:color="auto" w:fill="FFFFFF"/>
        </w:rPr>
        <w:t xml:space="preserve">„Na běžkách, na kole i pěšky III. etapa“, </w:t>
      </w:r>
      <w:r w:rsidRPr="00C53EB1">
        <w:rPr>
          <w:color w:val="auto"/>
          <w:shd w:val="clear" w:color="auto" w:fill="FFFFFF"/>
        </w:rPr>
        <w:t xml:space="preserve">žiadateľ </w:t>
      </w:r>
      <w:r w:rsidRPr="00C53EB1">
        <w:rPr>
          <w:b/>
          <w:i/>
          <w:color w:val="auto"/>
          <w:shd w:val="clear" w:color="auto" w:fill="FFFFFF"/>
        </w:rPr>
        <w:t>Slovácký běžecký klub Kyjov o.s..</w:t>
      </w:r>
      <w:r w:rsidRPr="00C53EB1">
        <w:rPr>
          <w:color w:val="auto"/>
          <w:shd w:val="clear" w:color="auto" w:fill="FFFFFF"/>
        </w:rPr>
        <w:t xml:space="preserve"> Predmetom projektu vytvorenie a osadenie tzv. QR kódov na turistických smerovníkoch, zakúpenie snežného skútra na udržiavanie bežeckých trás v Bielych Karpatoch a dve konferencie v našom regióne. Realizácia sa začala v apríli 2013 a skončí v marci 2014.</w:t>
      </w:r>
    </w:p>
    <w:p w14:paraId="2A9349CC" w14:textId="77777777" w:rsidR="002B6198" w:rsidRPr="00C53EB1" w:rsidRDefault="002B6198" w:rsidP="003301D6">
      <w:pPr>
        <w:pStyle w:val="Default"/>
        <w:numPr>
          <w:ilvl w:val="0"/>
          <w:numId w:val="2"/>
        </w:numPr>
        <w:spacing w:before="120" w:line="360" w:lineRule="auto"/>
        <w:ind w:left="425" w:hanging="357"/>
        <w:rPr>
          <w:color w:val="auto"/>
        </w:rPr>
      </w:pPr>
      <w:r w:rsidRPr="00C53EB1">
        <w:rPr>
          <w:b/>
        </w:rPr>
        <w:t>„Spoločná cezhraničná stratégia udržateľného rozvoje Horňácka – Kopanic pro roky 2014 – 2020“,</w:t>
      </w:r>
      <w:r w:rsidRPr="00C53EB1">
        <w:t xml:space="preserve"> žiadateľ </w:t>
      </w:r>
      <w:r w:rsidRPr="00C53EB1">
        <w:rPr>
          <w:b/>
          <w:i/>
        </w:rPr>
        <w:t>Krajská hospodářska komora Jiho</w:t>
      </w:r>
      <w:r w:rsidR="008514AD">
        <w:rPr>
          <w:b/>
          <w:i/>
        </w:rPr>
        <w:t>m</w:t>
      </w:r>
      <w:r w:rsidRPr="00C53EB1">
        <w:rPr>
          <w:b/>
          <w:i/>
        </w:rPr>
        <w:t>oravksého kraje</w:t>
      </w:r>
      <w:r w:rsidRPr="00C53EB1">
        <w:t>. Predmetom projektu bolo vytvoriť stratégiu udržateľného rozvoja regiónov Horňácka a Kopaníc, vrátane akčného plánu do nového programovacieho obdobia 2014 – 2020, Projekt je zameraný i na podporu spolupráce a sieťovania.</w:t>
      </w:r>
    </w:p>
    <w:p w14:paraId="6F82DC0A" w14:textId="77777777" w:rsidR="002B6198" w:rsidRPr="00C53EB1" w:rsidRDefault="002B6198" w:rsidP="003301D6">
      <w:pPr>
        <w:pStyle w:val="Default"/>
        <w:numPr>
          <w:ilvl w:val="0"/>
          <w:numId w:val="2"/>
        </w:numPr>
        <w:spacing w:before="120" w:line="360" w:lineRule="auto"/>
        <w:ind w:left="425" w:hanging="357"/>
        <w:rPr>
          <w:color w:val="auto"/>
        </w:rPr>
      </w:pPr>
      <w:r w:rsidRPr="00C53EB1">
        <w:rPr>
          <w:color w:val="auto"/>
        </w:rPr>
        <w:lastRenderedPageBreak/>
        <w:t xml:space="preserve"> </w:t>
      </w:r>
      <w:r w:rsidRPr="00C53EB1">
        <w:rPr>
          <w:b/>
          <w:color w:val="auto"/>
        </w:rPr>
        <w:t>„Stratégia rozvoje bežeckého lyžovania a zimnej turistiky v Bielych Karpatoch pre obdobie 2015</w:t>
      </w:r>
      <w:r>
        <w:rPr>
          <w:b/>
          <w:color w:val="auto"/>
        </w:rPr>
        <w:t xml:space="preserve"> </w:t>
      </w:r>
      <w:r w:rsidRPr="00C53EB1">
        <w:rPr>
          <w:b/>
          <w:color w:val="auto"/>
        </w:rPr>
        <w:t>-</w:t>
      </w:r>
      <w:r>
        <w:rPr>
          <w:b/>
          <w:color w:val="auto"/>
        </w:rPr>
        <w:t xml:space="preserve"> </w:t>
      </w:r>
      <w:r w:rsidRPr="00C53EB1">
        <w:rPr>
          <w:b/>
          <w:color w:val="auto"/>
        </w:rPr>
        <w:t>2020“</w:t>
      </w:r>
      <w:r w:rsidRPr="00C53EB1">
        <w:rPr>
          <w:color w:val="auto"/>
        </w:rPr>
        <w:t xml:space="preserve"> výstupom projektu realizovaného v spolupráci s organizáciou </w:t>
      </w:r>
      <w:r w:rsidRPr="00C53EB1">
        <w:rPr>
          <w:b/>
          <w:i/>
          <w:color w:val="auto"/>
          <w:shd w:val="clear" w:color="auto" w:fill="FFFFFF"/>
        </w:rPr>
        <w:t xml:space="preserve">Slovácký běžecký klub Kyjov o.s. </w:t>
      </w:r>
      <w:r w:rsidRPr="00C53EB1">
        <w:rPr>
          <w:color w:val="auto"/>
          <w:shd w:val="clear" w:color="auto" w:fill="FFFFFF"/>
        </w:rPr>
        <w:t>je strategický dokument reflektujúci na potrebu rozšírenia tratí bežeckého lyžovania a zimnej turistiky.</w:t>
      </w:r>
    </w:p>
    <w:p w14:paraId="0A407009" w14:textId="77777777" w:rsidR="00D0587E" w:rsidRDefault="00D0587E" w:rsidP="00D0587E">
      <w:pPr>
        <w:spacing w:after="0" w:line="360" w:lineRule="auto"/>
        <w:rPr>
          <w:rFonts w:ascii="Times New Roman" w:hAnsi="Times New Roman" w:cs="Times New Roman"/>
          <w:b/>
          <w:i/>
          <w:sz w:val="24"/>
          <w:szCs w:val="24"/>
        </w:rPr>
      </w:pPr>
    </w:p>
    <w:p w14:paraId="6516BB3F" w14:textId="77777777" w:rsidR="00E225CE" w:rsidRPr="00BC5186" w:rsidRDefault="00E225CE" w:rsidP="00D0587E">
      <w:pPr>
        <w:spacing w:after="0" w:line="360" w:lineRule="auto"/>
        <w:rPr>
          <w:rFonts w:ascii="Times New Roman" w:hAnsi="Times New Roman" w:cs="Times New Roman"/>
          <w:b/>
          <w:i/>
          <w:sz w:val="24"/>
          <w:szCs w:val="24"/>
        </w:rPr>
      </w:pPr>
      <w:r w:rsidRPr="00BC5186">
        <w:rPr>
          <w:rFonts w:ascii="Times New Roman" w:hAnsi="Times New Roman" w:cs="Times New Roman"/>
          <w:b/>
          <w:i/>
          <w:sz w:val="24"/>
          <w:szCs w:val="24"/>
        </w:rPr>
        <w:t>Stupeň vidieckosti územia</w:t>
      </w:r>
    </w:p>
    <w:p w14:paraId="341A3FA5" w14:textId="77777777" w:rsidR="00E225CE" w:rsidRPr="00E225CE" w:rsidRDefault="00DF6F68" w:rsidP="00C46B0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Kopaničiarky región je typickým príkladom vidieckeho územia na Slovensku. Aj keď sa v rámci regiónu nachádzajú tri mestá – Myjava, Stará Turá a Brezová pod Bradlom, ide o mestá malej, resp. menšej veľkosti. Aj tieto mestá majú časti obce, ktoré majú typický vidiecky (dokonca kopaničiarsky) charakter a tvoria tak značnú rozlohu ich katastra. Z celkového počtu  </w:t>
      </w:r>
      <w:r w:rsidR="00D90FF7" w:rsidRPr="00D90FF7">
        <w:rPr>
          <w:rFonts w:ascii="Times New Roman" w:hAnsi="Times New Roman" w:cs="Times New Roman"/>
          <w:sz w:val="24"/>
          <w:szCs w:val="24"/>
        </w:rPr>
        <w:t>44 325</w:t>
      </w:r>
      <w:r w:rsidR="00E225CE" w:rsidRPr="00E225CE">
        <w:rPr>
          <w:rFonts w:ascii="Times New Roman" w:hAnsi="Times New Roman" w:cs="Times New Roman"/>
          <w:sz w:val="24"/>
          <w:szCs w:val="24"/>
        </w:rPr>
        <w:t xml:space="preserve"> obyvateľov regiónu žije v mestách až </w:t>
      </w:r>
      <w:r w:rsidR="00CE0816">
        <w:rPr>
          <w:rFonts w:ascii="Times New Roman" w:hAnsi="Times New Roman" w:cs="Times New Roman"/>
          <w:sz w:val="24"/>
          <w:szCs w:val="24"/>
        </w:rPr>
        <w:t>26 210</w:t>
      </w:r>
      <w:r w:rsidR="00E225CE" w:rsidRPr="00E225CE">
        <w:rPr>
          <w:rFonts w:ascii="Times New Roman" w:hAnsi="Times New Roman" w:cs="Times New Roman"/>
          <w:sz w:val="24"/>
          <w:szCs w:val="24"/>
        </w:rPr>
        <w:t xml:space="preserve"> (</w:t>
      </w:r>
      <w:r w:rsidR="00CE0816">
        <w:rPr>
          <w:rFonts w:ascii="Times New Roman" w:hAnsi="Times New Roman" w:cs="Times New Roman"/>
          <w:sz w:val="24"/>
          <w:szCs w:val="24"/>
        </w:rPr>
        <w:t>59,13</w:t>
      </w:r>
      <w:r w:rsidR="00E225CE" w:rsidRPr="00E225CE">
        <w:rPr>
          <w:rFonts w:ascii="Times New Roman" w:hAnsi="Times New Roman" w:cs="Times New Roman"/>
          <w:sz w:val="24"/>
          <w:szCs w:val="24"/>
        </w:rPr>
        <w:t xml:space="preserve">%) a na vidieku teda </w:t>
      </w:r>
      <w:r w:rsidR="00CE0816">
        <w:rPr>
          <w:rFonts w:ascii="Times New Roman" w:hAnsi="Times New Roman" w:cs="Times New Roman"/>
          <w:sz w:val="24"/>
          <w:szCs w:val="24"/>
        </w:rPr>
        <w:t>40,87</w:t>
      </w:r>
      <w:r w:rsidR="00E225CE" w:rsidRPr="00E225CE">
        <w:rPr>
          <w:rFonts w:ascii="Times New Roman" w:hAnsi="Times New Roman" w:cs="Times New Roman"/>
          <w:sz w:val="24"/>
          <w:szCs w:val="24"/>
        </w:rPr>
        <w:t xml:space="preserve"> %. No ak chceme skúmať vidieckosť územia exaktnejšie, mali by sme pri rozmiestnení obyvateľstva v rámci katastrov jednotlivých obcí pracovať so základnými sídelnými jednotkami (ZSJ). </w:t>
      </w:r>
    </w:p>
    <w:p w14:paraId="6E087C06" w14:textId="77777777" w:rsidR="00E225CE" w:rsidRDefault="00DF6F68" w:rsidP="00DF6F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Hustota zaľudnenia v celom regióne dosahuje hodnotu </w:t>
      </w:r>
      <w:r w:rsidR="00CE0816">
        <w:rPr>
          <w:rFonts w:ascii="Times New Roman" w:hAnsi="Times New Roman" w:cs="Times New Roman"/>
          <w:sz w:val="24"/>
          <w:szCs w:val="24"/>
        </w:rPr>
        <w:t>81,86</w:t>
      </w:r>
      <w:r w:rsidR="00CE0816"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obyv./km2, čo je zhruba </w:t>
      </w:r>
      <w:r w:rsidR="00E225CE" w:rsidRPr="00F47AAA">
        <w:rPr>
          <w:rFonts w:ascii="Times New Roman" w:hAnsi="Times New Roman" w:cs="Times New Roman"/>
          <w:sz w:val="24"/>
          <w:szCs w:val="24"/>
        </w:rPr>
        <w:t xml:space="preserve">o </w:t>
      </w:r>
      <w:r w:rsidR="000D5A5F" w:rsidRPr="00F47AAA">
        <w:rPr>
          <w:rFonts w:ascii="Times New Roman" w:hAnsi="Times New Roman" w:cs="Times New Roman"/>
          <w:sz w:val="24"/>
          <w:szCs w:val="24"/>
        </w:rPr>
        <w:t>27</w:t>
      </w:r>
      <w:r w:rsidR="00E225CE" w:rsidRPr="00F47AAA">
        <w:rPr>
          <w:rFonts w:ascii="Times New Roman" w:hAnsi="Times New Roman" w:cs="Times New Roman"/>
          <w:sz w:val="24"/>
          <w:szCs w:val="24"/>
        </w:rPr>
        <w:t xml:space="preserve"> obyv./km2</w:t>
      </w:r>
      <w:r w:rsidR="00E225CE" w:rsidRPr="00E225CE">
        <w:rPr>
          <w:rFonts w:ascii="Times New Roman" w:hAnsi="Times New Roman" w:cs="Times New Roman"/>
          <w:sz w:val="24"/>
          <w:szCs w:val="24"/>
        </w:rPr>
        <w:t xml:space="preserve"> menej ako celoslovenský priemer. Tá je však v rámci regiónu značne diferen</w:t>
      </w:r>
      <w:r w:rsidR="00BC5186">
        <w:rPr>
          <w:rFonts w:ascii="Times New Roman" w:hAnsi="Times New Roman" w:cs="Times New Roman"/>
          <w:sz w:val="24"/>
          <w:szCs w:val="24"/>
        </w:rPr>
        <w:t>c</w:t>
      </w:r>
      <w:r w:rsidR="00E225CE" w:rsidRPr="00E225CE">
        <w:rPr>
          <w:rFonts w:ascii="Times New Roman" w:hAnsi="Times New Roman" w:cs="Times New Roman"/>
          <w:sz w:val="24"/>
          <w:szCs w:val="24"/>
        </w:rPr>
        <w:t>ovaná. Najvyššiu hustotu zaľudnenia dosahujú samozrejme mestá (</w:t>
      </w:r>
      <w:r w:rsidR="00CE0816">
        <w:rPr>
          <w:rFonts w:ascii="Times New Roman" w:hAnsi="Times New Roman" w:cs="Times New Roman"/>
          <w:sz w:val="24"/>
          <w:szCs w:val="24"/>
        </w:rPr>
        <w:t>v priemere 183 obyv./km2</w:t>
      </w:r>
      <w:r w:rsidR="00E225CE" w:rsidRPr="00E225CE">
        <w:rPr>
          <w:rFonts w:ascii="Times New Roman" w:hAnsi="Times New Roman" w:cs="Times New Roman"/>
          <w:sz w:val="24"/>
          <w:szCs w:val="24"/>
        </w:rPr>
        <w:t>), naopak vo vidieckych obciach je hustota zaľudnenia</w:t>
      </w:r>
      <w:r w:rsidR="00CE0816">
        <w:rPr>
          <w:rFonts w:ascii="Times New Roman" w:hAnsi="Times New Roman" w:cs="Times New Roman"/>
          <w:sz w:val="24"/>
          <w:szCs w:val="24"/>
        </w:rPr>
        <w:t xml:space="preserve"> v priemere</w:t>
      </w:r>
      <w:r w:rsidR="00E225CE" w:rsidRPr="00E225CE">
        <w:rPr>
          <w:rFonts w:ascii="Times New Roman" w:hAnsi="Times New Roman" w:cs="Times New Roman"/>
          <w:sz w:val="24"/>
          <w:szCs w:val="24"/>
        </w:rPr>
        <w:t xml:space="preserve"> iba 47 obyv./km2. </w:t>
      </w:r>
    </w:p>
    <w:p w14:paraId="568ADF46" w14:textId="77777777" w:rsidR="008C1772" w:rsidRPr="00E225CE" w:rsidRDefault="008C1772" w:rsidP="00DF6F68">
      <w:pPr>
        <w:spacing w:after="0" w:line="360" w:lineRule="auto"/>
        <w:jc w:val="both"/>
        <w:rPr>
          <w:rFonts w:ascii="Times New Roman" w:hAnsi="Times New Roman" w:cs="Times New Roman"/>
          <w:sz w:val="24"/>
          <w:szCs w:val="24"/>
        </w:rPr>
      </w:pPr>
    </w:p>
    <w:p w14:paraId="28A46C41" w14:textId="77777777" w:rsidR="00E225CE" w:rsidRPr="00BC5186" w:rsidRDefault="00E225CE" w:rsidP="008C1772">
      <w:pPr>
        <w:keepNext/>
        <w:spacing w:after="0" w:line="360" w:lineRule="auto"/>
        <w:rPr>
          <w:rFonts w:ascii="Times New Roman" w:hAnsi="Times New Roman" w:cs="Times New Roman"/>
          <w:b/>
          <w:i/>
          <w:sz w:val="24"/>
          <w:szCs w:val="24"/>
        </w:rPr>
      </w:pPr>
      <w:r w:rsidRPr="00BC5186">
        <w:rPr>
          <w:rFonts w:ascii="Times New Roman" w:hAnsi="Times New Roman" w:cs="Times New Roman"/>
          <w:b/>
          <w:i/>
          <w:sz w:val="24"/>
          <w:szCs w:val="24"/>
        </w:rPr>
        <w:t>Administratívno-správna príslušnosť územia</w:t>
      </w:r>
    </w:p>
    <w:p w14:paraId="46D9BBB3" w14:textId="77777777" w:rsidR="00E225CE" w:rsidRPr="00E225CE" w:rsidRDefault="00DF6F68"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Združenie sa územne nachádza v juhozápadnej časti Trenčianskeho samosprávneho kraja na hranici s Českou republikou a je vymedzený katastrami všetkých 17 obc</w:t>
      </w:r>
      <w:r w:rsidR="00BC5186">
        <w:rPr>
          <w:rFonts w:ascii="Times New Roman" w:hAnsi="Times New Roman" w:cs="Times New Roman"/>
          <w:sz w:val="24"/>
          <w:szCs w:val="24"/>
        </w:rPr>
        <w:t>í</w:t>
      </w:r>
      <w:r w:rsidR="00E225CE" w:rsidRPr="00E225CE">
        <w:rPr>
          <w:rFonts w:ascii="Times New Roman" w:hAnsi="Times New Roman" w:cs="Times New Roman"/>
          <w:sz w:val="24"/>
          <w:szCs w:val="24"/>
        </w:rPr>
        <w:t xml:space="preserve"> okresu Myjava a vzhľadom na úzku prepojenosť, či už hospodársku, alebo kultúrnu a historickú, aj katastrami 6 obcí okresu Nové Mesto nad Váhom</w:t>
      </w:r>
      <w:r w:rsidR="005904A3">
        <w:rPr>
          <w:rFonts w:ascii="Times New Roman" w:hAnsi="Times New Roman" w:cs="Times New Roman"/>
          <w:sz w:val="24"/>
          <w:szCs w:val="24"/>
        </w:rPr>
        <w:t>, jednej obce okresu Piešťany a dvoch obcí okresu Senica.</w:t>
      </w:r>
      <w:r w:rsidR="00E225CE" w:rsidRPr="00E225CE">
        <w:rPr>
          <w:rFonts w:ascii="Times New Roman" w:hAnsi="Times New Roman" w:cs="Times New Roman"/>
          <w:sz w:val="24"/>
          <w:szCs w:val="24"/>
        </w:rPr>
        <w:t xml:space="preserve"> </w:t>
      </w:r>
    </w:p>
    <w:p w14:paraId="2A02A3CF" w14:textId="77777777" w:rsid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Doklad o súhlase všetkých obcí so zaradením do územia pôsobnosti verejno-súkromného partnerstva (Združenia) a oboznámením sa s Integrovanou stratégiou rozvoja územia je uvedený v Prílohe č. 2.</w:t>
      </w:r>
    </w:p>
    <w:p w14:paraId="4253179D" w14:textId="77777777" w:rsidR="008C1772" w:rsidRDefault="008C1772" w:rsidP="008C1772">
      <w:pPr>
        <w:spacing w:after="0" w:line="360" w:lineRule="auto"/>
        <w:jc w:val="both"/>
        <w:rPr>
          <w:rFonts w:ascii="Times New Roman" w:hAnsi="Times New Roman" w:cs="Times New Roman"/>
          <w:sz w:val="24"/>
          <w:szCs w:val="24"/>
        </w:rPr>
      </w:pPr>
    </w:p>
    <w:p w14:paraId="08BDAC98" w14:textId="77777777" w:rsidR="002B6198" w:rsidRDefault="002B6198" w:rsidP="008C177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G</w:t>
      </w:r>
      <w:r w:rsidRPr="002B6198">
        <w:rPr>
          <w:rFonts w:ascii="Times New Roman" w:hAnsi="Times New Roman" w:cs="Times New Roman"/>
          <w:b/>
          <w:i/>
          <w:sz w:val="24"/>
          <w:szCs w:val="24"/>
        </w:rPr>
        <w:t>eografická charakteristika</w:t>
      </w:r>
      <w:r w:rsidRPr="002B6198" w:rsidDel="002B6198">
        <w:rPr>
          <w:rFonts w:ascii="Times New Roman" w:hAnsi="Times New Roman" w:cs="Times New Roman"/>
          <w:b/>
          <w:i/>
          <w:sz w:val="24"/>
          <w:szCs w:val="24"/>
        </w:rPr>
        <w:t xml:space="preserve"> </w:t>
      </w:r>
    </w:p>
    <w:p w14:paraId="6F92EC6D"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ab/>
      </w:r>
      <w:r w:rsidR="00E225CE" w:rsidRPr="00E225CE">
        <w:rPr>
          <w:rFonts w:ascii="Times New Roman" w:hAnsi="Times New Roman" w:cs="Times New Roman"/>
          <w:sz w:val="24"/>
          <w:szCs w:val="24"/>
        </w:rPr>
        <w:t xml:space="preserve">Väčšina územia Združenia sa nachádza na území Myjavskej pahorkatiny, ktorá tvorí akúsi zníženinu medzi Bielymi a Malými Karpatmi. Jej medzihorský charakter je ešte </w:t>
      </w:r>
      <w:r w:rsidR="00E225CE" w:rsidRPr="00E225CE">
        <w:rPr>
          <w:rFonts w:ascii="Times New Roman" w:hAnsi="Times New Roman" w:cs="Times New Roman"/>
          <w:sz w:val="24"/>
          <w:szCs w:val="24"/>
        </w:rPr>
        <w:lastRenderedPageBreak/>
        <w:t>zvýraznený susedstvom s nižšími geomorfologickými celkami Záhorskej nížiny na západe a Považského Podolia na východe. Povrch územia je teda mierne zvlnený, iba vo vyšších polohách Bielych a Malých Karpát a v Bradlovom pásme má charakter vrchovín, až hornatín. Nadmorská výška územia sa pohybuje v rozmedzí 199 (vyústenie potoka Jablonka z regiónu vo Višňovom) – 970 m</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n.</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m. (najvyšší vrch Bielych Karpát – Veľká Javorina v obci Lubina). Väčšina územia sa však nachádza v rozmedzí 250-550 m</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n.</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m., kde sa aj sústreďujú takmer všetky sídla. Nadmorská výška v jednotlivých sídlach sa pohybuje od 211 m n.</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m. v juhovýchodnej časti regiónu vo Višňovom až po 561 m n.</w:t>
      </w:r>
      <w:r w:rsidR="00713499">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m. v severnej časti regiónu na kopanici Poľana v obci Brestovec. </w:t>
      </w:r>
    </w:p>
    <w:p w14:paraId="72850E0D"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Oblasť Myjavskej pahorkatiny a priľahlej časti Bielych a Malých Karpát, ktoré sa nachádzajú na území Kopaničiarskeho regiónu, sa vyznačujú pestrým geologickým zložením a komplikovanými štruktúrnymi pomermi, na ktorej stavbe sa podieľa  geologická štruktúra  vonkajšieho flyšu, štruktúra centrálnokarpatského flyšu a gosauskej kriedy, kde hlavné horniny tvoria najmä pieskovce a ílovce, ale aj zlepence. Štruktúra bradlového pásma, ktorá je najkomplikovanejšia geologická štruktúra Západných Karpát </w:t>
      </w:r>
      <w:r w:rsidR="00713499">
        <w:rPr>
          <w:rFonts w:ascii="Times New Roman" w:hAnsi="Times New Roman" w:cs="Times New Roman"/>
          <w:sz w:val="24"/>
          <w:szCs w:val="24"/>
        </w:rPr>
        <w:t>a prechádza v pruhu širokom 200</w:t>
      </w:r>
      <w:r w:rsidR="00E225CE" w:rsidRPr="00E225CE">
        <w:rPr>
          <w:rFonts w:ascii="Times New Roman" w:hAnsi="Times New Roman" w:cs="Times New Roman"/>
          <w:sz w:val="24"/>
          <w:szCs w:val="24"/>
        </w:rPr>
        <w:t>-7 000 m naprieč celou Myjavskou pahorkatinou. Je zložené z odolných vápencov (vrchný trias – stredná krieda) – tvoriacich vlastné bradlá – a zo stredne až málo odolných zlepencovo-flyšovo-slienitých súvrství bradlového obalu (vrchná krieda). Štruktúra neogénnych sedimentárnych hornín sa zúčastňuje na stavbe západnej časti Myjavskej pahorkatiny na juh od Brančských bradiel, a na východe regiónu na styku s Považským podolím. Štruktúra mezozoických sedimentárnych hornín, ktoré sú zastúpené súvrstviami chočskej jednotky, patriacej do jadrových pohorí, kde je jadro zložené najmä z granitu, granodioritu, ruly a svorov, kým na povrch vystupujú najmä vápence, dolomity a bridlice.</w:t>
      </w:r>
    </w:p>
    <w:p w14:paraId="7578FDAF"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Územie myjavskej pahorkatiny, tak ako aj priľahlých pohorí bolo v časoch pred zásahom človeka do prírody pokryté lesmi. Tento stav sa začal meniť postupným osídľovaním územia. Najväčší zlom znamenalo obdobie začatia kopaničiarskej kolonizácie na území v 16. storočí, kedy nastalo klčovanie a vypaľovanie lesov s cieľom získať úrodnú pôdu.</w:t>
      </w:r>
    </w:p>
    <w:p w14:paraId="3DA9113E"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Rastlinstvo v regióne je oproti pôvodnému činnosťou človeka veľmi pozmenené. Značne sú narušené najmä lesné porasty, z ktorých sa na mnohých častiach územia zachovali len malé skupiny stromov. Tvoria ich však väčšinou ihličnaté, sekundárne vysadené lesy, za účelom rýchleho zisku dreva, ako stavebného materiálu. Odlesnené plochy boli premenené na poľnohospodárske pozemky a využívajú sa najmä ako orná pôda na pestovanie </w:t>
      </w:r>
      <w:r w:rsidR="00E225CE" w:rsidRPr="00E225CE">
        <w:rPr>
          <w:rFonts w:ascii="Times New Roman" w:hAnsi="Times New Roman" w:cs="Times New Roman"/>
          <w:sz w:val="24"/>
          <w:szCs w:val="24"/>
        </w:rPr>
        <w:lastRenderedPageBreak/>
        <w:t xml:space="preserve">poľnohospodárskych plodín, ako lúky a pasienky na chov hospodárskych zvierat a ako ovocné sady.  </w:t>
      </w:r>
    </w:p>
    <w:p w14:paraId="1A075C4E"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prírodných podmienok má práve živočíšstvo najväčšiu väzbu na rastlinstvo, poskytujúce obživu, úkryt i bydlisko. Podľa prostredia môž</w:t>
      </w:r>
      <w:r w:rsidR="00713499">
        <w:rPr>
          <w:rFonts w:ascii="Times New Roman" w:hAnsi="Times New Roman" w:cs="Times New Roman"/>
          <w:sz w:val="24"/>
          <w:szCs w:val="24"/>
        </w:rPr>
        <w:t>e</w:t>
      </w:r>
      <w:r w:rsidR="00E225CE" w:rsidRPr="00E225CE">
        <w:rPr>
          <w:rFonts w:ascii="Times New Roman" w:hAnsi="Times New Roman" w:cs="Times New Roman"/>
          <w:sz w:val="24"/>
          <w:szCs w:val="24"/>
        </w:rPr>
        <w:t xml:space="preserve">me v študovanom území rozlíšiť živočíšne spoločenstvá lesov, polí a lúk, intravilánov, vôd a ich brehov. </w:t>
      </w:r>
    </w:p>
    <w:p w14:paraId="276CDB94"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živočíšnom spoločenstve lesov sú nápadné najmä veľké cicavce ako jeleň lesný, srnec hôrny, daniel škvrnitý, sviňa divá, líška obyčajná, veverička obyčajná, kuna hôrna a ďalšie. Z vtáctva sú zástupcami ďateľ veľký a prostredný, pinka, kukučka, holub plúžik a iné. Na vlhších miestach možno nájsť salamandru škvrnitú, ropuchu obyčajnú a skokana hnedého. Hôrky, remízy a im podobné formy sú veľmi časté na Myjavskej pahorkatine. Tento biotop s prevahou listnatých drevín je útočiskom mnohých druhov vtáctva. Sú to niektoré dravce ako myšiak hôrny, sokol lastovičiar a sovy ako sova obyčajná a kuvik obyčajný. Je tu aj veľa druhov živiacich sa semenami tráv a hmyzom: bažant obyčajný, sýkorka veľká a belasá, vrabec poľný. Spoločenstvo polí, lúk a pasienkov je plošne najrozšírenejším na Myjavskej pahorkatine, a teda aj na sledovanom území. Z cicavcov sú charakteristické hlodavce, akými sú: hraboš poľný, syseľ obyčajný, zajac poľný. Z vtákov sú typické: prepelica poľná, jarabica poľná, bažant obyčajný, škovránok poľný a ďalšie. Zvláštny biotyp predstavujú vodné toky a nádrže, zamokrené časti lúk a okolité zvyšky lužných lesíkov a krov. Z rýb žijú v potokoch najmä pstruhy, vo vodných nádržiach najmä kapor a lieň. V čistých tokoch nájdeme raka riečneho a niekoľko druhov prevažne plevelných rýb: jalec hlavatý a tmavý, pĺž obyčajný a belička obyčajná. Okraje vodných plôch a močiare pútajú na seba obojživelníkov ako napr.: skokan zelený, mlok obyčajný, kunka obyčajná. Z vtákov tu nájdeme kačicu divú, bociana bieleho, rybára obyčajného a iné. Ľudské obydlia, hospodárske budovy, dvory a záhrady viažu na seba tiež určité živočíšne spoločenstvá. Z cicavcov sú bežnými myš domová, potkan obyčajný, z vtákov sa pri obydliach zdržuje vrabec domový, lastovička obyčajná, belorítka obyčajná, sýkorka veľká, škorec obyčajný atď. </w:t>
      </w:r>
    </w:p>
    <w:p w14:paraId="16307BEF"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Hlavným diferenciačným faktorom, ktorý ovplyvňuje charakter počasia Kopaničiarskeho regiónu je reliéf, a to predovšetkým svojou vertikálnou členitosťou. Čo sa týka klimatogeografického hľadiska tak do regiónu zasahujú všetky tri klimatické oblasti. Najväčšiu plochu zaberá mierne teplá klimatická oblasť. Priemerná ročná teplota sa pohybuje v regióne od 5°C na severovýchode do 8,5°C na západe a východe. V stanici Myjava bola priemerná ročná teplota (meraná za obdobie r.1961-1990) 8,3°C. Najväčšia časť regiónu spadá do intervalu od 7°C do 8°C. Priemerná teplota vzduchu v januári sa pohybuje vo </w:t>
      </w:r>
      <w:r w:rsidR="00E225CE" w:rsidRPr="00E225CE">
        <w:rPr>
          <w:rFonts w:ascii="Times New Roman" w:hAnsi="Times New Roman" w:cs="Times New Roman"/>
          <w:sz w:val="24"/>
          <w:szCs w:val="24"/>
        </w:rPr>
        <w:lastRenderedPageBreak/>
        <w:t>väčšine územia regiónu v rozmedzí od –3°C do –4°C, v júli v rozmedzí od 16°C do 18°C. Nižšie položené časti Myjavskej pahorkatiny vykazujú okolo 295 dní s teplotami nad 0°C, z čoho vyplýva aj dĺžka možného života bylinnej vegetácie a poľnohospodárskej činnosti. Najvyššie miesta Bielych Karpát majú okolo 100 dní s teplotami pod 0°C. Počet letných dní sa pohybuje na väčšine územia v intervale od 35 do 50. Priemerný ročný úhrn zrážok je dôležitý ukazovateľ, ktorý nám okrem iného vplýva aj na poľnohospodárstvo. V regióne sa pohybuje priemer okolo hodnoty 680 mm. Veľká časť územia regiónu patrí do intervalu 600-800 mm/rok. Ostatná časť regiónu patrí do intervalu, kde padne priemerne 800-1000 mm zrážok ročne – severovýchod.</w:t>
      </w:r>
    </w:p>
    <w:p w14:paraId="5D0F3805"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Západnú časť územia regiónu odvodňuje rieka Myjava s jej prítokmi (Cengelka, Brestovský potok, Svacenický járok, Smíchov), ktorá sa vlieva do Moravy. Toky vo východnej časti sa vlievajú do rieky Jablonka (s prítokmi Rudník, Kostolník) ktorá patrí do povodia rieky Váh. Ďalšie toky v území sú napr. Teplica a Chvojnica v severozápadnej časti regiónu, Vrzavka a Javorina v severovýchodnej časti a Brezovský potok v južnej časti. Významnú úlohu zohrávajú umelo vybudované vodné nádrže Dubník I (objem – 657 000 m3), Dubník II (1 110 000 m3) a Stará Myjava (58 720 m3), ale aj ďalšie. </w:t>
      </w:r>
    </w:p>
    <w:p w14:paraId="2BE4FA80"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Región je pomerne chudobný na kvalitné vodné zdroje. Podmienené to je najmä paleogénym flyšom, kde nepriepustné vrstvy ílovcov zabraňujú hlbšiemu vsiakavaniu vody do podložia a tým aj bohatším podzemným zdrojom vody. Najvýznamnejšie vodné zdr</w:t>
      </w:r>
      <w:r w:rsidR="0014674E">
        <w:rPr>
          <w:rFonts w:ascii="Times New Roman" w:hAnsi="Times New Roman" w:cs="Times New Roman"/>
          <w:sz w:val="24"/>
          <w:szCs w:val="24"/>
        </w:rPr>
        <w:t>o</w:t>
      </w:r>
      <w:r w:rsidR="00E225CE" w:rsidRPr="00E225CE">
        <w:rPr>
          <w:rFonts w:ascii="Times New Roman" w:hAnsi="Times New Roman" w:cs="Times New Roman"/>
          <w:sz w:val="24"/>
          <w:szCs w:val="24"/>
        </w:rPr>
        <w:t xml:space="preserve">je sú Cetuna s výdatnosťou 40 l/s, Fajnory 19,5 l/s a Hološov Mlyn 5-25 l/s. </w:t>
      </w:r>
    </w:p>
    <w:p w14:paraId="0A6ABC72"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pôdnych typov sa v Kopaničiarskom regióne nachádzajú</w:t>
      </w:r>
      <w:r w:rsidR="001B0444">
        <w:rPr>
          <w:rFonts w:ascii="Times New Roman" w:hAnsi="Times New Roman" w:cs="Times New Roman"/>
          <w:sz w:val="24"/>
          <w:szCs w:val="24"/>
        </w:rPr>
        <w:t xml:space="preserve"> k</w:t>
      </w:r>
      <w:r w:rsidR="00E225CE" w:rsidRPr="00E225CE">
        <w:rPr>
          <w:rFonts w:ascii="Times New Roman" w:hAnsi="Times New Roman" w:cs="Times New Roman"/>
          <w:sz w:val="24"/>
          <w:szCs w:val="24"/>
        </w:rPr>
        <w:t>ambizeme</w:t>
      </w:r>
      <w:r w:rsidR="001B0444">
        <w:rPr>
          <w:rFonts w:ascii="Times New Roman" w:hAnsi="Times New Roman" w:cs="Times New Roman"/>
          <w:sz w:val="24"/>
          <w:szCs w:val="24"/>
        </w:rPr>
        <w:t>,</w:t>
      </w:r>
      <w:r w:rsidR="00E225CE" w:rsidRPr="00E225CE">
        <w:rPr>
          <w:rFonts w:ascii="Times New Roman" w:hAnsi="Times New Roman" w:cs="Times New Roman"/>
          <w:sz w:val="24"/>
          <w:szCs w:val="24"/>
        </w:rPr>
        <w:tab/>
      </w:r>
      <w:r w:rsidR="001B0444">
        <w:rPr>
          <w:rFonts w:ascii="Times New Roman" w:hAnsi="Times New Roman" w:cs="Times New Roman"/>
          <w:sz w:val="24"/>
          <w:szCs w:val="24"/>
        </w:rPr>
        <w:t>l</w:t>
      </w:r>
      <w:r w:rsidR="00E225CE" w:rsidRPr="00E225CE">
        <w:rPr>
          <w:rFonts w:ascii="Times New Roman" w:hAnsi="Times New Roman" w:cs="Times New Roman"/>
          <w:sz w:val="24"/>
          <w:szCs w:val="24"/>
        </w:rPr>
        <w:t>uvizeme</w:t>
      </w:r>
      <w:r w:rsidR="001B0444">
        <w:rPr>
          <w:rFonts w:ascii="Times New Roman" w:hAnsi="Times New Roman" w:cs="Times New Roman"/>
          <w:sz w:val="24"/>
          <w:szCs w:val="24"/>
        </w:rPr>
        <w:t>, r</w:t>
      </w:r>
      <w:r w:rsidR="00E225CE" w:rsidRPr="00E225CE">
        <w:rPr>
          <w:rFonts w:ascii="Times New Roman" w:hAnsi="Times New Roman" w:cs="Times New Roman"/>
          <w:sz w:val="24"/>
          <w:szCs w:val="24"/>
        </w:rPr>
        <w:t>endziny</w:t>
      </w:r>
      <w:r w:rsidR="001B0444">
        <w:rPr>
          <w:rFonts w:ascii="Times New Roman" w:hAnsi="Times New Roman" w:cs="Times New Roman"/>
          <w:sz w:val="24"/>
          <w:szCs w:val="24"/>
        </w:rPr>
        <w:t>, p</w:t>
      </w:r>
      <w:r w:rsidR="00E225CE" w:rsidRPr="00E225CE">
        <w:rPr>
          <w:rFonts w:ascii="Times New Roman" w:hAnsi="Times New Roman" w:cs="Times New Roman"/>
          <w:sz w:val="24"/>
          <w:szCs w:val="24"/>
        </w:rPr>
        <w:t xml:space="preserve">ararendziny </w:t>
      </w:r>
      <w:r w:rsidR="001B0444">
        <w:rPr>
          <w:rFonts w:ascii="Times New Roman" w:hAnsi="Times New Roman" w:cs="Times New Roman"/>
          <w:sz w:val="24"/>
          <w:szCs w:val="24"/>
        </w:rPr>
        <w:t>f</w:t>
      </w:r>
      <w:r w:rsidR="00E225CE" w:rsidRPr="00E225CE">
        <w:rPr>
          <w:rFonts w:ascii="Times New Roman" w:hAnsi="Times New Roman" w:cs="Times New Roman"/>
          <w:sz w:val="24"/>
          <w:szCs w:val="24"/>
        </w:rPr>
        <w:t>luvizeme</w:t>
      </w:r>
      <w:r w:rsidR="001B0444">
        <w:rPr>
          <w:rFonts w:ascii="Times New Roman" w:hAnsi="Times New Roman" w:cs="Times New Roman"/>
          <w:sz w:val="24"/>
          <w:szCs w:val="24"/>
        </w:rPr>
        <w:t>.</w:t>
      </w:r>
    </w:p>
    <w:p w14:paraId="3BCC20E1" w14:textId="77777777" w:rsidR="00E225CE" w:rsidRPr="00E225CE" w:rsidRDefault="00E225CE" w:rsidP="008C1772">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 xml:space="preserve"> </w:t>
      </w:r>
      <w:r w:rsidR="008C1772">
        <w:rPr>
          <w:rFonts w:ascii="Times New Roman" w:hAnsi="Times New Roman" w:cs="Times New Roman"/>
          <w:sz w:val="24"/>
          <w:szCs w:val="24"/>
        </w:rPr>
        <w:tab/>
      </w:r>
      <w:r w:rsidRPr="00E225CE">
        <w:rPr>
          <w:rFonts w:ascii="Times New Roman" w:hAnsi="Times New Roman" w:cs="Times New Roman"/>
          <w:sz w:val="24"/>
          <w:szCs w:val="24"/>
        </w:rPr>
        <w:t xml:space="preserve">V Kopaničiarskom regióne sa nachádzajú štyri pôdne druhy. Sú nimi piesčito-hlinitá pôda, hlinitá, ílovito-hlinitá a ílovitá pôda. Jednoznačne najrozšírenejším pôdnym druhom je hlinitý druh pôdy. Vyskytuje sa na väčšine územia  regiónu. Vyvinula sa na sprašiach a sprašových hlinách piesčitých vápencoch i vápnitých pieskovcoch. V poradí druhým najrozšírenejším druhom sú ílovito-hlinité pôdy, ktoré sa obvykle vyskytujú na vápencoch, dolomitoch, slieňoch a flyšových bridliciach.  Tretím najrozšírenejším pôdnym druhom je piesčito-hlinitá pôda, ktorá sa vyvinula v oblastiach pieskovcov a zlepencov, neobsahujúcich vápnitý tmeľ. Najmenšie zastúpenie má ílovitý druh pôd, vyskytujúci sa na slieňoch a bridliciach. </w:t>
      </w:r>
    </w:p>
    <w:p w14:paraId="21162BCF" w14:textId="77777777" w:rsidR="008C1772" w:rsidRDefault="008C1772" w:rsidP="008C1772">
      <w:pPr>
        <w:spacing w:after="0" w:line="360" w:lineRule="auto"/>
        <w:rPr>
          <w:rFonts w:ascii="Times New Roman" w:hAnsi="Times New Roman" w:cs="Times New Roman"/>
          <w:b/>
          <w:i/>
          <w:sz w:val="24"/>
          <w:szCs w:val="24"/>
        </w:rPr>
      </w:pPr>
    </w:p>
    <w:p w14:paraId="6A9B7665" w14:textId="77777777" w:rsidR="00D0587E" w:rsidRDefault="00D0587E" w:rsidP="008C1772">
      <w:pPr>
        <w:spacing w:after="0" w:line="360" w:lineRule="auto"/>
        <w:rPr>
          <w:rFonts w:ascii="Times New Roman" w:hAnsi="Times New Roman" w:cs="Times New Roman"/>
          <w:b/>
          <w:i/>
          <w:sz w:val="24"/>
          <w:szCs w:val="24"/>
        </w:rPr>
      </w:pPr>
    </w:p>
    <w:p w14:paraId="6919E47E" w14:textId="77777777" w:rsidR="0061100A" w:rsidRPr="00C46B09" w:rsidRDefault="0061100A" w:rsidP="008C1772">
      <w:pPr>
        <w:spacing w:after="0" w:line="360" w:lineRule="auto"/>
        <w:rPr>
          <w:rFonts w:ascii="Times New Roman" w:hAnsi="Times New Roman" w:cs="Times New Roman"/>
          <w:b/>
          <w:i/>
          <w:sz w:val="24"/>
          <w:szCs w:val="24"/>
        </w:rPr>
      </w:pPr>
      <w:r w:rsidRPr="00C46B09">
        <w:rPr>
          <w:rFonts w:ascii="Times New Roman" w:hAnsi="Times New Roman" w:cs="Times New Roman"/>
          <w:b/>
          <w:i/>
          <w:sz w:val="24"/>
          <w:szCs w:val="24"/>
        </w:rPr>
        <w:lastRenderedPageBreak/>
        <w:t>Výskyt a využitie nerastných surovín</w:t>
      </w:r>
    </w:p>
    <w:p w14:paraId="215FB3E1"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Územie regiónu je z hľadiska výskytu nerastných surovín chudobné. V rámci Myjavskej pahorkatiny boli zistené len nerudné nerastné suroviny, ktoré sa ťaži</w:t>
      </w:r>
      <w:r w:rsidR="0061100A">
        <w:rPr>
          <w:rFonts w:ascii="Times New Roman" w:hAnsi="Times New Roman" w:cs="Times New Roman"/>
          <w:sz w:val="24"/>
          <w:szCs w:val="24"/>
        </w:rPr>
        <w:t>li</w:t>
      </w:r>
      <w:r w:rsidR="0061100A" w:rsidRPr="00E225CE">
        <w:rPr>
          <w:rFonts w:ascii="Times New Roman" w:hAnsi="Times New Roman" w:cs="Times New Roman"/>
          <w:sz w:val="24"/>
          <w:szCs w:val="24"/>
        </w:rPr>
        <w:t xml:space="preserve"> vo viacerých menších ťažobniach a prevádzkach. Najrozšírenejšie </w:t>
      </w:r>
      <w:r w:rsidR="0061100A">
        <w:rPr>
          <w:rFonts w:ascii="Times New Roman" w:hAnsi="Times New Roman" w:cs="Times New Roman"/>
          <w:sz w:val="24"/>
          <w:szCs w:val="24"/>
        </w:rPr>
        <w:t>boli</w:t>
      </w:r>
      <w:r w:rsidR="0061100A" w:rsidRPr="00E225CE">
        <w:rPr>
          <w:rFonts w:ascii="Times New Roman" w:hAnsi="Times New Roman" w:cs="Times New Roman"/>
          <w:sz w:val="24"/>
          <w:szCs w:val="24"/>
        </w:rPr>
        <w:t xml:space="preserve"> stavebné tehliarske suroviny.</w:t>
      </w:r>
    </w:p>
    <w:p w14:paraId="6F848D1C"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 xml:space="preserve">Ako stavebné suroviny sa používajú hlavne vápence bradlového pásma. Ťažia sa vo viacerých menších lomoch viazaných na menšie či väčšie bradlá. Ani na jednej z lokalít však nemožno rátať so získaním väčšieho množstva zásob. Ďalej sa ťažia štrky a piesky neogénu. Paleogén magurskej jednotky poskytoval vhodnú surovinu pre výrobu tehál v tehelni v Myjave ako sú ílovce, menej vhodné vápnité ílovce, prechádzajúce miestami do slieňov a spraš. </w:t>
      </w:r>
      <w:r w:rsidR="0061100A">
        <w:rPr>
          <w:rFonts w:ascii="Times New Roman" w:hAnsi="Times New Roman" w:cs="Times New Roman"/>
          <w:sz w:val="24"/>
          <w:szCs w:val="24"/>
        </w:rPr>
        <w:t>Momentálne však nefunguje ani ťažba ani samotná tehelňa. V</w:t>
      </w:r>
      <w:r w:rsidR="0061100A" w:rsidRPr="00E225CE">
        <w:rPr>
          <w:rFonts w:ascii="Times New Roman" w:hAnsi="Times New Roman" w:cs="Times New Roman"/>
          <w:sz w:val="24"/>
          <w:szCs w:val="24"/>
        </w:rPr>
        <w:t xml:space="preserve"> rámci Myjavskej pahorkatiny </w:t>
      </w:r>
      <w:r w:rsidR="0061100A">
        <w:rPr>
          <w:rFonts w:ascii="Times New Roman" w:hAnsi="Times New Roman" w:cs="Times New Roman"/>
          <w:sz w:val="24"/>
          <w:szCs w:val="24"/>
        </w:rPr>
        <w:t xml:space="preserve">sa </w:t>
      </w:r>
      <w:r w:rsidR="0061100A" w:rsidRPr="00E225CE">
        <w:rPr>
          <w:rFonts w:ascii="Times New Roman" w:hAnsi="Times New Roman" w:cs="Times New Roman"/>
          <w:sz w:val="24"/>
          <w:szCs w:val="24"/>
        </w:rPr>
        <w:t>šošovkovito vyskytuje sádrovec, ktorý sa ťaž</w:t>
      </w:r>
      <w:r w:rsidR="0061100A">
        <w:rPr>
          <w:rFonts w:ascii="Times New Roman" w:hAnsi="Times New Roman" w:cs="Times New Roman"/>
          <w:sz w:val="24"/>
          <w:szCs w:val="24"/>
        </w:rPr>
        <w:t>il</w:t>
      </w:r>
      <w:r w:rsidR="0061100A" w:rsidRPr="00E225CE">
        <w:rPr>
          <w:rFonts w:ascii="Times New Roman" w:hAnsi="Times New Roman" w:cs="Times New Roman"/>
          <w:sz w:val="24"/>
          <w:szCs w:val="24"/>
        </w:rPr>
        <w:t xml:space="preserve"> pri obci Rudník. </w:t>
      </w:r>
    </w:p>
    <w:p w14:paraId="4B266B39" w14:textId="77777777" w:rsidR="0061100A" w:rsidRDefault="0061100A" w:rsidP="008C1772">
      <w:pPr>
        <w:spacing w:after="0" w:line="360" w:lineRule="auto"/>
        <w:jc w:val="both"/>
        <w:rPr>
          <w:rFonts w:ascii="Times New Roman" w:hAnsi="Times New Roman" w:cs="Times New Roman"/>
          <w:b/>
          <w:i/>
          <w:sz w:val="24"/>
          <w:szCs w:val="24"/>
        </w:rPr>
      </w:pPr>
    </w:p>
    <w:p w14:paraId="1BEC53E2" w14:textId="77777777" w:rsidR="0061100A" w:rsidRPr="004D6BDE" w:rsidRDefault="0061100A" w:rsidP="008C1772">
      <w:pPr>
        <w:spacing w:after="0" w:line="360" w:lineRule="auto"/>
        <w:jc w:val="both"/>
        <w:rPr>
          <w:rFonts w:ascii="Times New Roman" w:hAnsi="Times New Roman" w:cs="Times New Roman"/>
          <w:b/>
          <w:i/>
          <w:sz w:val="24"/>
          <w:szCs w:val="24"/>
        </w:rPr>
      </w:pPr>
      <w:r w:rsidRPr="004D6BDE">
        <w:rPr>
          <w:rFonts w:ascii="Times New Roman" w:hAnsi="Times New Roman" w:cs="Times New Roman"/>
          <w:b/>
          <w:i/>
          <w:sz w:val="24"/>
          <w:szCs w:val="24"/>
        </w:rPr>
        <w:t>Využitie územia a pôdneho fondu</w:t>
      </w:r>
    </w:p>
    <w:p w14:paraId="545AC756"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Kopaničiarsky región je v jeho centrálnej a západnej časti</w:t>
      </w:r>
      <w:r w:rsidR="0061100A">
        <w:rPr>
          <w:rFonts w:ascii="Times New Roman" w:hAnsi="Times New Roman" w:cs="Times New Roman"/>
          <w:sz w:val="24"/>
          <w:szCs w:val="24"/>
        </w:rPr>
        <w:t xml:space="preserve"> pomerne </w:t>
      </w:r>
      <w:r w:rsidR="0061100A" w:rsidRPr="00E225CE">
        <w:rPr>
          <w:rFonts w:ascii="Times New Roman" w:hAnsi="Times New Roman" w:cs="Times New Roman"/>
          <w:sz w:val="24"/>
          <w:szCs w:val="24"/>
        </w:rPr>
        <w:t>odlesneným územím, kde je využitie zeme orientované viac na poľnohospodárske účely – najmä ako orná pôda. Stupeň poľnohospodárskeho využitia sa pohybuje na úrovni 56,</w:t>
      </w:r>
      <w:r w:rsidR="0061100A">
        <w:rPr>
          <w:rFonts w:ascii="Times New Roman" w:hAnsi="Times New Roman" w:cs="Times New Roman"/>
          <w:sz w:val="24"/>
          <w:szCs w:val="24"/>
        </w:rPr>
        <w:t>57</w:t>
      </w:r>
      <w:r w:rsidR="0061100A" w:rsidRPr="00E225CE">
        <w:rPr>
          <w:rFonts w:ascii="Times New Roman" w:hAnsi="Times New Roman" w:cs="Times New Roman"/>
          <w:sz w:val="24"/>
          <w:szCs w:val="24"/>
        </w:rPr>
        <w:t xml:space="preserve"> %, čo je o vyše 6 % viac ako celoslovenský priemer. Dá sa teda konštatovať, že tento región je priemerne poľnohospodársky využívaný vzhľadom na slovenské pomery. Po poľnohospodárskej pôde nasledujú lesy, ktoré zaberajú takmer 3</w:t>
      </w:r>
      <w:r w:rsidR="0061100A">
        <w:rPr>
          <w:rFonts w:ascii="Times New Roman" w:hAnsi="Times New Roman" w:cs="Times New Roman"/>
          <w:sz w:val="24"/>
          <w:szCs w:val="24"/>
        </w:rPr>
        <w:t>4</w:t>
      </w:r>
      <w:r w:rsidR="0061100A" w:rsidRPr="00E225CE">
        <w:rPr>
          <w:rFonts w:ascii="Times New Roman" w:hAnsi="Times New Roman" w:cs="Times New Roman"/>
          <w:sz w:val="24"/>
          <w:szCs w:val="24"/>
        </w:rPr>
        <w:t xml:space="preserve"> % rozlohy z územia, avšak z celkovej nepoľnoho</w:t>
      </w:r>
      <w:r w:rsidR="0061100A">
        <w:rPr>
          <w:rFonts w:ascii="Times New Roman" w:hAnsi="Times New Roman" w:cs="Times New Roman"/>
          <w:sz w:val="24"/>
          <w:szCs w:val="24"/>
        </w:rPr>
        <w:t>s</w:t>
      </w:r>
      <w:r w:rsidR="0061100A" w:rsidRPr="00E225CE">
        <w:rPr>
          <w:rFonts w:ascii="Times New Roman" w:hAnsi="Times New Roman" w:cs="Times New Roman"/>
          <w:sz w:val="24"/>
          <w:szCs w:val="24"/>
        </w:rPr>
        <w:t xml:space="preserve">podárskej pôdy tvoria </w:t>
      </w:r>
      <w:r w:rsidR="0061100A">
        <w:rPr>
          <w:rFonts w:ascii="Times New Roman" w:hAnsi="Times New Roman" w:cs="Times New Roman"/>
          <w:sz w:val="24"/>
          <w:szCs w:val="24"/>
        </w:rPr>
        <w:t>až vyše 78</w:t>
      </w:r>
      <w:r w:rsidR="0061100A" w:rsidRPr="00E225CE">
        <w:rPr>
          <w:rFonts w:ascii="Times New Roman" w:hAnsi="Times New Roman" w:cs="Times New Roman"/>
          <w:sz w:val="24"/>
          <w:szCs w:val="24"/>
        </w:rPr>
        <w:t xml:space="preserve"> % (graf </w:t>
      </w:r>
      <w:r w:rsidR="0061100A">
        <w:rPr>
          <w:rFonts w:ascii="Times New Roman" w:hAnsi="Times New Roman" w:cs="Times New Roman"/>
          <w:sz w:val="24"/>
          <w:szCs w:val="24"/>
        </w:rPr>
        <w:t>3.1.2</w:t>
      </w:r>
      <w:r w:rsidR="0061100A" w:rsidRPr="00E225CE">
        <w:rPr>
          <w:rFonts w:ascii="Times New Roman" w:hAnsi="Times New Roman" w:cs="Times New Roman"/>
          <w:sz w:val="24"/>
          <w:szCs w:val="24"/>
        </w:rPr>
        <w:t xml:space="preserve">). Celkovú štruktúru pôdneho fondu v regióne vyjadruje tabuľka </w:t>
      </w:r>
      <w:r w:rsidR="0061100A">
        <w:rPr>
          <w:rFonts w:ascii="Times New Roman" w:hAnsi="Times New Roman" w:cs="Times New Roman"/>
          <w:sz w:val="24"/>
          <w:szCs w:val="24"/>
        </w:rPr>
        <w:t>3.1.1</w:t>
      </w:r>
      <w:r w:rsidR="0061100A" w:rsidRPr="00E225CE">
        <w:rPr>
          <w:rFonts w:ascii="Times New Roman" w:hAnsi="Times New Roman" w:cs="Times New Roman"/>
          <w:sz w:val="24"/>
          <w:szCs w:val="24"/>
        </w:rPr>
        <w:t>.</w:t>
      </w:r>
    </w:p>
    <w:p w14:paraId="399E1DF6" w14:textId="77777777" w:rsidR="0061100A" w:rsidRPr="007475FB" w:rsidRDefault="0061100A" w:rsidP="0061100A">
      <w:pPr>
        <w:spacing w:before="120" w:after="0" w:line="360" w:lineRule="auto"/>
        <w:jc w:val="both"/>
        <w:rPr>
          <w:rFonts w:ascii="Times New Roman" w:hAnsi="Times New Roman" w:cs="Times New Roman"/>
          <w:b/>
          <w:sz w:val="20"/>
          <w:szCs w:val="20"/>
        </w:rPr>
      </w:pPr>
      <w:r w:rsidRPr="007475FB">
        <w:rPr>
          <w:rFonts w:ascii="Times New Roman" w:hAnsi="Times New Roman" w:cs="Times New Roman"/>
          <w:b/>
          <w:sz w:val="20"/>
          <w:szCs w:val="20"/>
        </w:rPr>
        <w:t xml:space="preserve">Tabuľka 3.1.1 Štruktúra pôdneho fondu Kopaničiarskeho regiónu v roku 2014 </w:t>
      </w:r>
    </w:p>
    <w:tbl>
      <w:tblPr>
        <w:tblW w:w="5720" w:type="dxa"/>
        <w:tblInd w:w="55" w:type="dxa"/>
        <w:tblCellMar>
          <w:left w:w="70" w:type="dxa"/>
          <w:right w:w="70" w:type="dxa"/>
        </w:tblCellMar>
        <w:tblLook w:val="04A0" w:firstRow="1" w:lastRow="0" w:firstColumn="1" w:lastColumn="0" w:noHBand="0" w:noVBand="1"/>
      </w:tblPr>
      <w:tblGrid>
        <w:gridCol w:w="3000"/>
        <w:gridCol w:w="1360"/>
        <w:gridCol w:w="1360"/>
      </w:tblGrid>
      <w:tr w:rsidR="0061100A" w:rsidRPr="00157E40" w14:paraId="542F19AB" w14:textId="77777777" w:rsidTr="002B0209">
        <w:trPr>
          <w:trHeight w:val="330"/>
        </w:trPr>
        <w:tc>
          <w:tcPr>
            <w:tcW w:w="30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F0398B"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Pôdny fond</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77DC2E6F"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Rozloha</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54EE4738"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Rozloha</w:t>
            </w:r>
          </w:p>
        </w:tc>
      </w:tr>
      <w:tr w:rsidR="0061100A" w:rsidRPr="00157E40" w14:paraId="1F05CC40" w14:textId="77777777" w:rsidTr="002B0209">
        <w:trPr>
          <w:trHeight w:val="330"/>
        </w:trPr>
        <w:tc>
          <w:tcPr>
            <w:tcW w:w="3000" w:type="dxa"/>
            <w:vMerge/>
            <w:tcBorders>
              <w:top w:val="single" w:sz="4" w:space="0" w:color="auto"/>
              <w:left w:val="single" w:sz="4" w:space="0" w:color="auto"/>
              <w:bottom w:val="single" w:sz="4" w:space="0" w:color="auto"/>
              <w:right w:val="single" w:sz="4" w:space="0" w:color="auto"/>
            </w:tcBorders>
            <w:vAlign w:val="center"/>
            <w:hideMark/>
          </w:tcPr>
          <w:p w14:paraId="2DF8854C"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p>
        </w:tc>
        <w:tc>
          <w:tcPr>
            <w:tcW w:w="1360" w:type="dxa"/>
            <w:tcBorders>
              <w:top w:val="nil"/>
              <w:left w:val="nil"/>
              <w:bottom w:val="single" w:sz="4" w:space="0" w:color="auto"/>
              <w:right w:val="single" w:sz="4" w:space="0" w:color="auto"/>
            </w:tcBorders>
            <w:shd w:val="clear" w:color="000000" w:fill="D9D9D9"/>
            <w:vAlign w:val="center"/>
            <w:hideMark/>
          </w:tcPr>
          <w:p w14:paraId="321E75B9"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(ha)</w:t>
            </w:r>
          </w:p>
        </w:tc>
        <w:tc>
          <w:tcPr>
            <w:tcW w:w="1360" w:type="dxa"/>
            <w:tcBorders>
              <w:top w:val="nil"/>
              <w:left w:val="nil"/>
              <w:bottom w:val="single" w:sz="4" w:space="0" w:color="auto"/>
              <w:right w:val="single" w:sz="4" w:space="0" w:color="auto"/>
            </w:tcBorders>
            <w:shd w:val="clear" w:color="000000" w:fill="D9D9D9"/>
            <w:vAlign w:val="center"/>
            <w:hideMark/>
          </w:tcPr>
          <w:p w14:paraId="55970E20"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w:t>
            </w:r>
          </w:p>
        </w:tc>
      </w:tr>
      <w:tr w:rsidR="0061100A" w:rsidRPr="00157E40" w14:paraId="618BAE81"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3C7978EF"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Poľnohospodárska pôda:</w:t>
            </w:r>
          </w:p>
        </w:tc>
        <w:tc>
          <w:tcPr>
            <w:tcW w:w="1360" w:type="dxa"/>
            <w:tcBorders>
              <w:top w:val="nil"/>
              <w:left w:val="nil"/>
              <w:bottom w:val="single" w:sz="4" w:space="0" w:color="auto"/>
              <w:right w:val="single" w:sz="4" w:space="0" w:color="auto"/>
            </w:tcBorders>
            <w:shd w:val="clear" w:color="000000" w:fill="FFFFFF"/>
            <w:vAlign w:val="center"/>
          </w:tcPr>
          <w:p w14:paraId="1B213FD2"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p>
        </w:tc>
        <w:tc>
          <w:tcPr>
            <w:tcW w:w="1360" w:type="dxa"/>
            <w:tcBorders>
              <w:top w:val="nil"/>
              <w:left w:val="nil"/>
              <w:bottom w:val="single" w:sz="4" w:space="0" w:color="auto"/>
              <w:right w:val="single" w:sz="4" w:space="0" w:color="auto"/>
            </w:tcBorders>
            <w:shd w:val="clear" w:color="000000" w:fill="FFFFFF"/>
            <w:vAlign w:val="center"/>
          </w:tcPr>
          <w:p w14:paraId="659A0A58" w14:textId="77777777" w:rsidR="0061100A" w:rsidRPr="00157E40" w:rsidRDefault="0061100A" w:rsidP="002B0209">
            <w:pPr>
              <w:spacing w:after="0" w:line="240" w:lineRule="auto"/>
              <w:jc w:val="center"/>
              <w:rPr>
                <w:rFonts w:ascii="Times New Roman" w:eastAsia="Times New Roman" w:hAnsi="Times New Roman" w:cs="Times New Roman"/>
                <w:b/>
                <w:bCs/>
                <w:i/>
                <w:iCs/>
                <w:color w:val="000000"/>
                <w:sz w:val="20"/>
                <w:szCs w:val="20"/>
                <w:lang w:eastAsia="sk-SK"/>
              </w:rPr>
            </w:pPr>
          </w:p>
        </w:tc>
      </w:tr>
      <w:tr w:rsidR="0061100A" w:rsidRPr="00157E40" w14:paraId="2D7A24FB"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46B27137"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Orná pôda</w:t>
            </w:r>
          </w:p>
        </w:tc>
        <w:tc>
          <w:tcPr>
            <w:tcW w:w="1360" w:type="dxa"/>
            <w:tcBorders>
              <w:top w:val="nil"/>
              <w:left w:val="nil"/>
              <w:bottom w:val="single" w:sz="4" w:space="0" w:color="auto"/>
              <w:right w:val="single" w:sz="4" w:space="0" w:color="auto"/>
            </w:tcBorders>
            <w:shd w:val="clear" w:color="000000" w:fill="FFFFFF"/>
            <w:vAlign w:val="center"/>
            <w:hideMark/>
          </w:tcPr>
          <w:p w14:paraId="46AE2977"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18 021,21</w:t>
            </w:r>
          </w:p>
        </w:tc>
        <w:tc>
          <w:tcPr>
            <w:tcW w:w="1360" w:type="dxa"/>
            <w:tcBorders>
              <w:top w:val="nil"/>
              <w:left w:val="nil"/>
              <w:bottom w:val="single" w:sz="4" w:space="0" w:color="auto"/>
              <w:right w:val="single" w:sz="4" w:space="0" w:color="auto"/>
            </w:tcBorders>
            <w:shd w:val="clear" w:color="000000" w:fill="FFFFFF"/>
            <w:vAlign w:val="center"/>
            <w:hideMark/>
          </w:tcPr>
          <w:p w14:paraId="227995F2"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33,28</w:t>
            </w:r>
          </w:p>
        </w:tc>
      </w:tr>
      <w:tr w:rsidR="0061100A" w:rsidRPr="00157E40" w14:paraId="58DFCA54"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41E97046"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Vinice</w:t>
            </w:r>
          </w:p>
        </w:tc>
        <w:tc>
          <w:tcPr>
            <w:tcW w:w="1360" w:type="dxa"/>
            <w:tcBorders>
              <w:top w:val="nil"/>
              <w:left w:val="nil"/>
              <w:bottom w:val="single" w:sz="4" w:space="0" w:color="auto"/>
              <w:right w:val="single" w:sz="4" w:space="0" w:color="auto"/>
            </w:tcBorders>
            <w:shd w:val="clear" w:color="000000" w:fill="FFFFFF"/>
            <w:vAlign w:val="center"/>
            <w:hideMark/>
          </w:tcPr>
          <w:p w14:paraId="33850506"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8,3661</w:t>
            </w:r>
          </w:p>
        </w:tc>
        <w:tc>
          <w:tcPr>
            <w:tcW w:w="1360" w:type="dxa"/>
            <w:tcBorders>
              <w:top w:val="nil"/>
              <w:left w:val="nil"/>
              <w:bottom w:val="single" w:sz="4" w:space="0" w:color="auto"/>
              <w:right w:val="single" w:sz="4" w:space="0" w:color="auto"/>
            </w:tcBorders>
            <w:shd w:val="clear" w:color="000000" w:fill="FFFFFF"/>
            <w:vAlign w:val="center"/>
            <w:hideMark/>
          </w:tcPr>
          <w:p w14:paraId="111E779F"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0,02</w:t>
            </w:r>
          </w:p>
        </w:tc>
      </w:tr>
      <w:tr w:rsidR="0061100A" w:rsidRPr="00157E40" w14:paraId="2023495A"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1C61E1DE"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Chmeľnice</w:t>
            </w:r>
          </w:p>
        </w:tc>
        <w:tc>
          <w:tcPr>
            <w:tcW w:w="1360" w:type="dxa"/>
            <w:tcBorders>
              <w:top w:val="nil"/>
              <w:left w:val="nil"/>
              <w:bottom w:val="single" w:sz="4" w:space="0" w:color="auto"/>
              <w:right w:val="single" w:sz="4" w:space="0" w:color="auto"/>
            </w:tcBorders>
            <w:shd w:val="clear" w:color="000000" w:fill="FFFFFF"/>
            <w:vAlign w:val="center"/>
            <w:hideMark/>
          </w:tcPr>
          <w:p w14:paraId="7222C3F5"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26,5959</w:t>
            </w:r>
          </w:p>
        </w:tc>
        <w:tc>
          <w:tcPr>
            <w:tcW w:w="1360" w:type="dxa"/>
            <w:tcBorders>
              <w:top w:val="nil"/>
              <w:left w:val="nil"/>
              <w:bottom w:val="single" w:sz="4" w:space="0" w:color="auto"/>
              <w:right w:val="single" w:sz="4" w:space="0" w:color="auto"/>
            </w:tcBorders>
            <w:shd w:val="clear" w:color="000000" w:fill="FFFFFF"/>
            <w:vAlign w:val="center"/>
            <w:hideMark/>
          </w:tcPr>
          <w:p w14:paraId="3AC484B1"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0,05</w:t>
            </w:r>
          </w:p>
        </w:tc>
      </w:tr>
      <w:tr w:rsidR="0061100A" w:rsidRPr="00157E40" w14:paraId="500D56F4"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04C1CD60"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Záhrady</w:t>
            </w:r>
          </w:p>
        </w:tc>
        <w:tc>
          <w:tcPr>
            <w:tcW w:w="1360" w:type="dxa"/>
            <w:tcBorders>
              <w:top w:val="nil"/>
              <w:left w:val="nil"/>
              <w:bottom w:val="single" w:sz="4" w:space="0" w:color="auto"/>
              <w:right w:val="single" w:sz="4" w:space="0" w:color="auto"/>
            </w:tcBorders>
            <w:shd w:val="clear" w:color="000000" w:fill="FFFFFF"/>
            <w:vAlign w:val="center"/>
            <w:hideMark/>
          </w:tcPr>
          <w:p w14:paraId="19F0A0E3"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1 582,98</w:t>
            </w:r>
          </w:p>
        </w:tc>
        <w:tc>
          <w:tcPr>
            <w:tcW w:w="1360" w:type="dxa"/>
            <w:tcBorders>
              <w:top w:val="nil"/>
              <w:left w:val="nil"/>
              <w:bottom w:val="single" w:sz="4" w:space="0" w:color="auto"/>
              <w:right w:val="single" w:sz="4" w:space="0" w:color="auto"/>
            </w:tcBorders>
            <w:shd w:val="clear" w:color="000000" w:fill="FFFFFF"/>
            <w:vAlign w:val="center"/>
            <w:hideMark/>
          </w:tcPr>
          <w:p w14:paraId="3F58E31B"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2,92</w:t>
            </w:r>
          </w:p>
        </w:tc>
      </w:tr>
      <w:tr w:rsidR="0061100A" w:rsidRPr="00157E40" w14:paraId="5B83CC2D"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2ACDA7CF"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Ovocné sady</w:t>
            </w:r>
          </w:p>
        </w:tc>
        <w:tc>
          <w:tcPr>
            <w:tcW w:w="1360" w:type="dxa"/>
            <w:tcBorders>
              <w:top w:val="nil"/>
              <w:left w:val="nil"/>
              <w:bottom w:val="single" w:sz="4" w:space="0" w:color="auto"/>
              <w:right w:val="single" w:sz="4" w:space="0" w:color="auto"/>
            </w:tcBorders>
            <w:shd w:val="clear" w:color="000000" w:fill="FFFFFF"/>
            <w:vAlign w:val="center"/>
            <w:hideMark/>
          </w:tcPr>
          <w:p w14:paraId="2EAB6985"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920,55</w:t>
            </w:r>
          </w:p>
        </w:tc>
        <w:tc>
          <w:tcPr>
            <w:tcW w:w="1360" w:type="dxa"/>
            <w:tcBorders>
              <w:top w:val="nil"/>
              <w:left w:val="nil"/>
              <w:bottom w:val="single" w:sz="4" w:space="0" w:color="auto"/>
              <w:right w:val="single" w:sz="4" w:space="0" w:color="auto"/>
            </w:tcBorders>
            <w:shd w:val="clear" w:color="000000" w:fill="FFFFFF"/>
            <w:vAlign w:val="center"/>
            <w:hideMark/>
          </w:tcPr>
          <w:p w14:paraId="00FBEB70"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1,70</w:t>
            </w:r>
          </w:p>
        </w:tc>
      </w:tr>
      <w:tr w:rsidR="0061100A" w:rsidRPr="00157E40" w14:paraId="08D52977"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6A3CC5CB"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TTP</w:t>
            </w:r>
          </w:p>
        </w:tc>
        <w:tc>
          <w:tcPr>
            <w:tcW w:w="1360" w:type="dxa"/>
            <w:tcBorders>
              <w:top w:val="nil"/>
              <w:left w:val="nil"/>
              <w:bottom w:val="single" w:sz="4" w:space="0" w:color="auto"/>
              <w:right w:val="single" w:sz="4" w:space="0" w:color="auto"/>
            </w:tcBorders>
            <w:shd w:val="clear" w:color="000000" w:fill="FFFFFF"/>
            <w:vAlign w:val="center"/>
            <w:hideMark/>
          </w:tcPr>
          <w:p w14:paraId="387CF42F"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10 070,12</w:t>
            </w:r>
          </w:p>
        </w:tc>
        <w:tc>
          <w:tcPr>
            <w:tcW w:w="1360" w:type="dxa"/>
            <w:tcBorders>
              <w:top w:val="nil"/>
              <w:left w:val="nil"/>
              <w:bottom w:val="single" w:sz="4" w:space="0" w:color="auto"/>
              <w:right w:val="single" w:sz="4" w:space="0" w:color="auto"/>
            </w:tcBorders>
            <w:shd w:val="clear" w:color="000000" w:fill="FFFFFF"/>
            <w:vAlign w:val="center"/>
            <w:hideMark/>
          </w:tcPr>
          <w:p w14:paraId="2CB07715"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18,60</w:t>
            </w:r>
          </w:p>
        </w:tc>
      </w:tr>
      <w:tr w:rsidR="0061100A" w:rsidRPr="00157E40" w14:paraId="0B5619A6" w14:textId="77777777" w:rsidTr="00157E40">
        <w:trPr>
          <w:trHeight w:val="462"/>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74A45C9F"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Spolu poľnohospodárska pôda</w:t>
            </w:r>
          </w:p>
        </w:tc>
        <w:tc>
          <w:tcPr>
            <w:tcW w:w="1360" w:type="dxa"/>
            <w:tcBorders>
              <w:top w:val="nil"/>
              <w:left w:val="nil"/>
              <w:bottom w:val="single" w:sz="4" w:space="0" w:color="auto"/>
              <w:right w:val="single" w:sz="4" w:space="0" w:color="auto"/>
            </w:tcBorders>
            <w:shd w:val="clear" w:color="000000" w:fill="FFFFFF"/>
            <w:vAlign w:val="center"/>
            <w:hideMark/>
          </w:tcPr>
          <w:p w14:paraId="608227E9" w14:textId="77777777" w:rsidR="0061100A" w:rsidRPr="00157E40" w:rsidRDefault="0061100A" w:rsidP="002B0209">
            <w:pPr>
              <w:spacing w:after="0" w:line="240" w:lineRule="auto"/>
              <w:jc w:val="right"/>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30 629,82</w:t>
            </w:r>
          </w:p>
        </w:tc>
        <w:tc>
          <w:tcPr>
            <w:tcW w:w="1360" w:type="dxa"/>
            <w:tcBorders>
              <w:top w:val="nil"/>
              <w:left w:val="nil"/>
              <w:bottom w:val="single" w:sz="4" w:space="0" w:color="auto"/>
              <w:right w:val="single" w:sz="4" w:space="0" w:color="auto"/>
            </w:tcBorders>
            <w:shd w:val="clear" w:color="000000" w:fill="FFFFFF"/>
            <w:vAlign w:val="center"/>
            <w:hideMark/>
          </w:tcPr>
          <w:p w14:paraId="7C420210"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56,57</w:t>
            </w:r>
          </w:p>
        </w:tc>
      </w:tr>
      <w:tr w:rsidR="0061100A" w:rsidRPr="00157E40" w14:paraId="3E373782"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0122B646"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Nepoľnohospodárska pôda:</w:t>
            </w:r>
          </w:p>
        </w:tc>
        <w:tc>
          <w:tcPr>
            <w:tcW w:w="1360" w:type="dxa"/>
            <w:tcBorders>
              <w:top w:val="nil"/>
              <w:left w:val="nil"/>
              <w:bottom w:val="single" w:sz="4" w:space="0" w:color="auto"/>
              <w:right w:val="single" w:sz="4" w:space="0" w:color="auto"/>
            </w:tcBorders>
            <w:shd w:val="clear" w:color="000000" w:fill="FFFFFF"/>
            <w:vAlign w:val="center"/>
          </w:tcPr>
          <w:p w14:paraId="2BB73B0D"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p>
        </w:tc>
        <w:tc>
          <w:tcPr>
            <w:tcW w:w="1360" w:type="dxa"/>
            <w:tcBorders>
              <w:top w:val="nil"/>
              <w:left w:val="nil"/>
              <w:bottom w:val="single" w:sz="4" w:space="0" w:color="auto"/>
              <w:right w:val="single" w:sz="4" w:space="0" w:color="auto"/>
            </w:tcBorders>
            <w:shd w:val="clear" w:color="000000" w:fill="FFFFFF"/>
            <w:vAlign w:val="center"/>
          </w:tcPr>
          <w:p w14:paraId="2F612E3A"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p>
        </w:tc>
      </w:tr>
      <w:tr w:rsidR="0061100A" w:rsidRPr="00157E40" w14:paraId="0777AC10"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67593C8B"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Lesné pozemky</w:t>
            </w:r>
          </w:p>
        </w:tc>
        <w:tc>
          <w:tcPr>
            <w:tcW w:w="1360" w:type="dxa"/>
            <w:tcBorders>
              <w:top w:val="nil"/>
              <w:left w:val="nil"/>
              <w:bottom w:val="single" w:sz="4" w:space="0" w:color="auto"/>
              <w:right w:val="single" w:sz="4" w:space="0" w:color="auto"/>
            </w:tcBorders>
            <w:shd w:val="clear" w:color="000000" w:fill="FFFFFF"/>
            <w:noWrap/>
            <w:vAlign w:val="center"/>
            <w:hideMark/>
          </w:tcPr>
          <w:p w14:paraId="65749F93"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18 375,14</w:t>
            </w:r>
          </w:p>
        </w:tc>
        <w:tc>
          <w:tcPr>
            <w:tcW w:w="1360" w:type="dxa"/>
            <w:tcBorders>
              <w:top w:val="nil"/>
              <w:left w:val="nil"/>
              <w:bottom w:val="single" w:sz="4" w:space="0" w:color="auto"/>
              <w:right w:val="single" w:sz="4" w:space="0" w:color="auto"/>
            </w:tcBorders>
            <w:shd w:val="clear" w:color="000000" w:fill="FFFFFF"/>
            <w:noWrap/>
            <w:vAlign w:val="center"/>
            <w:hideMark/>
          </w:tcPr>
          <w:p w14:paraId="461AA6A4"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33,94</w:t>
            </w:r>
          </w:p>
        </w:tc>
      </w:tr>
      <w:tr w:rsidR="0061100A" w:rsidRPr="00157E40" w14:paraId="418FE769"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1510840F"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Vodné plochy</w:t>
            </w:r>
          </w:p>
        </w:tc>
        <w:tc>
          <w:tcPr>
            <w:tcW w:w="1360" w:type="dxa"/>
            <w:tcBorders>
              <w:top w:val="nil"/>
              <w:left w:val="nil"/>
              <w:bottom w:val="single" w:sz="4" w:space="0" w:color="auto"/>
              <w:right w:val="single" w:sz="4" w:space="0" w:color="auto"/>
            </w:tcBorders>
            <w:shd w:val="clear" w:color="000000" w:fill="FFFFFF"/>
            <w:vAlign w:val="center"/>
            <w:hideMark/>
          </w:tcPr>
          <w:p w14:paraId="35A6E74D"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525,4785</w:t>
            </w:r>
          </w:p>
        </w:tc>
        <w:tc>
          <w:tcPr>
            <w:tcW w:w="1360" w:type="dxa"/>
            <w:tcBorders>
              <w:top w:val="nil"/>
              <w:left w:val="nil"/>
              <w:bottom w:val="single" w:sz="4" w:space="0" w:color="auto"/>
              <w:right w:val="single" w:sz="4" w:space="0" w:color="auto"/>
            </w:tcBorders>
            <w:shd w:val="clear" w:color="000000" w:fill="FFFFFF"/>
            <w:vAlign w:val="center"/>
            <w:hideMark/>
          </w:tcPr>
          <w:p w14:paraId="5F04431F"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0,97</w:t>
            </w:r>
          </w:p>
        </w:tc>
      </w:tr>
      <w:tr w:rsidR="0061100A" w:rsidRPr="00157E40" w14:paraId="4148E62A"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48AD773E"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lastRenderedPageBreak/>
              <w:t>Zastavané plochy</w:t>
            </w:r>
          </w:p>
        </w:tc>
        <w:tc>
          <w:tcPr>
            <w:tcW w:w="1360" w:type="dxa"/>
            <w:tcBorders>
              <w:top w:val="nil"/>
              <w:left w:val="nil"/>
              <w:bottom w:val="single" w:sz="4" w:space="0" w:color="auto"/>
              <w:right w:val="single" w:sz="4" w:space="0" w:color="auto"/>
            </w:tcBorders>
            <w:shd w:val="clear" w:color="000000" w:fill="FFFFFF"/>
            <w:vAlign w:val="center"/>
            <w:hideMark/>
          </w:tcPr>
          <w:p w14:paraId="41C46608"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3 045,25</w:t>
            </w:r>
          </w:p>
        </w:tc>
        <w:tc>
          <w:tcPr>
            <w:tcW w:w="1360" w:type="dxa"/>
            <w:tcBorders>
              <w:top w:val="nil"/>
              <w:left w:val="nil"/>
              <w:bottom w:val="single" w:sz="4" w:space="0" w:color="auto"/>
              <w:right w:val="single" w:sz="4" w:space="0" w:color="auto"/>
            </w:tcBorders>
            <w:shd w:val="clear" w:color="000000" w:fill="FFFFFF"/>
            <w:vAlign w:val="center"/>
            <w:hideMark/>
          </w:tcPr>
          <w:p w14:paraId="268B18F3"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5,62</w:t>
            </w:r>
          </w:p>
        </w:tc>
      </w:tr>
      <w:tr w:rsidR="0061100A" w:rsidRPr="00157E40" w14:paraId="1703B627"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24B2A277" w14:textId="77777777" w:rsidR="0061100A" w:rsidRPr="00157E40" w:rsidRDefault="0061100A" w:rsidP="00157E40">
            <w:pPr>
              <w:spacing w:after="0" w:line="240" w:lineRule="auto"/>
              <w:ind w:firstLineChars="300" w:firstLine="602"/>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Ostatné plochy</w:t>
            </w:r>
          </w:p>
        </w:tc>
        <w:tc>
          <w:tcPr>
            <w:tcW w:w="1360" w:type="dxa"/>
            <w:tcBorders>
              <w:top w:val="nil"/>
              <w:left w:val="nil"/>
              <w:bottom w:val="single" w:sz="4" w:space="0" w:color="auto"/>
              <w:right w:val="single" w:sz="4" w:space="0" w:color="auto"/>
            </w:tcBorders>
            <w:shd w:val="clear" w:color="000000" w:fill="FFFFFF"/>
            <w:vAlign w:val="center"/>
            <w:hideMark/>
          </w:tcPr>
          <w:p w14:paraId="740F7476" w14:textId="77777777" w:rsidR="0061100A" w:rsidRPr="00157E40" w:rsidRDefault="0061100A" w:rsidP="002B0209">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1 568,92</w:t>
            </w:r>
          </w:p>
        </w:tc>
        <w:tc>
          <w:tcPr>
            <w:tcW w:w="1360" w:type="dxa"/>
            <w:tcBorders>
              <w:top w:val="nil"/>
              <w:left w:val="nil"/>
              <w:bottom w:val="single" w:sz="4" w:space="0" w:color="auto"/>
              <w:right w:val="single" w:sz="4" w:space="0" w:color="auto"/>
            </w:tcBorders>
            <w:shd w:val="clear" w:color="000000" w:fill="FFFFFF"/>
            <w:vAlign w:val="center"/>
            <w:hideMark/>
          </w:tcPr>
          <w:p w14:paraId="0FF3CCC7" w14:textId="77777777" w:rsidR="0061100A" w:rsidRPr="00157E40" w:rsidRDefault="0061100A" w:rsidP="002B0209">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2,90</w:t>
            </w:r>
          </w:p>
        </w:tc>
      </w:tr>
      <w:tr w:rsidR="0061100A" w:rsidRPr="00157E40" w14:paraId="7E6677E5" w14:textId="77777777" w:rsidTr="002B0209">
        <w:trPr>
          <w:trHeight w:val="645"/>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046FB111"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Spolu nepoľnohospodárska pôda</w:t>
            </w:r>
          </w:p>
        </w:tc>
        <w:tc>
          <w:tcPr>
            <w:tcW w:w="1360" w:type="dxa"/>
            <w:tcBorders>
              <w:top w:val="nil"/>
              <w:left w:val="nil"/>
              <w:bottom w:val="single" w:sz="4" w:space="0" w:color="auto"/>
              <w:right w:val="single" w:sz="4" w:space="0" w:color="auto"/>
            </w:tcBorders>
            <w:shd w:val="clear" w:color="000000" w:fill="FFFFFF"/>
            <w:vAlign w:val="center"/>
            <w:hideMark/>
          </w:tcPr>
          <w:p w14:paraId="4BE883CF" w14:textId="77777777" w:rsidR="0061100A" w:rsidRPr="00157E40" w:rsidRDefault="0061100A" w:rsidP="002B0209">
            <w:pPr>
              <w:spacing w:after="0" w:line="240" w:lineRule="auto"/>
              <w:jc w:val="right"/>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23 514,78</w:t>
            </w:r>
          </w:p>
        </w:tc>
        <w:tc>
          <w:tcPr>
            <w:tcW w:w="1360" w:type="dxa"/>
            <w:tcBorders>
              <w:top w:val="nil"/>
              <w:left w:val="nil"/>
              <w:bottom w:val="single" w:sz="4" w:space="0" w:color="auto"/>
              <w:right w:val="single" w:sz="4" w:space="0" w:color="auto"/>
            </w:tcBorders>
            <w:shd w:val="clear" w:color="000000" w:fill="FFFFFF"/>
            <w:vAlign w:val="center"/>
            <w:hideMark/>
          </w:tcPr>
          <w:p w14:paraId="3215839A"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43,43</w:t>
            </w:r>
          </w:p>
        </w:tc>
      </w:tr>
      <w:tr w:rsidR="0061100A" w:rsidRPr="00157E40" w14:paraId="4F8FB61C" w14:textId="77777777" w:rsidTr="002B0209">
        <w:trPr>
          <w:trHeight w:val="330"/>
        </w:trPr>
        <w:tc>
          <w:tcPr>
            <w:tcW w:w="3000" w:type="dxa"/>
            <w:tcBorders>
              <w:top w:val="nil"/>
              <w:left w:val="single" w:sz="4" w:space="0" w:color="auto"/>
              <w:bottom w:val="single" w:sz="4" w:space="0" w:color="auto"/>
              <w:right w:val="single" w:sz="4" w:space="0" w:color="auto"/>
            </w:tcBorders>
            <w:shd w:val="clear" w:color="000000" w:fill="D9D9D9"/>
            <w:vAlign w:val="center"/>
            <w:hideMark/>
          </w:tcPr>
          <w:p w14:paraId="3C127AF0" w14:textId="77777777" w:rsidR="0061100A" w:rsidRPr="00157E40" w:rsidRDefault="0061100A" w:rsidP="002B0209">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Celkom pôda</w:t>
            </w:r>
          </w:p>
        </w:tc>
        <w:tc>
          <w:tcPr>
            <w:tcW w:w="1360" w:type="dxa"/>
            <w:tcBorders>
              <w:top w:val="nil"/>
              <w:left w:val="nil"/>
              <w:bottom w:val="single" w:sz="4" w:space="0" w:color="auto"/>
              <w:right w:val="single" w:sz="4" w:space="0" w:color="auto"/>
            </w:tcBorders>
            <w:shd w:val="clear" w:color="000000" w:fill="FFFFFF"/>
            <w:vAlign w:val="center"/>
            <w:hideMark/>
          </w:tcPr>
          <w:p w14:paraId="2C030EA6" w14:textId="77777777" w:rsidR="0061100A" w:rsidRPr="00157E40" w:rsidRDefault="0061100A" w:rsidP="002B0209">
            <w:pPr>
              <w:spacing w:after="0" w:line="240" w:lineRule="auto"/>
              <w:jc w:val="right"/>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54 144,60</w:t>
            </w:r>
          </w:p>
        </w:tc>
        <w:tc>
          <w:tcPr>
            <w:tcW w:w="1360" w:type="dxa"/>
            <w:tcBorders>
              <w:top w:val="nil"/>
              <w:left w:val="nil"/>
              <w:bottom w:val="single" w:sz="4" w:space="0" w:color="auto"/>
              <w:right w:val="single" w:sz="4" w:space="0" w:color="auto"/>
            </w:tcBorders>
            <w:shd w:val="clear" w:color="000000" w:fill="FFFFFF"/>
            <w:vAlign w:val="center"/>
            <w:hideMark/>
          </w:tcPr>
          <w:p w14:paraId="0C55B865" w14:textId="77777777" w:rsidR="0061100A" w:rsidRPr="00157E40" w:rsidRDefault="0061100A" w:rsidP="002B0209">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100,00</w:t>
            </w:r>
          </w:p>
        </w:tc>
      </w:tr>
    </w:tbl>
    <w:p w14:paraId="574A2B95" w14:textId="77777777" w:rsidR="0061100A" w:rsidRPr="00E225CE" w:rsidRDefault="0061100A" w:rsidP="0061100A">
      <w:pPr>
        <w:spacing w:before="120" w:after="0" w:line="360" w:lineRule="auto"/>
        <w:jc w:val="both"/>
        <w:rPr>
          <w:rFonts w:ascii="Times New Roman" w:hAnsi="Times New Roman" w:cs="Times New Roman"/>
          <w:sz w:val="24"/>
          <w:szCs w:val="24"/>
        </w:rPr>
      </w:pPr>
    </w:p>
    <w:p w14:paraId="5376E40C" w14:textId="77777777" w:rsidR="0061100A" w:rsidRPr="007475FB" w:rsidRDefault="0061100A" w:rsidP="0061100A">
      <w:pPr>
        <w:keepNext/>
        <w:spacing w:before="120" w:after="0" w:line="240" w:lineRule="auto"/>
        <w:jc w:val="both"/>
        <w:rPr>
          <w:rFonts w:ascii="Times New Roman" w:hAnsi="Times New Roman" w:cs="Times New Roman"/>
          <w:b/>
          <w:sz w:val="20"/>
          <w:szCs w:val="20"/>
        </w:rPr>
      </w:pPr>
      <w:r w:rsidRPr="007475FB">
        <w:rPr>
          <w:rFonts w:ascii="Times New Roman" w:hAnsi="Times New Roman" w:cs="Times New Roman"/>
          <w:b/>
          <w:sz w:val="20"/>
          <w:szCs w:val="20"/>
        </w:rPr>
        <w:t>Graf 3.1.1</w:t>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007475FB">
        <w:rPr>
          <w:rFonts w:ascii="Times New Roman" w:hAnsi="Times New Roman" w:cs="Times New Roman"/>
          <w:b/>
          <w:sz w:val="20"/>
          <w:szCs w:val="20"/>
        </w:rPr>
        <w:t xml:space="preserve">  </w:t>
      </w:r>
      <w:r w:rsidRPr="007475FB">
        <w:rPr>
          <w:rFonts w:ascii="Times New Roman" w:hAnsi="Times New Roman" w:cs="Times New Roman"/>
          <w:b/>
          <w:sz w:val="20"/>
          <w:szCs w:val="20"/>
        </w:rPr>
        <w:t>Graf 3.1.2</w:t>
      </w:r>
    </w:p>
    <w:p w14:paraId="13176FF0" w14:textId="77777777" w:rsidR="0061100A" w:rsidRPr="007475FB" w:rsidRDefault="0061100A" w:rsidP="0061100A">
      <w:pPr>
        <w:keepNext/>
        <w:spacing w:before="120" w:after="0" w:line="240" w:lineRule="auto"/>
        <w:jc w:val="both"/>
        <w:rPr>
          <w:rFonts w:ascii="Times New Roman" w:hAnsi="Times New Roman" w:cs="Times New Roman"/>
          <w:b/>
          <w:sz w:val="20"/>
          <w:szCs w:val="20"/>
        </w:rPr>
      </w:pPr>
      <w:r w:rsidRPr="007475FB">
        <w:rPr>
          <w:rFonts w:ascii="Times New Roman" w:hAnsi="Times New Roman" w:cs="Times New Roman"/>
          <w:b/>
          <w:sz w:val="20"/>
          <w:szCs w:val="20"/>
        </w:rPr>
        <w:t>Štruktúra poľnohospodárskej pôdy</w:t>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007475FB">
        <w:rPr>
          <w:rFonts w:ascii="Times New Roman" w:hAnsi="Times New Roman" w:cs="Times New Roman"/>
          <w:b/>
          <w:sz w:val="20"/>
          <w:szCs w:val="20"/>
        </w:rPr>
        <w:t xml:space="preserve">  </w:t>
      </w:r>
      <w:r w:rsidRPr="007475FB">
        <w:rPr>
          <w:rFonts w:ascii="Times New Roman" w:hAnsi="Times New Roman" w:cs="Times New Roman"/>
          <w:b/>
          <w:sz w:val="20"/>
          <w:szCs w:val="20"/>
        </w:rPr>
        <w:t>Štruktúra nepoľnohospodárskej pôdy</w:t>
      </w:r>
    </w:p>
    <w:p w14:paraId="052DF9EC" w14:textId="77777777" w:rsidR="0061100A" w:rsidRPr="007475FB" w:rsidRDefault="0061100A" w:rsidP="0061100A">
      <w:pPr>
        <w:keepNext/>
        <w:spacing w:before="120" w:after="0" w:line="240" w:lineRule="auto"/>
        <w:jc w:val="both"/>
        <w:rPr>
          <w:rFonts w:ascii="Times New Roman" w:hAnsi="Times New Roman" w:cs="Times New Roman"/>
          <w:b/>
          <w:sz w:val="20"/>
          <w:szCs w:val="20"/>
        </w:rPr>
      </w:pPr>
      <w:r w:rsidRPr="007475FB">
        <w:rPr>
          <w:rFonts w:ascii="Times New Roman" w:hAnsi="Times New Roman" w:cs="Times New Roman"/>
          <w:b/>
          <w:sz w:val="20"/>
          <w:szCs w:val="20"/>
        </w:rPr>
        <w:t>Kopaničiarskeho regiónu v roku 2014</w:t>
      </w:r>
      <w:r w:rsidRPr="007475FB">
        <w:rPr>
          <w:rFonts w:ascii="Times New Roman" w:hAnsi="Times New Roman" w:cs="Times New Roman"/>
          <w:b/>
          <w:sz w:val="20"/>
          <w:szCs w:val="20"/>
        </w:rPr>
        <w:tab/>
      </w:r>
      <w:r w:rsidRPr="007475FB">
        <w:rPr>
          <w:rFonts w:ascii="Times New Roman" w:hAnsi="Times New Roman" w:cs="Times New Roman"/>
          <w:b/>
          <w:sz w:val="20"/>
          <w:szCs w:val="20"/>
        </w:rPr>
        <w:tab/>
      </w:r>
      <w:r w:rsidR="007475FB">
        <w:rPr>
          <w:rFonts w:ascii="Times New Roman" w:hAnsi="Times New Roman" w:cs="Times New Roman"/>
          <w:b/>
          <w:sz w:val="20"/>
          <w:szCs w:val="20"/>
        </w:rPr>
        <w:t xml:space="preserve">  </w:t>
      </w:r>
      <w:r w:rsidRPr="007475FB">
        <w:rPr>
          <w:rFonts w:ascii="Times New Roman" w:hAnsi="Times New Roman" w:cs="Times New Roman"/>
          <w:b/>
          <w:sz w:val="20"/>
          <w:szCs w:val="20"/>
        </w:rPr>
        <w:t>Kopaničiarskeho regiónu v roku 2014</w:t>
      </w:r>
    </w:p>
    <w:p w14:paraId="4FD97AE5" w14:textId="77777777" w:rsidR="0061100A" w:rsidRDefault="00362E8C" w:rsidP="0061100A">
      <w:pPr>
        <w:spacing w:before="12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E40BEAA" wp14:editId="74DF583F">
            <wp:extent cx="2762250" cy="18478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672" cy="1844119"/>
                    </a:xfrm>
                    <a:prstGeom prst="rect">
                      <a:avLst/>
                    </a:prstGeom>
                    <a:noFill/>
                  </pic:spPr>
                </pic:pic>
              </a:graphicData>
            </a:graphic>
          </wp:inline>
        </w:drawing>
      </w:r>
      <w:r>
        <w:rPr>
          <w:rFonts w:ascii="Times New Roman" w:hAnsi="Times New Roman" w:cs="Times New Roman"/>
          <w:noProof/>
          <w:sz w:val="24"/>
          <w:szCs w:val="24"/>
          <w:lang w:eastAsia="sk-SK"/>
        </w:rPr>
        <w:drawing>
          <wp:inline distT="0" distB="0" distL="0" distR="0" wp14:anchorId="37495695" wp14:editId="138B68F9">
            <wp:extent cx="2838450" cy="1846259"/>
            <wp:effectExtent l="0" t="0" r="0" b="190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642" cy="1848986"/>
                    </a:xfrm>
                    <a:prstGeom prst="rect">
                      <a:avLst/>
                    </a:prstGeom>
                    <a:noFill/>
                  </pic:spPr>
                </pic:pic>
              </a:graphicData>
            </a:graphic>
          </wp:inline>
        </w:drawing>
      </w:r>
    </w:p>
    <w:p w14:paraId="654C8AD1" w14:textId="77777777" w:rsidR="0061100A" w:rsidRDefault="0061100A" w:rsidP="00157E40">
      <w:pPr>
        <w:spacing w:after="0" w:line="360" w:lineRule="auto"/>
        <w:jc w:val="both"/>
        <w:rPr>
          <w:rFonts w:ascii="Times New Roman" w:hAnsi="Times New Roman" w:cs="Times New Roman"/>
          <w:sz w:val="24"/>
          <w:szCs w:val="24"/>
        </w:rPr>
      </w:pPr>
    </w:p>
    <w:p w14:paraId="447655C8"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Poľnohospodárska pôda v regióne je do najväčšej miery využívaná ako orná pôda – až 5</w:t>
      </w:r>
      <w:r w:rsidR="0061100A">
        <w:rPr>
          <w:rFonts w:ascii="Times New Roman" w:hAnsi="Times New Roman" w:cs="Times New Roman"/>
          <w:sz w:val="24"/>
          <w:szCs w:val="24"/>
        </w:rPr>
        <w:t>8,84</w:t>
      </w:r>
      <w:r w:rsidR="0061100A" w:rsidRPr="00E225CE">
        <w:rPr>
          <w:rFonts w:ascii="Times New Roman" w:hAnsi="Times New Roman" w:cs="Times New Roman"/>
          <w:sz w:val="24"/>
          <w:szCs w:val="24"/>
        </w:rPr>
        <w:t xml:space="preserve"> %. Z celkovej výmery územia zaberá orná pôda 33,</w:t>
      </w:r>
      <w:r w:rsidR="0061100A">
        <w:rPr>
          <w:rFonts w:ascii="Times New Roman" w:hAnsi="Times New Roman" w:cs="Times New Roman"/>
          <w:sz w:val="24"/>
          <w:szCs w:val="24"/>
        </w:rPr>
        <w:t>28</w:t>
      </w:r>
      <w:r w:rsidR="0061100A" w:rsidRPr="00E225CE">
        <w:rPr>
          <w:rFonts w:ascii="Times New Roman" w:hAnsi="Times New Roman" w:cs="Times New Roman"/>
          <w:sz w:val="24"/>
          <w:szCs w:val="24"/>
        </w:rPr>
        <w:t xml:space="preserve"> %. V rámci štruktúry poľnohospodárskej pôdy trvalé trávne porasty pokrývajú 3</w:t>
      </w:r>
      <w:r w:rsidR="0061100A">
        <w:rPr>
          <w:rFonts w:ascii="Times New Roman" w:hAnsi="Times New Roman" w:cs="Times New Roman"/>
          <w:sz w:val="24"/>
          <w:szCs w:val="24"/>
        </w:rPr>
        <w:t>2,88</w:t>
      </w:r>
      <w:r w:rsidR="0061100A" w:rsidRPr="00E225CE">
        <w:rPr>
          <w:rFonts w:ascii="Times New Roman" w:hAnsi="Times New Roman" w:cs="Times New Roman"/>
          <w:sz w:val="24"/>
          <w:szCs w:val="24"/>
        </w:rPr>
        <w:t xml:space="preserve"> %. Nasledujú záhrady – 5,</w:t>
      </w:r>
      <w:r w:rsidR="0061100A">
        <w:rPr>
          <w:rFonts w:ascii="Times New Roman" w:hAnsi="Times New Roman" w:cs="Times New Roman"/>
          <w:sz w:val="24"/>
          <w:szCs w:val="24"/>
        </w:rPr>
        <w:t>17</w:t>
      </w:r>
      <w:r w:rsidR="0061100A" w:rsidRPr="00E225CE">
        <w:rPr>
          <w:rFonts w:ascii="Times New Roman" w:hAnsi="Times New Roman" w:cs="Times New Roman"/>
          <w:sz w:val="24"/>
          <w:szCs w:val="24"/>
        </w:rPr>
        <w:t xml:space="preserve"> % a ovocné sady – 3,</w:t>
      </w:r>
      <w:r w:rsidR="0061100A">
        <w:rPr>
          <w:rFonts w:ascii="Times New Roman" w:hAnsi="Times New Roman" w:cs="Times New Roman"/>
          <w:sz w:val="24"/>
          <w:szCs w:val="24"/>
        </w:rPr>
        <w:t>01</w:t>
      </w:r>
      <w:r w:rsidR="0061100A" w:rsidRPr="00E225CE">
        <w:rPr>
          <w:rFonts w:ascii="Times New Roman" w:hAnsi="Times New Roman" w:cs="Times New Roman"/>
          <w:sz w:val="24"/>
          <w:szCs w:val="24"/>
        </w:rPr>
        <w:t xml:space="preserve"> %. Chmeľnice a vinice sa v regióne takmer nevyskytujú. Štruktúru poľnohospodárskej pôdy v regióne </w:t>
      </w:r>
      <w:r w:rsidR="0061100A" w:rsidRPr="008D0D63">
        <w:rPr>
          <w:rFonts w:ascii="Times New Roman" w:hAnsi="Times New Roman" w:cs="Times New Roman"/>
          <w:sz w:val="24"/>
          <w:szCs w:val="24"/>
        </w:rPr>
        <w:t>znázorňuje graf č. 3.1.1.</w:t>
      </w:r>
      <w:r w:rsidR="0061100A" w:rsidRPr="00E225CE">
        <w:rPr>
          <w:rFonts w:ascii="Times New Roman" w:hAnsi="Times New Roman" w:cs="Times New Roman"/>
          <w:sz w:val="24"/>
          <w:szCs w:val="24"/>
        </w:rPr>
        <w:t xml:space="preserve">  </w:t>
      </w:r>
    </w:p>
    <w:p w14:paraId="0AC5BC0A"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Vnútorne je však región diferencovaný. Najvyšší stupeň poľnohospodárskeho využitia majú Rudník (</w:t>
      </w:r>
      <w:r w:rsidR="0061100A">
        <w:rPr>
          <w:rFonts w:ascii="Times New Roman" w:hAnsi="Times New Roman" w:cs="Times New Roman"/>
          <w:sz w:val="24"/>
          <w:szCs w:val="24"/>
        </w:rPr>
        <w:t>79,57</w:t>
      </w:r>
      <w:r w:rsidR="0061100A" w:rsidRPr="00E225CE">
        <w:rPr>
          <w:rFonts w:ascii="Times New Roman" w:hAnsi="Times New Roman" w:cs="Times New Roman"/>
          <w:sz w:val="24"/>
          <w:szCs w:val="24"/>
        </w:rPr>
        <w:t xml:space="preserve"> %) a Vrbovce (7</w:t>
      </w:r>
      <w:r w:rsidR="0061100A">
        <w:rPr>
          <w:rFonts w:ascii="Times New Roman" w:hAnsi="Times New Roman" w:cs="Times New Roman"/>
          <w:sz w:val="24"/>
          <w:szCs w:val="24"/>
        </w:rPr>
        <w:t>4,61</w:t>
      </w:r>
      <w:r w:rsidR="0061100A" w:rsidRPr="00E225CE">
        <w:rPr>
          <w:rFonts w:ascii="Times New Roman" w:hAnsi="Times New Roman" w:cs="Times New Roman"/>
          <w:sz w:val="24"/>
          <w:szCs w:val="24"/>
        </w:rPr>
        <w:t xml:space="preserve"> %), kde je to dané najmä vhodnými klimatickými podmienkami a veľkosťami katastra. Najnižší stupeň vykazujú obce Stará Myjava (25,</w:t>
      </w:r>
      <w:r w:rsidR="0061100A">
        <w:rPr>
          <w:rFonts w:ascii="Times New Roman" w:hAnsi="Times New Roman" w:cs="Times New Roman"/>
          <w:sz w:val="24"/>
          <w:szCs w:val="24"/>
        </w:rPr>
        <w:t>07</w:t>
      </w:r>
      <w:r w:rsidR="0061100A" w:rsidRPr="00E225CE">
        <w:rPr>
          <w:rFonts w:ascii="Times New Roman" w:hAnsi="Times New Roman" w:cs="Times New Roman"/>
          <w:sz w:val="24"/>
          <w:szCs w:val="24"/>
        </w:rPr>
        <w:t xml:space="preserve"> %) a Brezová pod Bradlom (30,</w:t>
      </w:r>
      <w:r w:rsidR="0061100A">
        <w:rPr>
          <w:rFonts w:ascii="Times New Roman" w:hAnsi="Times New Roman" w:cs="Times New Roman"/>
          <w:sz w:val="24"/>
          <w:szCs w:val="24"/>
        </w:rPr>
        <w:t>53</w:t>
      </w:r>
      <w:r w:rsidR="0061100A" w:rsidRPr="00E225CE">
        <w:rPr>
          <w:rFonts w:ascii="Times New Roman" w:hAnsi="Times New Roman" w:cs="Times New Roman"/>
          <w:sz w:val="24"/>
          <w:szCs w:val="24"/>
        </w:rPr>
        <w:t xml:space="preserve"> %), kde zohrávajú úlohu lesy Bielych, resp. Malých Karpát. Najvyššie zastúpenie ornej pôdy</w:t>
      </w:r>
      <w:r w:rsidR="0061100A">
        <w:rPr>
          <w:rFonts w:ascii="Times New Roman" w:hAnsi="Times New Roman" w:cs="Times New Roman"/>
          <w:sz w:val="24"/>
          <w:szCs w:val="24"/>
        </w:rPr>
        <w:t xml:space="preserve"> má</w:t>
      </w:r>
      <w:r w:rsidR="0061100A" w:rsidRPr="00E225CE">
        <w:rPr>
          <w:rFonts w:ascii="Times New Roman" w:hAnsi="Times New Roman" w:cs="Times New Roman"/>
          <w:sz w:val="24"/>
          <w:szCs w:val="24"/>
        </w:rPr>
        <w:t xml:space="preserve"> ob</w:t>
      </w:r>
      <w:r w:rsidR="0061100A">
        <w:rPr>
          <w:rFonts w:ascii="Times New Roman" w:hAnsi="Times New Roman" w:cs="Times New Roman"/>
          <w:sz w:val="24"/>
          <w:szCs w:val="24"/>
        </w:rPr>
        <w:t>ec</w:t>
      </w:r>
      <w:r w:rsidR="0061100A" w:rsidRPr="00E225CE">
        <w:rPr>
          <w:rFonts w:ascii="Times New Roman" w:hAnsi="Times New Roman" w:cs="Times New Roman"/>
          <w:sz w:val="24"/>
          <w:szCs w:val="24"/>
        </w:rPr>
        <w:t xml:space="preserve"> Kostolné, ktoré dosahuj</w:t>
      </w:r>
      <w:r w:rsidR="0061100A">
        <w:rPr>
          <w:rFonts w:ascii="Times New Roman" w:hAnsi="Times New Roman" w:cs="Times New Roman"/>
          <w:sz w:val="24"/>
          <w:szCs w:val="24"/>
        </w:rPr>
        <w:t>e</w:t>
      </w:r>
      <w:r w:rsidR="0061100A" w:rsidRPr="00E225CE">
        <w:rPr>
          <w:rFonts w:ascii="Times New Roman" w:hAnsi="Times New Roman" w:cs="Times New Roman"/>
          <w:sz w:val="24"/>
          <w:szCs w:val="24"/>
        </w:rPr>
        <w:t xml:space="preserve"> </w:t>
      </w:r>
      <w:r w:rsidR="0061100A">
        <w:rPr>
          <w:rFonts w:ascii="Times New Roman" w:hAnsi="Times New Roman" w:cs="Times New Roman"/>
          <w:sz w:val="24"/>
          <w:szCs w:val="24"/>
        </w:rPr>
        <w:t>vyše</w:t>
      </w:r>
      <w:r w:rsidR="0061100A" w:rsidRPr="00E225CE">
        <w:rPr>
          <w:rFonts w:ascii="Times New Roman" w:hAnsi="Times New Roman" w:cs="Times New Roman"/>
          <w:sz w:val="24"/>
          <w:szCs w:val="24"/>
        </w:rPr>
        <w:t xml:space="preserve"> 80 % podiel z celkovej poľnohospodárskej pôdy. Najnižší podiel má obec Chvojnica – 3</w:t>
      </w:r>
      <w:r w:rsidR="0061100A">
        <w:rPr>
          <w:rFonts w:ascii="Times New Roman" w:hAnsi="Times New Roman" w:cs="Times New Roman"/>
          <w:sz w:val="24"/>
          <w:szCs w:val="24"/>
        </w:rPr>
        <w:t>6,08</w:t>
      </w:r>
      <w:r w:rsidR="0061100A" w:rsidRPr="00E225CE">
        <w:rPr>
          <w:rFonts w:ascii="Times New Roman" w:hAnsi="Times New Roman" w:cs="Times New Roman"/>
          <w:sz w:val="24"/>
          <w:szCs w:val="24"/>
        </w:rPr>
        <w:t xml:space="preserve"> %, ktorá má naopak, spolu s Vrbovcami najvyšší podiel trvalých trávnych porastov (55 %, resp. 55</w:t>
      </w:r>
      <w:r w:rsidR="0061100A">
        <w:rPr>
          <w:rFonts w:ascii="Times New Roman" w:hAnsi="Times New Roman" w:cs="Times New Roman"/>
          <w:sz w:val="24"/>
          <w:szCs w:val="24"/>
        </w:rPr>
        <w:t>,75</w:t>
      </w:r>
      <w:r w:rsidR="0061100A" w:rsidRPr="00E225CE">
        <w:rPr>
          <w:rFonts w:ascii="Times New Roman" w:hAnsi="Times New Roman" w:cs="Times New Roman"/>
          <w:sz w:val="24"/>
          <w:szCs w:val="24"/>
        </w:rPr>
        <w:t xml:space="preserve"> %). Je to dané ich polohou a charakterom krajiny, kde je ráz krajiny s vrchovinovým charakterom, vhodný najmä na chov hospodárskych zvierat na lúkach a pasienkoch. (Zdroj: Štatistický úrad SR, 20</w:t>
      </w:r>
      <w:r w:rsidR="0061100A">
        <w:rPr>
          <w:rFonts w:ascii="Times New Roman" w:hAnsi="Times New Roman" w:cs="Times New Roman"/>
          <w:sz w:val="24"/>
          <w:szCs w:val="24"/>
        </w:rPr>
        <w:t>14</w:t>
      </w:r>
      <w:r w:rsidR="0061100A" w:rsidRPr="00E225CE">
        <w:rPr>
          <w:rFonts w:ascii="Times New Roman" w:hAnsi="Times New Roman" w:cs="Times New Roman"/>
          <w:sz w:val="24"/>
          <w:szCs w:val="24"/>
        </w:rPr>
        <w:t>).</w:t>
      </w:r>
    </w:p>
    <w:p w14:paraId="5ECB9210" w14:textId="77777777" w:rsidR="008C1772" w:rsidRDefault="008C1772" w:rsidP="008C1772">
      <w:pPr>
        <w:spacing w:after="0" w:line="360" w:lineRule="auto"/>
        <w:rPr>
          <w:rFonts w:ascii="Times New Roman" w:hAnsi="Times New Roman" w:cs="Times New Roman"/>
          <w:b/>
          <w:i/>
          <w:sz w:val="24"/>
          <w:szCs w:val="24"/>
        </w:rPr>
      </w:pPr>
    </w:p>
    <w:p w14:paraId="42AF6620" w14:textId="77777777" w:rsidR="00D0587E" w:rsidRDefault="00D0587E" w:rsidP="008C1772">
      <w:pPr>
        <w:spacing w:after="0" w:line="360" w:lineRule="auto"/>
        <w:rPr>
          <w:rFonts w:ascii="Times New Roman" w:hAnsi="Times New Roman" w:cs="Times New Roman"/>
          <w:b/>
          <w:i/>
          <w:sz w:val="24"/>
          <w:szCs w:val="24"/>
        </w:rPr>
      </w:pPr>
    </w:p>
    <w:p w14:paraId="5DEDAC32" w14:textId="77777777" w:rsidR="0061100A" w:rsidRPr="00C46B09" w:rsidRDefault="0061100A" w:rsidP="008C1772">
      <w:pPr>
        <w:spacing w:after="0" w:line="360" w:lineRule="auto"/>
        <w:rPr>
          <w:rFonts w:ascii="Times New Roman" w:hAnsi="Times New Roman" w:cs="Times New Roman"/>
          <w:b/>
          <w:i/>
          <w:sz w:val="24"/>
          <w:szCs w:val="24"/>
        </w:rPr>
      </w:pPr>
      <w:r w:rsidRPr="00C46B09">
        <w:rPr>
          <w:rFonts w:ascii="Times New Roman" w:hAnsi="Times New Roman" w:cs="Times New Roman"/>
          <w:b/>
          <w:i/>
          <w:sz w:val="24"/>
          <w:szCs w:val="24"/>
        </w:rPr>
        <w:lastRenderedPageBreak/>
        <w:t>Využitie lesných a vodných zdrojov, využitie poľnohospodárskej pôdy</w:t>
      </w:r>
    </w:p>
    <w:p w14:paraId="01F3DA73"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 xml:space="preserve">Z celkovej výmery regiónu </w:t>
      </w:r>
      <w:r w:rsidR="0061100A">
        <w:rPr>
          <w:rFonts w:ascii="Times New Roman" w:hAnsi="Times New Roman" w:cs="Times New Roman"/>
          <w:sz w:val="24"/>
          <w:szCs w:val="24"/>
        </w:rPr>
        <w:t>54 144</w:t>
      </w:r>
      <w:r w:rsidR="0061100A" w:rsidRPr="00E225CE">
        <w:rPr>
          <w:rFonts w:ascii="Times New Roman" w:hAnsi="Times New Roman" w:cs="Times New Roman"/>
          <w:sz w:val="24"/>
          <w:szCs w:val="24"/>
        </w:rPr>
        <w:t xml:space="preserve"> ha tvorí lesný pôdny fond </w:t>
      </w:r>
      <w:r w:rsidR="0061100A">
        <w:rPr>
          <w:rFonts w:ascii="Times New Roman" w:hAnsi="Times New Roman" w:cs="Times New Roman"/>
          <w:sz w:val="24"/>
          <w:szCs w:val="24"/>
        </w:rPr>
        <w:t>18 375</w:t>
      </w:r>
      <w:r w:rsidR="0061100A" w:rsidRPr="00E225CE">
        <w:rPr>
          <w:rFonts w:ascii="Times New Roman" w:hAnsi="Times New Roman" w:cs="Times New Roman"/>
          <w:sz w:val="24"/>
          <w:szCs w:val="24"/>
        </w:rPr>
        <w:t xml:space="preserve"> ha, t.j. zalesnenie územia je 3</w:t>
      </w:r>
      <w:r w:rsidR="0061100A">
        <w:rPr>
          <w:rFonts w:ascii="Times New Roman" w:hAnsi="Times New Roman" w:cs="Times New Roman"/>
          <w:sz w:val="24"/>
          <w:szCs w:val="24"/>
        </w:rPr>
        <w:t>3,94</w:t>
      </w:r>
      <w:r w:rsidR="0061100A" w:rsidRPr="00E225CE">
        <w:rPr>
          <w:rFonts w:ascii="Times New Roman" w:hAnsi="Times New Roman" w:cs="Times New Roman"/>
          <w:sz w:val="24"/>
          <w:szCs w:val="24"/>
        </w:rPr>
        <w:t xml:space="preserve"> %, čo predstavuje najmenšiu lesnatosť v Trenčianskom kraji. Oproti </w:t>
      </w:r>
      <w:r w:rsidR="0061100A" w:rsidRPr="008D0D63">
        <w:rPr>
          <w:rFonts w:ascii="Times New Roman" w:hAnsi="Times New Roman" w:cs="Times New Roman"/>
          <w:sz w:val="24"/>
          <w:szCs w:val="24"/>
        </w:rPr>
        <w:t>celoslovenskému priemeru 41 % je</w:t>
      </w:r>
      <w:r w:rsidR="0061100A" w:rsidRPr="00E225CE">
        <w:rPr>
          <w:rFonts w:ascii="Times New Roman" w:hAnsi="Times New Roman" w:cs="Times New Roman"/>
          <w:sz w:val="24"/>
          <w:szCs w:val="24"/>
        </w:rPr>
        <w:t xml:space="preserve"> to nižší údaj o vyše </w:t>
      </w:r>
      <w:r w:rsidR="0061100A">
        <w:rPr>
          <w:rFonts w:ascii="Times New Roman" w:hAnsi="Times New Roman" w:cs="Times New Roman"/>
          <w:sz w:val="24"/>
          <w:szCs w:val="24"/>
        </w:rPr>
        <w:t>7</w:t>
      </w:r>
      <w:r w:rsidR="0061100A" w:rsidRPr="00E225CE">
        <w:rPr>
          <w:rFonts w:ascii="Times New Roman" w:hAnsi="Times New Roman" w:cs="Times New Roman"/>
          <w:sz w:val="24"/>
          <w:szCs w:val="24"/>
        </w:rPr>
        <w:t xml:space="preserve"> %. V rámci regiónu majú najvyšší podiel lesov z celkovej výmery obce Stará Myjava (</w:t>
      </w:r>
      <w:r w:rsidR="0061100A">
        <w:rPr>
          <w:rFonts w:ascii="Times New Roman" w:hAnsi="Times New Roman" w:cs="Times New Roman"/>
          <w:sz w:val="24"/>
          <w:szCs w:val="24"/>
        </w:rPr>
        <w:t>69,69</w:t>
      </w:r>
      <w:r w:rsidR="0061100A" w:rsidRPr="00E225CE">
        <w:rPr>
          <w:rFonts w:ascii="Times New Roman" w:hAnsi="Times New Roman" w:cs="Times New Roman"/>
          <w:sz w:val="24"/>
          <w:szCs w:val="24"/>
        </w:rPr>
        <w:t xml:space="preserve"> %) a</w:t>
      </w:r>
      <w:r w:rsidR="0061100A">
        <w:rPr>
          <w:rFonts w:ascii="Times New Roman" w:hAnsi="Times New Roman" w:cs="Times New Roman"/>
          <w:sz w:val="24"/>
          <w:szCs w:val="24"/>
        </w:rPr>
        <w:t> </w:t>
      </w:r>
      <w:r w:rsidR="0061100A" w:rsidRPr="00E225CE">
        <w:rPr>
          <w:rFonts w:ascii="Times New Roman" w:hAnsi="Times New Roman" w:cs="Times New Roman"/>
          <w:sz w:val="24"/>
          <w:szCs w:val="24"/>
        </w:rPr>
        <w:t>Brezová pod Bradlom (61,2</w:t>
      </w:r>
      <w:r w:rsidR="0061100A">
        <w:rPr>
          <w:rFonts w:ascii="Times New Roman" w:hAnsi="Times New Roman" w:cs="Times New Roman"/>
          <w:sz w:val="24"/>
          <w:szCs w:val="24"/>
        </w:rPr>
        <w:t>2</w:t>
      </w:r>
      <w:r w:rsidR="0061100A" w:rsidRPr="00E225CE">
        <w:rPr>
          <w:rFonts w:ascii="Times New Roman" w:hAnsi="Times New Roman" w:cs="Times New Roman"/>
          <w:sz w:val="24"/>
          <w:szCs w:val="24"/>
        </w:rPr>
        <w:t xml:space="preserve"> %), naopak najnižšie Rudník (11,</w:t>
      </w:r>
      <w:r w:rsidR="0061100A">
        <w:rPr>
          <w:rFonts w:ascii="Times New Roman" w:hAnsi="Times New Roman" w:cs="Times New Roman"/>
          <w:sz w:val="24"/>
          <w:szCs w:val="24"/>
        </w:rPr>
        <w:t>61</w:t>
      </w:r>
      <w:r w:rsidR="0061100A" w:rsidRPr="00E225CE">
        <w:rPr>
          <w:rFonts w:ascii="Times New Roman" w:hAnsi="Times New Roman" w:cs="Times New Roman"/>
          <w:sz w:val="24"/>
          <w:szCs w:val="24"/>
        </w:rPr>
        <w:t xml:space="preserve"> %) a Kostolné (14,7 %).  </w:t>
      </w:r>
    </w:p>
    <w:p w14:paraId="031030EB"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Na výmere plochy porast</w:t>
      </w:r>
      <w:r w:rsidR="0061100A">
        <w:rPr>
          <w:rFonts w:ascii="Times New Roman" w:hAnsi="Times New Roman" w:cs="Times New Roman"/>
          <w:sz w:val="24"/>
          <w:szCs w:val="24"/>
        </w:rPr>
        <w:t>e</w:t>
      </w:r>
      <w:r w:rsidR="0061100A" w:rsidRPr="00E225CE">
        <w:rPr>
          <w:rFonts w:ascii="Times New Roman" w:hAnsi="Times New Roman" w:cs="Times New Roman"/>
          <w:sz w:val="24"/>
          <w:szCs w:val="24"/>
        </w:rPr>
        <w:t xml:space="preserve">nej lesmi tvorí zastúpenie ihličnatých drevín 26 % a listnatých 74 %. V lesoch sú z ihličnatých drevín zastúpené predovšetkým smrek obyčajný (Picea abies) a borovica lesná (Pinus silvestris), ojedinele smrekovec obyčajný (Larix decidua); z listnatých sú to hlavne buk lesný (Fagus silvatica), rôzne druhy dubu  - letný, zimný (Quercus robur, Quercus petraea), hrab obyčajný (Carpinus betulus), v menšej miere javor mliečný (Acer platanoides) a poľný (Acer campestre). </w:t>
      </w:r>
    </w:p>
    <w:p w14:paraId="1F315143"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 xml:space="preserve">Z plošného hľadiska prevládajú  listnaté lesy s prevahou buka, v nižších polohách duba. V regióne sú prevažne hospodárske lesy, v menšej miere sú zastúpené aj ochranné lesy. </w:t>
      </w:r>
    </w:p>
    <w:p w14:paraId="4207300E"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 xml:space="preserve">Z hľadiska zaradenia do poľnohospodárskych výrobných typov patrí územie regiónu prevažne do subtypu zemiakársko-pšeničného, na severe patrí časť územia do zemiakársko-jačmenného subtypu a v západnej časti územia, v širšej nive rieky Myjavy do repársko-pšeničného subtypu. Menšiu plochu južne od mesta Myjava zaraďujeme k subtypu repársko-jačmennému. V regióne sa pestujú najmä obilniny, ktoré tu majú stáročnú tradíciu. Najviac pestovanou obilninou je pšenica, nasleduje jačmeň a raž. V ostatnom čase, kedy je dopyt po technických plodinách čoraz vyšší, sa ich podiel na obhospodarovanej ornej pôde neustále zvyšuje. Ide najmä o repku olejnú, ktorá má rozsiahle využitie, ale aj horčicu siatu, či slnečnicu.  </w:t>
      </w:r>
    </w:p>
    <w:p w14:paraId="28CB6E8A" w14:textId="77777777" w:rsidR="0061100A"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1100A" w:rsidRPr="00E225CE">
        <w:rPr>
          <w:rFonts w:ascii="Times New Roman" w:hAnsi="Times New Roman" w:cs="Times New Roman"/>
          <w:sz w:val="24"/>
          <w:szCs w:val="24"/>
        </w:rPr>
        <w:t>V rámci Kopaničiarskeho regiónu je situovaných 1</w:t>
      </w:r>
      <w:r w:rsidR="0061100A">
        <w:rPr>
          <w:rFonts w:ascii="Times New Roman" w:hAnsi="Times New Roman" w:cs="Times New Roman"/>
          <w:sz w:val="24"/>
          <w:szCs w:val="24"/>
        </w:rPr>
        <w:t>5</w:t>
      </w:r>
      <w:r w:rsidR="0061100A" w:rsidRPr="00E225CE">
        <w:rPr>
          <w:rFonts w:ascii="Times New Roman" w:hAnsi="Times New Roman" w:cs="Times New Roman"/>
          <w:sz w:val="24"/>
          <w:szCs w:val="24"/>
        </w:rPr>
        <w:t xml:space="preserve"> poľovných revírov, z ktorých až 2 sa nachádzajú v katastrálnom území Brezovej pod Bradlom. Poľovnou zverou je v rámci týchto revírov najmä srnčia, diviačia, jelenia a danielia zver. Nachádza sa tu tiež 14 rybárskych revírov, z ktorých 6 spadá do MsO Senica, 7 do MO Stará Turá a 1 revír do MO Nové Mesto nad Váhom. Všetky tieto revíry sú lovnými revírmi. Z nich má polovica charakter kaprových vôd a polovica lososových vôd pstruhových.  </w:t>
      </w:r>
    </w:p>
    <w:p w14:paraId="1F5C7BBA" w14:textId="77777777" w:rsidR="008C1772" w:rsidRDefault="008C1772" w:rsidP="008C1772">
      <w:pPr>
        <w:spacing w:after="0" w:line="360" w:lineRule="auto"/>
        <w:jc w:val="both"/>
        <w:rPr>
          <w:rFonts w:ascii="Times New Roman" w:hAnsi="Times New Roman" w:cs="Times New Roman"/>
          <w:b/>
          <w:i/>
          <w:sz w:val="24"/>
          <w:szCs w:val="24"/>
        </w:rPr>
      </w:pPr>
    </w:p>
    <w:p w14:paraId="3A034F02" w14:textId="77777777" w:rsidR="00A146CA" w:rsidRDefault="00A146CA" w:rsidP="008C1772">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Životné prostredie</w:t>
      </w:r>
    </w:p>
    <w:p w14:paraId="2BFAE1A9"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Kopaničiarsky región patrí po hydrologickej stránke do povodí rieky Váh a Morava. Všetky vodné toky, ako</w:t>
      </w:r>
      <w:r w:rsidR="008117EF">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náhle sa z pramennej časti toku dostávajú do urbanizovaného územia, </w:t>
      </w:r>
      <w:r w:rsidR="00E225CE" w:rsidRPr="00E225CE">
        <w:rPr>
          <w:rFonts w:ascii="Times New Roman" w:hAnsi="Times New Roman" w:cs="Times New Roman"/>
          <w:sz w:val="24"/>
          <w:szCs w:val="24"/>
        </w:rPr>
        <w:lastRenderedPageBreak/>
        <w:t>najmä priemyselne využívaného, začínajú v prevažnej časti sledovaných ukazovateľov vykazovať výrazné zhoršenie kvality. Ide najmä o rieku Myjava a Brezovský potok, ktoré sa podľa triedy kvality (STN 757221) zaraďujú do IV. – V. kategórie, teda silne, až veľmi silne znečistené toky. Toto ich zaradenie za ostatné roky striedavo patrí raz do IV. a raz do V. kategórie. Ostatné vodné toky sú tiež pomerne silno znečistené (Teplica – nad Senicou - V. kategória, Jablonka, Kamečnica a Tŕstie III. kategória). Najvýznamnejším zdrojom znečistenia je mesto Myjava, ktoré zhoršuje kvalitu vody vo všetkých ukazovateľoch. Hlavnými znečisťujúcimi látkami sú N-NO2, NEL, sírany, ťažké kovy (Zn, Ni), bakteriologická kontaminácia. Najväčšími znečisťovateľmi vodných tokov sú hlavne priemyselné podniky v mestách regiónu, ale aj fyzické osoby, najmä na kopaniciach, keďže tam nedisponujú kanalizáciou. Na výslednú akosť vodných tokov má vplyv aj poľnohospodárska výroba používaním chemických látok (najmä hnojivá, pesticídy a insekticídy), avšak tieto sa používajú čoraz menej.</w:t>
      </w:r>
    </w:p>
    <w:p w14:paraId="52AFD361" w14:textId="77777777" w:rsidR="00E225CE" w:rsidRPr="00E225CE" w:rsidRDefault="008C1772" w:rsidP="008C17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Kvalita podzemných vôd v pohoriach je vhodná na pitie aj bez predbežných úprav, avšak v náplavoch rieky Myjavy a niektorých ďalších vodných tokov má variabilné vlastnosti a treba ich na použitie ako pitnej vody, často krát upravovať. Poľnohospodárske subjekty skôr vplývajú na znečistenie podzemných vôd, kde dochádza k priesaku znečisťujúcich látok (dusíkaté hnojivá) do podložia a následne tak vplývajú na kvalitu vody, ktorá slúži najmä obyvateľom kopaníc ako pitná voda, keďže využívajú najmä vlastné studne. Podobný vplyv má aj živočíšna výroba, kde výkaly hospodárskych zvierat, chovaných na lúkach a pasienkoch, obsahujú tiež nitráty, ktoré nepriaznivo pôsobia na kvalitu vody v studniach.</w:t>
      </w:r>
    </w:p>
    <w:p w14:paraId="3E4D18EA" w14:textId="77777777" w:rsidR="00E225CE" w:rsidRPr="00E225CE" w:rsidRDefault="00E225CE" w:rsidP="008C1772">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 xml:space="preserve"> </w:t>
      </w:r>
      <w:r w:rsidR="008C1772">
        <w:rPr>
          <w:rFonts w:ascii="Times New Roman" w:hAnsi="Times New Roman" w:cs="Times New Roman"/>
          <w:sz w:val="24"/>
          <w:szCs w:val="24"/>
        </w:rPr>
        <w:tab/>
      </w:r>
      <w:r w:rsidRPr="00E225CE">
        <w:rPr>
          <w:rFonts w:ascii="Times New Roman" w:hAnsi="Times New Roman" w:cs="Times New Roman"/>
          <w:sz w:val="24"/>
          <w:szCs w:val="24"/>
        </w:rPr>
        <w:t xml:space="preserve">V ostatných desaťročiach prišlo k výraznému zhoršeniu kvality ovzdušia, najmä v dôsledku rastu výroby a spotreby energie, rastu ťažby surovín, zvýšenou priemyselnou a poľnohospodárskou výrobou, či dopravou. Tento stav sa však postupne mení k lepšiemu, najmä vďaka prísnejším emisným kritériám. </w:t>
      </w:r>
    </w:p>
    <w:p w14:paraId="2EC19955" w14:textId="77777777" w:rsidR="00E225CE" w:rsidRPr="00E225CE" w:rsidRDefault="00E225CE" w:rsidP="008C1772">
      <w:pPr>
        <w:spacing w:after="0" w:line="360" w:lineRule="auto"/>
        <w:rPr>
          <w:rFonts w:ascii="Times New Roman" w:hAnsi="Times New Roman" w:cs="Times New Roman"/>
          <w:sz w:val="24"/>
          <w:szCs w:val="24"/>
        </w:rPr>
      </w:pPr>
      <w:r w:rsidRPr="00E225CE">
        <w:rPr>
          <w:rFonts w:ascii="Times New Roman" w:hAnsi="Times New Roman" w:cs="Times New Roman"/>
          <w:sz w:val="24"/>
          <w:szCs w:val="24"/>
        </w:rPr>
        <w:t xml:space="preserve">V Kopaničiarskom regióne </w:t>
      </w:r>
      <w:r w:rsidR="001B0444">
        <w:rPr>
          <w:rFonts w:ascii="Times New Roman" w:hAnsi="Times New Roman" w:cs="Times New Roman"/>
          <w:sz w:val="24"/>
          <w:szCs w:val="24"/>
        </w:rPr>
        <w:t>m</w:t>
      </w:r>
      <w:r w:rsidRPr="00E225CE">
        <w:rPr>
          <w:rFonts w:ascii="Times New Roman" w:hAnsi="Times New Roman" w:cs="Times New Roman"/>
          <w:sz w:val="24"/>
          <w:szCs w:val="24"/>
        </w:rPr>
        <w:t>ôžeme vyčleniť tieto oblasti so znečistením ovzduším:</w:t>
      </w:r>
    </w:p>
    <w:p w14:paraId="542420ED" w14:textId="77777777" w:rsidR="00E225CE" w:rsidRPr="00A146CA" w:rsidRDefault="00E225CE" w:rsidP="003301D6">
      <w:pPr>
        <w:pStyle w:val="Odsekzoznamu"/>
        <w:numPr>
          <w:ilvl w:val="0"/>
          <w:numId w:val="1"/>
        </w:numPr>
        <w:spacing w:after="0" w:line="360" w:lineRule="auto"/>
        <w:jc w:val="both"/>
        <w:rPr>
          <w:rFonts w:ascii="Times New Roman" w:hAnsi="Times New Roman" w:cs="Times New Roman"/>
          <w:sz w:val="24"/>
          <w:szCs w:val="24"/>
        </w:rPr>
      </w:pPr>
      <w:r w:rsidRPr="00A146CA">
        <w:rPr>
          <w:rFonts w:ascii="Times New Roman" w:hAnsi="Times New Roman" w:cs="Times New Roman"/>
          <w:sz w:val="24"/>
          <w:szCs w:val="24"/>
        </w:rPr>
        <w:t>oblasti s relatívne silným znečistením ovzdušia – okolia miest Myjava, Brezová pod Bradlom, Stará Turá,</w:t>
      </w:r>
    </w:p>
    <w:p w14:paraId="09101624" w14:textId="77777777" w:rsidR="00E225CE" w:rsidRPr="00A146CA" w:rsidRDefault="00E225CE" w:rsidP="003301D6">
      <w:pPr>
        <w:pStyle w:val="Odsekzoznamu"/>
        <w:numPr>
          <w:ilvl w:val="0"/>
          <w:numId w:val="1"/>
        </w:numPr>
        <w:spacing w:after="0" w:line="360" w:lineRule="auto"/>
        <w:rPr>
          <w:rFonts w:ascii="Times New Roman" w:hAnsi="Times New Roman" w:cs="Times New Roman"/>
          <w:sz w:val="24"/>
          <w:szCs w:val="24"/>
        </w:rPr>
      </w:pPr>
      <w:r w:rsidRPr="00A146CA">
        <w:rPr>
          <w:rFonts w:ascii="Times New Roman" w:hAnsi="Times New Roman" w:cs="Times New Roman"/>
          <w:sz w:val="24"/>
          <w:szCs w:val="24"/>
        </w:rPr>
        <w:t xml:space="preserve">oblasti so stredne silným znečistením ovzdušia – širšie okolie väčších sídiel, </w:t>
      </w:r>
    </w:p>
    <w:p w14:paraId="492E2816" w14:textId="77777777" w:rsidR="00E225CE" w:rsidRPr="00A146CA" w:rsidRDefault="00E225CE" w:rsidP="003301D6">
      <w:pPr>
        <w:pStyle w:val="Odsekzoznamu"/>
        <w:numPr>
          <w:ilvl w:val="0"/>
          <w:numId w:val="1"/>
        </w:numPr>
        <w:spacing w:after="0" w:line="360" w:lineRule="auto"/>
        <w:rPr>
          <w:rFonts w:ascii="Times New Roman" w:hAnsi="Times New Roman" w:cs="Times New Roman"/>
          <w:sz w:val="24"/>
          <w:szCs w:val="24"/>
        </w:rPr>
      </w:pPr>
      <w:r w:rsidRPr="00A146CA">
        <w:rPr>
          <w:rFonts w:ascii="Times New Roman" w:hAnsi="Times New Roman" w:cs="Times New Roman"/>
          <w:sz w:val="24"/>
          <w:szCs w:val="24"/>
        </w:rPr>
        <w:t>oblasti so slabým znečistením ovzdušia – okolie vidieckych sídiel.</w:t>
      </w:r>
    </w:p>
    <w:p w14:paraId="0AC4B900" w14:textId="77777777" w:rsidR="00E225CE" w:rsidRPr="00E225CE" w:rsidRDefault="00B91A9B" w:rsidP="008C177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Región patrí k regiónom s podpriemernou produkciou emisií v rámci Slovenskej republiky. K zníženiu emisií v ovzduší prispela aj plynofikácia obcí a priemyselných podnikov.</w:t>
      </w:r>
    </w:p>
    <w:p w14:paraId="37F9E2C8"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225CE" w:rsidRPr="00E225CE">
        <w:rPr>
          <w:rFonts w:ascii="Times New Roman" w:hAnsi="Times New Roman" w:cs="Times New Roman"/>
          <w:sz w:val="24"/>
          <w:szCs w:val="24"/>
        </w:rPr>
        <w:t xml:space="preserve">Znečistenie pôdy v regióne je pomerne nízke. Pôda je na niektorých miestach kontaminovaná kadmiom, olovom, ortuťou a chrómom, avšak hodnoty nepresahujú povolené hygienické limity. Tieto znečistenia pochádzajú najmä z podnikov, ktoré sa zaoberajú kovovýrobou a opracovaním kovových výrobkov (hlavne Myjava, Brezová pod Bradlom). </w:t>
      </w:r>
    </w:p>
    <w:p w14:paraId="087DEBD3"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w:t>
      </w:r>
      <w:r w:rsidR="00A146CA">
        <w:rPr>
          <w:rFonts w:ascii="Times New Roman" w:hAnsi="Times New Roman" w:cs="Times New Roman"/>
          <w:sz w:val="24"/>
          <w:szCs w:val="24"/>
        </w:rPr>
        <w:t>je</w:t>
      </w:r>
      <w:r w:rsidR="00A146CA"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prevádzkovan</w:t>
      </w:r>
      <w:r w:rsidR="00A146CA">
        <w:rPr>
          <w:rFonts w:ascii="Times New Roman" w:hAnsi="Times New Roman" w:cs="Times New Roman"/>
          <w:sz w:val="24"/>
          <w:szCs w:val="24"/>
        </w:rPr>
        <w:t>á</w:t>
      </w:r>
      <w:r w:rsidR="00E225CE" w:rsidRPr="00E225CE">
        <w:rPr>
          <w:rFonts w:ascii="Times New Roman" w:hAnsi="Times New Roman" w:cs="Times New Roman"/>
          <w:sz w:val="24"/>
          <w:szCs w:val="24"/>
        </w:rPr>
        <w:t xml:space="preserve"> skládk</w:t>
      </w:r>
      <w:r w:rsidR="00A146CA">
        <w:rPr>
          <w:rFonts w:ascii="Times New Roman" w:hAnsi="Times New Roman" w:cs="Times New Roman"/>
          <w:sz w:val="24"/>
          <w:szCs w:val="24"/>
        </w:rPr>
        <w:t>a</w:t>
      </w:r>
      <w:r w:rsidR="00E225CE" w:rsidRPr="00E225CE">
        <w:rPr>
          <w:rFonts w:ascii="Times New Roman" w:hAnsi="Times New Roman" w:cs="Times New Roman"/>
          <w:sz w:val="24"/>
          <w:szCs w:val="24"/>
        </w:rPr>
        <w:t xml:space="preserve"> odpadov v lokalite Doliny</w:t>
      </w:r>
      <w:r w:rsidR="0061100A">
        <w:rPr>
          <w:rFonts w:ascii="Times New Roman" w:hAnsi="Times New Roman" w:cs="Times New Roman"/>
          <w:sz w:val="24"/>
          <w:szCs w:val="24"/>
        </w:rPr>
        <w:t>, ktorej</w:t>
      </w:r>
      <w:r w:rsidR="00E225CE" w:rsidRPr="00E225CE">
        <w:rPr>
          <w:rFonts w:ascii="Times New Roman" w:hAnsi="Times New Roman" w:cs="Times New Roman"/>
          <w:sz w:val="24"/>
          <w:szCs w:val="24"/>
        </w:rPr>
        <w:t xml:space="preserve"> prevádzkovateľ</w:t>
      </w:r>
      <w:r w:rsidR="0061100A">
        <w:rPr>
          <w:rFonts w:ascii="Times New Roman" w:hAnsi="Times New Roman" w:cs="Times New Roman"/>
          <w:sz w:val="24"/>
          <w:szCs w:val="24"/>
        </w:rPr>
        <w:t>om je</w:t>
      </w:r>
      <w:r w:rsidR="00E225CE" w:rsidRPr="00E225CE">
        <w:rPr>
          <w:rFonts w:ascii="Times New Roman" w:hAnsi="Times New Roman" w:cs="Times New Roman"/>
          <w:sz w:val="24"/>
          <w:szCs w:val="24"/>
        </w:rPr>
        <w:t xml:space="preserve"> Kopaničiarska odpadová spoločnosť s. r. o. Kostolné 390</w:t>
      </w:r>
      <w:r w:rsidR="0061100A">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r w:rsidR="0061100A">
        <w:rPr>
          <w:rFonts w:ascii="Times New Roman" w:hAnsi="Times New Roman" w:cs="Times New Roman"/>
          <w:sz w:val="24"/>
          <w:szCs w:val="24"/>
        </w:rPr>
        <w:t>C</w:t>
      </w:r>
      <w:r w:rsidR="00E225CE" w:rsidRPr="00E225CE">
        <w:rPr>
          <w:rFonts w:ascii="Times New Roman" w:hAnsi="Times New Roman" w:cs="Times New Roman"/>
          <w:sz w:val="24"/>
          <w:szCs w:val="24"/>
        </w:rPr>
        <w:t>elková kapacita skládky 1. etapy sa zvýšila z 289,959,6 m3 na 319 502,6 m3 realizáciou výstavby 3. kazety, druh ukladaného odpadu - všetky odpady kategórie O s výnimkou odpadov tekutých, výbušných odpadov, biologicky rozložiteľných odpadov. K 1. 1. 2008 je voľná kapacita 98 661,7 m3</w:t>
      </w:r>
      <w:r w:rsidR="0061100A">
        <w:rPr>
          <w:rFonts w:ascii="Times New Roman" w:hAnsi="Times New Roman" w:cs="Times New Roman"/>
          <w:sz w:val="24"/>
          <w:szCs w:val="24"/>
        </w:rPr>
        <w:t>. Druhou je s</w:t>
      </w:r>
      <w:r w:rsidR="00E225CE" w:rsidRPr="00E225CE">
        <w:rPr>
          <w:rFonts w:ascii="Times New Roman" w:hAnsi="Times New Roman" w:cs="Times New Roman"/>
          <w:sz w:val="24"/>
          <w:szCs w:val="24"/>
        </w:rPr>
        <w:t xml:space="preserve">kládka inertných odpadov v lokalite Dieliky, </w:t>
      </w:r>
      <w:r w:rsidR="0061100A">
        <w:rPr>
          <w:rFonts w:ascii="Times New Roman" w:hAnsi="Times New Roman" w:cs="Times New Roman"/>
          <w:sz w:val="24"/>
          <w:szCs w:val="24"/>
        </w:rPr>
        <w:t xml:space="preserve">ktorej </w:t>
      </w:r>
      <w:r w:rsidR="00E225CE" w:rsidRPr="00E225CE">
        <w:rPr>
          <w:rFonts w:ascii="Times New Roman" w:hAnsi="Times New Roman" w:cs="Times New Roman"/>
          <w:sz w:val="24"/>
          <w:szCs w:val="24"/>
        </w:rPr>
        <w:t xml:space="preserve">prevádzkovateľ </w:t>
      </w:r>
      <w:r w:rsidR="0061100A">
        <w:rPr>
          <w:rFonts w:ascii="Times New Roman" w:hAnsi="Times New Roman" w:cs="Times New Roman"/>
          <w:sz w:val="24"/>
          <w:szCs w:val="24"/>
        </w:rPr>
        <w:t xml:space="preserve">je </w:t>
      </w:r>
      <w:r w:rsidR="0061100A" w:rsidRPr="0061100A">
        <w:rPr>
          <w:rFonts w:ascii="Times New Roman" w:hAnsi="Times New Roman" w:cs="Times New Roman"/>
          <w:sz w:val="24"/>
          <w:szCs w:val="24"/>
        </w:rPr>
        <w:t xml:space="preserve">Technické služby </w:t>
      </w:r>
      <w:r w:rsidR="00E225CE" w:rsidRPr="00E225CE">
        <w:rPr>
          <w:rFonts w:ascii="Times New Roman" w:hAnsi="Times New Roman" w:cs="Times New Roman"/>
          <w:sz w:val="24"/>
          <w:szCs w:val="24"/>
        </w:rPr>
        <w:t>Brezová pod Bradlom</w:t>
      </w:r>
      <w:r w:rsidR="0061100A">
        <w:rPr>
          <w:rFonts w:ascii="Times New Roman" w:hAnsi="Times New Roman" w:cs="Times New Roman"/>
          <w:sz w:val="24"/>
          <w:szCs w:val="24"/>
        </w:rPr>
        <w:t xml:space="preserve"> s</w:t>
      </w:r>
      <w:r w:rsidR="00E225CE" w:rsidRPr="00E225CE">
        <w:rPr>
          <w:rFonts w:ascii="Times New Roman" w:hAnsi="Times New Roman" w:cs="Times New Roman"/>
          <w:sz w:val="24"/>
          <w:szCs w:val="24"/>
        </w:rPr>
        <w:t xml:space="preserve"> kapacit</w:t>
      </w:r>
      <w:r w:rsidR="0061100A">
        <w:rPr>
          <w:rFonts w:ascii="Times New Roman" w:hAnsi="Times New Roman" w:cs="Times New Roman"/>
          <w:sz w:val="24"/>
          <w:szCs w:val="24"/>
        </w:rPr>
        <w:t>ou</w:t>
      </w:r>
      <w:r w:rsidR="00E225CE" w:rsidRPr="00E225CE">
        <w:rPr>
          <w:rFonts w:ascii="Times New Roman" w:hAnsi="Times New Roman" w:cs="Times New Roman"/>
          <w:sz w:val="24"/>
          <w:szCs w:val="24"/>
        </w:rPr>
        <w:t xml:space="preserve"> skládky 1</w:t>
      </w:r>
      <w:r w:rsidR="0061100A">
        <w:rPr>
          <w:rFonts w:ascii="Times New Roman" w:hAnsi="Times New Roman" w:cs="Times New Roman"/>
          <w:sz w:val="24"/>
          <w:szCs w:val="24"/>
        </w:rPr>
        <w:t>4</w:t>
      </w:r>
      <w:r w:rsidR="00E225CE" w:rsidRPr="00E225CE">
        <w:rPr>
          <w:rFonts w:ascii="Times New Roman" w:hAnsi="Times New Roman" w:cs="Times New Roman"/>
          <w:sz w:val="24"/>
          <w:szCs w:val="24"/>
        </w:rPr>
        <w:t xml:space="preserve"> 3</w:t>
      </w:r>
      <w:r w:rsidR="0061100A">
        <w:rPr>
          <w:rFonts w:ascii="Times New Roman" w:hAnsi="Times New Roman" w:cs="Times New Roman"/>
          <w:sz w:val="24"/>
          <w:szCs w:val="24"/>
        </w:rPr>
        <w:t>26</w:t>
      </w:r>
      <w:r w:rsidR="00E225CE" w:rsidRPr="00E225CE">
        <w:rPr>
          <w:rFonts w:ascii="Times New Roman" w:hAnsi="Times New Roman" w:cs="Times New Roman"/>
          <w:sz w:val="24"/>
          <w:szCs w:val="24"/>
        </w:rPr>
        <w:t xml:space="preserve"> m3, druh ukladaného odpadu - inertné odpady.</w:t>
      </w:r>
    </w:p>
    <w:p w14:paraId="61CCB6F9" w14:textId="77777777" w:rsidR="00B91A9B" w:rsidRPr="00E225CE" w:rsidRDefault="00B91A9B" w:rsidP="00C46B09">
      <w:pPr>
        <w:spacing w:before="120" w:after="0" w:line="360" w:lineRule="auto"/>
        <w:jc w:val="both"/>
        <w:rPr>
          <w:rFonts w:ascii="Times New Roman" w:hAnsi="Times New Roman" w:cs="Times New Roman"/>
          <w:sz w:val="24"/>
          <w:szCs w:val="24"/>
        </w:rPr>
      </w:pPr>
    </w:p>
    <w:p w14:paraId="05944694" w14:textId="77777777" w:rsidR="00E225CE" w:rsidRPr="00022B5B" w:rsidRDefault="00E225CE" w:rsidP="00B91A9B">
      <w:pPr>
        <w:spacing w:after="0" w:line="360" w:lineRule="auto"/>
        <w:jc w:val="both"/>
        <w:rPr>
          <w:rFonts w:ascii="Times New Roman" w:hAnsi="Times New Roman" w:cs="Times New Roman"/>
          <w:b/>
          <w:i/>
          <w:sz w:val="24"/>
          <w:szCs w:val="24"/>
        </w:rPr>
      </w:pPr>
      <w:r w:rsidRPr="00022B5B">
        <w:rPr>
          <w:rFonts w:ascii="Times New Roman" w:hAnsi="Times New Roman" w:cs="Times New Roman"/>
          <w:b/>
          <w:i/>
          <w:sz w:val="24"/>
          <w:szCs w:val="24"/>
        </w:rPr>
        <w:t>Popis a vymedzenie chránených území a území NATURA 2000</w:t>
      </w:r>
    </w:p>
    <w:p w14:paraId="24644042"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študovanom území sa nachádzajú 2 chránené krajinné oblasti, 12 prírodných pamiatok, 3 prírodné rezervácie a niekoľko chránených stromov. </w:t>
      </w:r>
    </w:p>
    <w:p w14:paraId="3501E910"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Veľkoplošnými územiami s 2. stupňom ochrany sú CHKO Biele Karpaty a CHKO Malé Karpaty. Pomerne veľkú plochu zaberajú práve CHKO Biele Karpaty na severe regiónu, kde sa nachádza aj množstvo maloplošných chránených území, najmä prírodných pamiato</w:t>
      </w:r>
      <w:r w:rsidR="001840BA">
        <w:rPr>
          <w:rFonts w:ascii="Times New Roman" w:hAnsi="Times New Roman" w:cs="Times New Roman"/>
          <w:sz w:val="24"/>
          <w:szCs w:val="24"/>
        </w:rPr>
        <w:t>k. Štatút CHKO bol Bielym a Bílý</w:t>
      </w:r>
      <w:r w:rsidR="00E225CE" w:rsidRPr="00E225CE">
        <w:rPr>
          <w:rFonts w:ascii="Times New Roman" w:hAnsi="Times New Roman" w:cs="Times New Roman"/>
          <w:sz w:val="24"/>
          <w:szCs w:val="24"/>
        </w:rPr>
        <w:t xml:space="preserve">m Karpatom priznaný nielen pre ich nenarušené prírodné prostredie, ale tiež pre hodnoty kultúrne, teda tradičnej rituálnej krajiny s pestrou paletou prírodných a poloprírodných biotopov. Takisto sociálna a kultúrna pestrosť odrážajúca sa v toľkej rozmanitosti folklórneho prejavu Slovensko-moravského pomedzia sa stala dôvodom pre vyhlásenie tohto CHKO. V komplexe bukového pásma prevládajú bučiny, bukové dúbravy, na exponovaných svahoch a sutiach lipové a jaseňové javoriny. Významným fenoménom Bielych Karpát sú lúčne spoločenstvá s bohatým výskytom druhov z čeľade vstavačovitých a kostravovitých. Na viacerých súkromných políčkach rastú ohrozené druhy, ako kúkoľ poľný, iskerník roľný, černuška roľná a mnohé iné. Zo živočíchov sa tu vyskytuje napríklad modlivka zelená, fúzač alpský, roháč obyčajný, jasoň červenooký, mlok veľký, bocian čierny, sokol rároh, výr skalný a iné. </w:t>
      </w:r>
    </w:p>
    <w:p w14:paraId="2556D06C"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CHKO Malé Karpaty majú druhovo pestré živočíšstvo. Bohato sú tu zastúpené rôzne druhy motýľov a mravcov. Z vtáctva tu možno spomenúť napríklad skaliara pestrého a skaliarika sivého. Sokol rároh má v Malých Karpatoch </w:t>
      </w:r>
      <w:r w:rsidR="00C666E9" w:rsidRPr="00E225CE">
        <w:rPr>
          <w:rFonts w:ascii="Times New Roman" w:hAnsi="Times New Roman" w:cs="Times New Roman"/>
          <w:sz w:val="24"/>
          <w:szCs w:val="24"/>
        </w:rPr>
        <w:t>najhojnejší</w:t>
      </w:r>
      <w:r w:rsidR="00E225CE" w:rsidRPr="00E225CE">
        <w:rPr>
          <w:rFonts w:ascii="Times New Roman" w:hAnsi="Times New Roman" w:cs="Times New Roman"/>
          <w:sz w:val="24"/>
          <w:szCs w:val="24"/>
        </w:rPr>
        <w:t xml:space="preserve"> výskyt na Slovensku. Z </w:t>
      </w:r>
      <w:r w:rsidR="00E225CE" w:rsidRPr="00E225CE">
        <w:rPr>
          <w:rFonts w:ascii="Times New Roman" w:hAnsi="Times New Roman" w:cs="Times New Roman"/>
          <w:sz w:val="24"/>
          <w:szCs w:val="24"/>
        </w:rPr>
        <w:lastRenderedPageBreak/>
        <w:t xml:space="preserve">ďalších druhov vtákov v oblasti hniezdia napr. bocian čierny, včelár obyčajný, hadiar krátkoprstý, výr skalný, myšiarka ušatá a lelek obyčajný. </w:t>
      </w:r>
    </w:p>
    <w:p w14:paraId="0E868F43" w14:textId="77777777" w:rsidR="00E225CE" w:rsidRP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ab/>
      </w:r>
      <w:r w:rsidR="00E225CE" w:rsidRPr="00E225CE">
        <w:rPr>
          <w:rFonts w:ascii="Times New Roman" w:hAnsi="Times New Roman" w:cs="Times New Roman"/>
          <w:sz w:val="24"/>
          <w:szCs w:val="24"/>
        </w:rPr>
        <w:t xml:space="preserve">Z hľadiska sústavy chránených území členských krajín Európskej únie sa v regióne </w:t>
      </w:r>
      <w:r w:rsidR="00470FEA">
        <w:rPr>
          <w:rFonts w:ascii="Times New Roman" w:hAnsi="Times New Roman" w:cs="Times New Roman"/>
          <w:sz w:val="24"/>
          <w:szCs w:val="24"/>
        </w:rPr>
        <w:t>nachádza</w:t>
      </w:r>
      <w:r w:rsidR="00470FEA" w:rsidRPr="00E225CE">
        <w:rPr>
          <w:rFonts w:ascii="Times New Roman" w:hAnsi="Times New Roman" w:cs="Times New Roman"/>
          <w:sz w:val="24"/>
          <w:szCs w:val="24"/>
        </w:rPr>
        <w:t xml:space="preserve"> </w:t>
      </w:r>
      <w:r w:rsidR="009A6DA1">
        <w:rPr>
          <w:rFonts w:ascii="Times New Roman" w:hAnsi="Times New Roman" w:cs="Times New Roman"/>
          <w:sz w:val="24"/>
          <w:szCs w:val="24"/>
        </w:rPr>
        <w:t>niekoľko</w:t>
      </w:r>
      <w:r w:rsidR="00E225CE" w:rsidRPr="00E225CE">
        <w:rPr>
          <w:rFonts w:ascii="Times New Roman" w:hAnsi="Times New Roman" w:cs="Times New Roman"/>
          <w:sz w:val="24"/>
          <w:szCs w:val="24"/>
        </w:rPr>
        <w:t xml:space="preserve"> územ</w:t>
      </w:r>
      <w:r w:rsidR="00470FEA">
        <w:rPr>
          <w:rFonts w:ascii="Times New Roman" w:hAnsi="Times New Roman" w:cs="Times New Roman"/>
          <w:sz w:val="24"/>
          <w:szCs w:val="24"/>
        </w:rPr>
        <w:t>í</w:t>
      </w:r>
      <w:r w:rsidR="00E225CE" w:rsidRPr="00E225CE">
        <w:rPr>
          <w:rFonts w:ascii="Times New Roman" w:hAnsi="Times New Roman" w:cs="Times New Roman"/>
          <w:sz w:val="24"/>
          <w:szCs w:val="24"/>
        </w:rPr>
        <w:t xml:space="preserve"> osobitého významu, ktoré sú začlenené do Natury 2000. Je to chránené vtáčie územie Malé Karpaty, ktoré zasahuje do katastra obc</w:t>
      </w:r>
      <w:r w:rsidR="009D74A8">
        <w:rPr>
          <w:rFonts w:ascii="Times New Roman" w:hAnsi="Times New Roman" w:cs="Times New Roman"/>
          <w:sz w:val="24"/>
          <w:szCs w:val="24"/>
        </w:rPr>
        <w:t>í</w:t>
      </w:r>
      <w:r w:rsidR="00E225CE" w:rsidRPr="00E225CE">
        <w:rPr>
          <w:rFonts w:ascii="Times New Roman" w:hAnsi="Times New Roman" w:cs="Times New Roman"/>
          <w:sz w:val="24"/>
          <w:szCs w:val="24"/>
        </w:rPr>
        <w:t xml:space="preserve"> Brezová pod Bradlom</w:t>
      </w:r>
      <w:r w:rsidR="00873C27">
        <w:rPr>
          <w:rFonts w:ascii="Times New Roman" w:hAnsi="Times New Roman" w:cs="Times New Roman"/>
          <w:sz w:val="24"/>
          <w:szCs w:val="24"/>
        </w:rPr>
        <w:t xml:space="preserve"> a Prašní</w:t>
      </w:r>
      <w:r w:rsidR="00470FEA">
        <w:rPr>
          <w:rFonts w:ascii="Times New Roman" w:hAnsi="Times New Roman" w:cs="Times New Roman"/>
          <w:sz w:val="24"/>
          <w:szCs w:val="24"/>
        </w:rPr>
        <w:t>k</w:t>
      </w:r>
      <w:r w:rsidR="00E225CE" w:rsidRPr="00E225CE">
        <w:rPr>
          <w:rFonts w:ascii="Times New Roman" w:hAnsi="Times New Roman" w:cs="Times New Roman"/>
          <w:sz w:val="24"/>
          <w:szCs w:val="24"/>
        </w:rPr>
        <w:t xml:space="preserve"> a</w:t>
      </w:r>
      <w:r w:rsidR="009A6DA1">
        <w:rPr>
          <w:rFonts w:ascii="Times New Roman" w:hAnsi="Times New Roman" w:cs="Times New Roman"/>
          <w:sz w:val="24"/>
          <w:szCs w:val="24"/>
        </w:rPr>
        <w:t> </w:t>
      </w:r>
      <w:r w:rsidR="00C666E9">
        <w:rPr>
          <w:rFonts w:ascii="Times New Roman" w:hAnsi="Times New Roman" w:cs="Times New Roman"/>
          <w:sz w:val="24"/>
          <w:szCs w:val="24"/>
        </w:rPr>
        <w:t>9</w:t>
      </w:r>
      <w:r w:rsidR="009A6DA1">
        <w:rPr>
          <w:rFonts w:ascii="Times New Roman" w:hAnsi="Times New Roman" w:cs="Times New Roman"/>
          <w:sz w:val="24"/>
          <w:szCs w:val="24"/>
        </w:rPr>
        <w:t xml:space="preserve"> nasledovných </w:t>
      </w:r>
      <w:r w:rsidR="00E225CE" w:rsidRPr="00E225CE">
        <w:rPr>
          <w:rFonts w:ascii="Times New Roman" w:hAnsi="Times New Roman" w:cs="Times New Roman"/>
          <w:sz w:val="24"/>
          <w:szCs w:val="24"/>
        </w:rPr>
        <w:t>územ</w:t>
      </w:r>
      <w:r w:rsidR="009A6DA1">
        <w:rPr>
          <w:rFonts w:ascii="Times New Roman" w:hAnsi="Times New Roman" w:cs="Times New Roman"/>
          <w:sz w:val="24"/>
          <w:szCs w:val="24"/>
        </w:rPr>
        <w:t>í</w:t>
      </w:r>
      <w:r w:rsidR="00E225CE" w:rsidRPr="00E225CE">
        <w:rPr>
          <w:rFonts w:ascii="Times New Roman" w:hAnsi="Times New Roman" w:cs="Times New Roman"/>
          <w:sz w:val="24"/>
          <w:szCs w:val="24"/>
        </w:rPr>
        <w:t xml:space="preserve"> európskeho významu</w:t>
      </w:r>
      <w:r w:rsidR="009A6DA1">
        <w:rPr>
          <w:rFonts w:ascii="Times New Roman" w:hAnsi="Times New Roman" w:cs="Times New Roman"/>
          <w:sz w:val="24"/>
          <w:szCs w:val="24"/>
        </w:rPr>
        <w:t xml:space="preserve">: </w:t>
      </w:r>
      <w:r w:rsidR="00E225CE" w:rsidRPr="00E225CE">
        <w:rPr>
          <w:rFonts w:ascii="Times New Roman" w:hAnsi="Times New Roman" w:cs="Times New Roman"/>
          <w:sz w:val="24"/>
          <w:szCs w:val="24"/>
        </w:rPr>
        <w:t>Brezovské Karpaty</w:t>
      </w:r>
      <w:r w:rsidR="004D206B">
        <w:rPr>
          <w:rFonts w:ascii="Times New Roman" w:hAnsi="Times New Roman" w:cs="Times New Roman"/>
          <w:sz w:val="24"/>
          <w:szCs w:val="24"/>
        </w:rPr>
        <w:t xml:space="preserve"> (k.ú. </w:t>
      </w:r>
      <w:r w:rsidR="004D206B" w:rsidRPr="004D206B">
        <w:rPr>
          <w:rFonts w:ascii="Times New Roman" w:hAnsi="Times New Roman" w:cs="Times New Roman"/>
          <w:sz w:val="24"/>
          <w:szCs w:val="24"/>
        </w:rPr>
        <w:t>Brezová pod Bradlom</w:t>
      </w:r>
      <w:r w:rsidR="004D206B">
        <w:rPr>
          <w:rFonts w:ascii="Times New Roman" w:hAnsi="Times New Roman" w:cs="Times New Roman"/>
          <w:sz w:val="24"/>
          <w:szCs w:val="24"/>
        </w:rPr>
        <w:t xml:space="preserve"> a </w:t>
      </w:r>
      <w:r w:rsidR="004D206B" w:rsidRPr="004D206B">
        <w:rPr>
          <w:rFonts w:ascii="Times New Roman" w:hAnsi="Times New Roman" w:cs="Times New Roman"/>
          <w:sz w:val="24"/>
          <w:szCs w:val="24"/>
        </w:rPr>
        <w:t>Košariská</w:t>
      </w:r>
      <w:r w:rsidR="004D206B">
        <w:rPr>
          <w:rFonts w:ascii="Times New Roman" w:hAnsi="Times New Roman" w:cs="Times New Roman"/>
          <w:sz w:val="24"/>
          <w:szCs w:val="24"/>
        </w:rPr>
        <w:t>)</w:t>
      </w:r>
      <w:r w:rsidR="009A6DA1">
        <w:rPr>
          <w:rFonts w:ascii="Times New Roman" w:hAnsi="Times New Roman" w:cs="Times New Roman"/>
          <w:sz w:val="24"/>
          <w:szCs w:val="24"/>
        </w:rPr>
        <w:t xml:space="preserve"> na juhu</w:t>
      </w:r>
      <w:r w:rsidR="00470FEA">
        <w:rPr>
          <w:rFonts w:ascii="Times New Roman" w:hAnsi="Times New Roman" w:cs="Times New Roman"/>
          <w:sz w:val="24"/>
          <w:szCs w:val="24"/>
        </w:rPr>
        <w:t>,</w:t>
      </w:r>
      <w:r w:rsidR="004D206B" w:rsidRPr="004D206B">
        <w:t xml:space="preserve"> </w:t>
      </w:r>
      <w:r w:rsidR="004D206B" w:rsidRPr="004D206B">
        <w:rPr>
          <w:rFonts w:ascii="Times New Roman" w:hAnsi="Times New Roman" w:cs="Times New Roman"/>
          <w:sz w:val="24"/>
          <w:szCs w:val="24"/>
        </w:rPr>
        <w:t>Čachtické Karpaty</w:t>
      </w:r>
      <w:r w:rsidR="004D206B">
        <w:rPr>
          <w:rFonts w:ascii="Times New Roman" w:hAnsi="Times New Roman" w:cs="Times New Roman"/>
          <w:sz w:val="24"/>
          <w:szCs w:val="24"/>
        </w:rPr>
        <w:t xml:space="preserve"> (k. ú. </w:t>
      </w:r>
      <w:r w:rsidR="004D206B" w:rsidRPr="004D206B">
        <w:rPr>
          <w:rFonts w:ascii="Times New Roman" w:hAnsi="Times New Roman" w:cs="Times New Roman"/>
          <w:sz w:val="24"/>
          <w:szCs w:val="24"/>
        </w:rPr>
        <w:t>Hrachovište</w:t>
      </w:r>
      <w:r w:rsidR="004D206B">
        <w:rPr>
          <w:rFonts w:ascii="Times New Roman" w:hAnsi="Times New Roman" w:cs="Times New Roman"/>
          <w:sz w:val="24"/>
          <w:szCs w:val="24"/>
        </w:rPr>
        <w:t xml:space="preserve"> a </w:t>
      </w:r>
      <w:r w:rsidR="004D206B" w:rsidRPr="004D206B">
        <w:rPr>
          <w:rFonts w:ascii="Times New Roman" w:hAnsi="Times New Roman" w:cs="Times New Roman"/>
          <w:sz w:val="24"/>
          <w:szCs w:val="24"/>
        </w:rPr>
        <w:t>Višňové</w:t>
      </w:r>
      <w:r w:rsidR="004D206B">
        <w:rPr>
          <w:rFonts w:ascii="Times New Roman" w:hAnsi="Times New Roman" w:cs="Times New Roman"/>
          <w:sz w:val="24"/>
          <w:szCs w:val="24"/>
        </w:rPr>
        <w:t>)</w:t>
      </w:r>
      <w:r w:rsidR="009A6DA1">
        <w:rPr>
          <w:rFonts w:ascii="Times New Roman" w:hAnsi="Times New Roman" w:cs="Times New Roman"/>
          <w:sz w:val="24"/>
          <w:szCs w:val="24"/>
        </w:rPr>
        <w:t xml:space="preserve"> na východe</w:t>
      </w:r>
      <w:r w:rsidR="004D206B">
        <w:rPr>
          <w:rFonts w:ascii="Times New Roman" w:hAnsi="Times New Roman" w:cs="Times New Roman"/>
          <w:sz w:val="24"/>
          <w:szCs w:val="24"/>
        </w:rPr>
        <w:t>,</w:t>
      </w:r>
      <w:r w:rsidR="009A6DA1">
        <w:rPr>
          <w:rFonts w:ascii="Times New Roman" w:hAnsi="Times New Roman" w:cs="Times New Roman"/>
          <w:sz w:val="24"/>
          <w:szCs w:val="24"/>
        </w:rPr>
        <w:t xml:space="preserve"> na severe</w:t>
      </w:r>
      <w:r w:rsidR="004D206B">
        <w:rPr>
          <w:rFonts w:ascii="Times New Roman" w:hAnsi="Times New Roman" w:cs="Times New Roman"/>
          <w:sz w:val="24"/>
          <w:szCs w:val="24"/>
        </w:rPr>
        <w:t xml:space="preserve"> </w:t>
      </w:r>
      <w:r w:rsidR="004D206B" w:rsidRPr="004D206B">
        <w:rPr>
          <w:rFonts w:ascii="Times New Roman" w:hAnsi="Times New Roman" w:cs="Times New Roman"/>
          <w:sz w:val="24"/>
          <w:szCs w:val="24"/>
        </w:rPr>
        <w:t>Holubyho kopanice</w:t>
      </w:r>
      <w:r w:rsidR="004D206B">
        <w:rPr>
          <w:rFonts w:ascii="Times New Roman" w:hAnsi="Times New Roman" w:cs="Times New Roman"/>
          <w:sz w:val="24"/>
          <w:szCs w:val="24"/>
        </w:rPr>
        <w:t xml:space="preserve"> (</w:t>
      </w:r>
      <w:r w:rsidR="001D146A">
        <w:rPr>
          <w:rFonts w:ascii="Times New Roman" w:hAnsi="Times New Roman" w:cs="Times New Roman"/>
          <w:sz w:val="24"/>
          <w:szCs w:val="24"/>
        </w:rPr>
        <w:t xml:space="preserve">k.ú. </w:t>
      </w:r>
      <w:r w:rsidR="004D206B" w:rsidRPr="004D206B">
        <w:rPr>
          <w:rFonts w:ascii="Times New Roman" w:hAnsi="Times New Roman" w:cs="Times New Roman"/>
          <w:sz w:val="24"/>
          <w:szCs w:val="24"/>
        </w:rPr>
        <w:t>Dolné Bzince</w:t>
      </w:r>
      <w:r w:rsidR="004D206B">
        <w:rPr>
          <w:rFonts w:ascii="Times New Roman" w:hAnsi="Times New Roman" w:cs="Times New Roman"/>
          <w:sz w:val="24"/>
          <w:szCs w:val="24"/>
        </w:rPr>
        <w:t xml:space="preserve">, </w:t>
      </w:r>
      <w:r w:rsidR="004D206B" w:rsidRPr="004D206B">
        <w:rPr>
          <w:rFonts w:ascii="Times New Roman" w:hAnsi="Times New Roman" w:cs="Times New Roman"/>
          <w:sz w:val="24"/>
          <w:szCs w:val="24"/>
        </w:rPr>
        <w:t>Horné Bzince</w:t>
      </w:r>
      <w:r w:rsidR="004D206B">
        <w:rPr>
          <w:rFonts w:ascii="Times New Roman" w:hAnsi="Times New Roman" w:cs="Times New Roman"/>
          <w:sz w:val="24"/>
          <w:szCs w:val="24"/>
        </w:rPr>
        <w:t xml:space="preserve">, </w:t>
      </w:r>
      <w:r w:rsidR="004D206B" w:rsidRPr="004D206B">
        <w:rPr>
          <w:rFonts w:ascii="Times New Roman" w:hAnsi="Times New Roman" w:cs="Times New Roman"/>
          <w:sz w:val="24"/>
          <w:szCs w:val="24"/>
        </w:rPr>
        <w:t>Hrubá Strana</w:t>
      </w:r>
      <w:r w:rsidR="004D206B">
        <w:rPr>
          <w:rFonts w:ascii="Times New Roman" w:hAnsi="Times New Roman" w:cs="Times New Roman"/>
          <w:sz w:val="24"/>
          <w:szCs w:val="24"/>
        </w:rPr>
        <w:t xml:space="preserve">, </w:t>
      </w:r>
      <w:r w:rsidR="004D206B" w:rsidRPr="004D206B">
        <w:rPr>
          <w:rFonts w:ascii="Times New Roman" w:hAnsi="Times New Roman" w:cs="Times New Roman"/>
          <w:sz w:val="24"/>
          <w:szCs w:val="24"/>
        </w:rPr>
        <w:t>Lubina</w:t>
      </w:r>
      <w:r w:rsidR="004D206B">
        <w:rPr>
          <w:rFonts w:ascii="Times New Roman" w:hAnsi="Times New Roman" w:cs="Times New Roman"/>
          <w:sz w:val="24"/>
          <w:szCs w:val="24"/>
        </w:rPr>
        <w:t>),</w:t>
      </w:r>
      <w:r w:rsidR="009A6DA1">
        <w:rPr>
          <w:rFonts w:ascii="Times New Roman" w:hAnsi="Times New Roman" w:cs="Times New Roman"/>
          <w:sz w:val="24"/>
          <w:szCs w:val="24"/>
        </w:rPr>
        <w:t xml:space="preserve"> </w:t>
      </w:r>
      <w:r w:rsidR="00C666E9" w:rsidRPr="00C666E9">
        <w:rPr>
          <w:rFonts w:ascii="Times New Roman" w:hAnsi="Times New Roman" w:cs="Times New Roman"/>
          <w:sz w:val="24"/>
          <w:szCs w:val="24"/>
        </w:rPr>
        <w:t>Záhradská (k.ú.</w:t>
      </w:r>
      <w:r w:rsidR="00C666E9">
        <w:rPr>
          <w:rFonts w:ascii="Times New Roman" w:hAnsi="Times New Roman" w:cs="Times New Roman"/>
          <w:sz w:val="24"/>
          <w:szCs w:val="24"/>
        </w:rPr>
        <w:t xml:space="preserve"> </w:t>
      </w:r>
      <w:r w:rsidR="00C666E9" w:rsidRPr="004D206B">
        <w:rPr>
          <w:rFonts w:ascii="Times New Roman" w:hAnsi="Times New Roman" w:cs="Times New Roman"/>
          <w:sz w:val="24"/>
          <w:szCs w:val="24"/>
        </w:rPr>
        <w:t>Lubina</w:t>
      </w:r>
      <w:r w:rsidR="00C666E9">
        <w:rPr>
          <w:rFonts w:ascii="Times New Roman" w:hAnsi="Times New Roman" w:cs="Times New Roman"/>
          <w:sz w:val="24"/>
          <w:szCs w:val="24"/>
        </w:rPr>
        <w:t>),</w:t>
      </w:r>
      <w:r w:rsidR="00C666E9" w:rsidRPr="00C666E9">
        <w:rPr>
          <w:rFonts w:ascii="Times New Roman" w:hAnsi="Times New Roman" w:cs="Times New Roman"/>
          <w:sz w:val="24"/>
          <w:szCs w:val="24"/>
        </w:rPr>
        <w:t xml:space="preserve"> </w:t>
      </w:r>
      <w:r w:rsidR="009A6DA1" w:rsidRPr="009A6DA1">
        <w:rPr>
          <w:rFonts w:ascii="Times New Roman" w:hAnsi="Times New Roman" w:cs="Times New Roman"/>
          <w:sz w:val="24"/>
          <w:szCs w:val="24"/>
        </w:rPr>
        <w:t>Pavúkov jarok</w:t>
      </w:r>
      <w:r w:rsidR="009A6DA1">
        <w:rPr>
          <w:rFonts w:ascii="Times New Roman" w:hAnsi="Times New Roman" w:cs="Times New Roman"/>
          <w:sz w:val="24"/>
          <w:szCs w:val="24"/>
        </w:rPr>
        <w:t xml:space="preserve"> a </w:t>
      </w:r>
      <w:r w:rsidR="009A6DA1" w:rsidRPr="00470FEA">
        <w:rPr>
          <w:rFonts w:ascii="Times New Roman" w:hAnsi="Times New Roman" w:cs="Times New Roman"/>
          <w:sz w:val="24"/>
          <w:szCs w:val="24"/>
        </w:rPr>
        <w:t>Borotová</w:t>
      </w:r>
      <w:r w:rsidR="009A6DA1">
        <w:rPr>
          <w:rFonts w:ascii="Times New Roman" w:hAnsi="Times New Roman" w:cs="Times New Roman"/>
          <w:sz w:val="24"/>
          <w:szCs w:val="24"/>
        </w:rPr>
        <w:t xml:space="preserve"> v k. ú</w:t>
      </w:r>
      <w:r w:rsidR="00C666E9">
        <w:rPr>
          <w:rFonts w:ascii="Times New Roman" w:hAnsi="Times New Roman" w:cs="Times New Roman"/>
          <w:sz w:val="24"/>
          <w:szCs w:val="24"/>
        </w:rPr>
        <w:t>.</w:t>
      </w:r>
      <w:r w:rsidR="009A6DA1">
        <w:rPr>
          <w:rFonts w:ascii="Times New Roman" w:hAnsi="Times New Roman" w:cs="Times New Roman"/>
          <w:sz w:val="24"/>
          <w:szCs w:val="24"/>
        </w:rPr>
        <w:t xml:space="preserve"> Stará Turá,</w:t>
      </w:r>
      <w:r w:rsidR="00E225CE" w:rsidRPr="00E225CE">
        <w:rPr>
          <w:rFonts w:ascii="Times New Roman" w:hAnsi="Times New Roman" w:cs="Times New Roman"/>
          <w:sz w:val="24"/>
          <w:szCs w:val="24"/>
        </w:rPr>
        <w:t xml:space="preserve"> </w:t>
      </w:r>
      <w:r w:rsidR="001D146A" w:rsidRPr="00E225CE">
        <w:rPr>
          <w:rFonts w:ascii="Times New Roman" w:hAnsi="Times New Roman" w:cs="Times New Roman"/>
          <w:sz w:val="24"/>
          <w:szCs w:val="24"/>
        </w:rPr>
        <w:t xml:space="preserve">na severozápade regiónu </w:t>
      </w:r>
      <w:r w:rsidR="00E225CE" w:rsidRPr="00E225CE">
        <w:rPr>
          <w:rFonts w:ascii="Times New Roman" w:hAnsi="Times New Roman" w:cs="Times New Roman"/>
          <w:sz w:val="24"/>
          <w:szCs w:val="24"/>
        </w:rPr>
        <w:t>Žalostiná</w:t>
      </w:r>
      <w:r w:rsidR="001D146A">
        <w:rPr>
          <w:rFonts w:ascii="Times New Roman" w:hAnsi="Times New Roman" w:cs="Times New Roman"/>
          <w:sz w:val="24"/>
          <w:szCs w:val="24"/>
        </w:rPr>
        <w:t xml:space="preserve"> (k.ú. </w:t>
      </w:r>
      <w:r w:rsidR="001D146A" w:rsidRPr="001D146A">
        <w:rPr>
          <w:rFonts w:ascii="Times New Roman" w:hAnsi="Times New Roman" w:cs="Times New Roman"/>
          <w:sz w:val="24"/>
          <w:szCs w:val="24"/>
        </w:rPr>
        <w:t>Vrbovce</w:t>
      </w:r>
      <w:r w:rsidR="001D146A">
        <w:rPr>
          <w:rFonts w:ascii="Times New Roman" w:hAnsi="Times New Roman" w:cs="Times New Roman"/>
          <w:sz w:val="24"/>
          <w:szCs w:val="24"/>
        </w:rPr>
        <w:t xml:space="preserve"> a Chvojnica)</w:t>
      </w:r>
      <w:r w:rsidR="00470FEA">
        <w:rPr>
          <w:rFonts w:ascii="Times New Roman" w:hAnsi="Times New Roman" w:cs="Times New Roman"/>
          <w:sz w:val="24"/>
          <w:szCs w:val="24"/>
        </w:rPr>
        <w:t xml:space="preserve"> a </w:t>
      </w:r>
      <w:r w:rsidR="00470FEA" w:rsidRPr="00470FEA">
        <w:rPr>
          <w:rFonts w:ascii="Times New Roman" w:hAnsi="Times New Roman" w:cs="Times New Roman"/>
          <w:sz w:val="24"/>
          <w:szCs w:val="24"/>
        </w:rPr>
        <w:t>Šifflovské</w:t>
      </w:r>
      <w:r w:rsidR="00E225CE" w:rsidRPr="00E225CE">
        <w:rPr>
          <w:rFonts w:ascii="Times New Roman" w:hAnsi="Times New Roman" w:cs="Times New Roman"/>
          <w:sz w:val="24"/>
          <w:szCs w:val="24"/>
        </w:rPr>
        <w:t xml:space="preserve"> </w:t>
      </w:r>
      <w:r w:rsidR="001D146A">
        <w:rPr>
          <w:rFonts w:ascii="Times New Roman" w:hAnsi="Times New Roman" w:cs="Times New Roman"/>
          <w:sz w:val="24"/>
          <w:szCs w:val="24"/>
        </w:rPr>
        <w:t xml:space="preserve">(k.ú. </w:t>
      </w:r>
      <w:r w:rsidR="00470FEA">
        <w:rPr>
          <w:rFonts w:ascii="Times New Roman" w:hAnsi="Times New Roman" w:cs="Times New Roman"/>
          <w:sz w:val="24"/>
          <w:szCs w:val="24"/>
        </w:rPr>
        <w:t>Chvojnica</w:t>
      </w:r>
      <w:r w:rsidR="001D146A">
        <w:rPr>
          <w:rFonts w:ascii="Times New Roman" w:hAnsi="Times New Roman" w:cs="Times New Roman"/>
          <w:sz w:val="24"/>
          <w:szCs w:val="24"/>
        </w:rPr>
        <w:t>)</w:t>
      </w:r>
      <w:r w:rsidR="00470FEA">
        <w:rPr>
          <w:rFonts w:ascii="Times New Roman" w:hAnsi="Times New Roman" w:cs="Times New Roman"/>
          <w:sz w:val="24"/>
          <w:szCs w:val="24"/>
        </w:rPr>
        <w:t xml:space="preserve"> </w:t>
      </w:r>
      <w:r w:rsidR="009A6DA1">
        <w:rPr>
          <w:rFonts w:ascii="Times New Roman" w:hAnsi="Times New Roman" w:cs="Times New Roman"/>
          <w:sz w:val="24"/>
          <w:szCs w:val="24"/>
        </w:rPr>
        <w:t xml:space="preserve">a </w:t>
      </w:r>
      <w:r w:rsidR="001D146A">
        <w:rPr>
          <w:rFonts w:ascii="Times New Roman" w:hAnsi="Times New Roman" w:cs="Times New Roman"/>
          <w:sz w:val="24"/>
          <w:szCs w:val="24"/>
        </w:rPr>
        <w:t xml:space="preserve">na západe </w:t>
      </w:r>
      <w:r w:rsidR="001D146A" w:rsidRPr="001D146A">
        <w:rPr>
          <w:rFonts w:ascii="Times New Roman" w:hAnsi="Times New Roman" w:cs="Times New Roman"/>
          <w:sz w:val="24"/>
          <w:szCs w:val="24"/>
        </w:rPr>
        <w:t>Horný tok Myjavy</w:t>
      </w:r>
      <w:r w:rsidR="001D146A">
        <w:rPr>
          <w:rFonts w:ascii="Times New Roman" w:hAnsi="Times New Roman" w:cs="Times New Roman"/>
          <w:sz w:val="24"/>
          <w:szCs w:val="24"/>
        </w:rPr>
        <w:t xml:space="preserve"> (k.ú. </w:t>
      </w:r>
      <w:r w:rsidR="001D146A" w:rsidRPr="001D146A">
        <w:rPr>
          <w:rFonts w:ascii="Times New Roman" w:hAnsi="Times New Roman" w:cs="Times New Roman"/>
          <w:sz w:val="24"/>
          <w:szCs w:val="24"/>
        </w:rPr>
        <w:t>Podbranč</w:t>
      </w:r>
      <w:r w:rsidR="001D146A">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p>
    <w:p w14:paraId="5B32B084" w14:textId="77777777" w:rsidR="00E225CE" w:rsidRPr="00E225CE" w:rsidRDefault="00E225CE" w:rsidP="00B91A9B">
      <w:pPr>
        <w:spacing w:after="0" w:line="360" w:lineRule="auto"/>
        <w:rPr>
          <w:rFonts w:ascii="Times New Roman" w:hAnsi="Times New Roman" w:cs="Times New Roman"/>
          <w:sz w:val="24"/>
          <w:szCs w:val="24"/>
        </w:rPr>
      </w:pPr>
      <w:r w:rsidRPr="00E225CE">
        <w:rPr>
          <w:rFonts w:ascii="Times New Roman" w:hAnsi="Times New Roman" w:cs="Times New Roman"/>
          <w:sz w:val="24"/>
          <w:szCs w:val="24"/>
        </w:rPr>
        <w:t>K najviac ohrozeným  nelesným spoločenstvám regiónu patria:</w:t>
      </w:r>
    </w:p>
    <w:p w14:paraId="42AA941D"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vodné, močiarne a pramenné spoločenstvá</w:t>
      </w:r>
      <w:r w:rsidR="00B91A9B">
        <w:rPr>
          <w:rFonts w:ascii="Times New Roman" w:hAnsi="Times New Roman" w:cs="Times New Roman"/>
          <w:sz w:val="24"/>
          <w:szCs w:val="24"/>
        </w:rPr>
        <w:t>,</w:t>
      </w:r>
    </w:p>
    <w:p w14:paraId="25010669"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vlhké lúky a</w:t>
      </w:r>
      <w:r w:rsidR="00B91A9B">
        <w:rPr>
          <w:rFonts w:ascii="Times New Roman" w:hAnsi="Times New Roman" w:cs="Times New Roman"/>
          <w:sz w:val="24"/>
          <w:szCs w:val="24"/>
        </w:rPr>
        <w:t> </w:t>
      </w:r>
      <w:r w:rsidRPr="00E225CE">
        <w:rPr>
          <w:rFonts w:ascii="Times New Roman" w:hAnsi="Times New Roman" w:cs="Times New Roman"/>
          <w:sz w:val="24"/>
          <w:szCs w:val="24"/>
        </w:rPr>
        <w:t>pasienky</w:t>
      </w:r>
      <w:r w:rsidR="00B91A9B">
        <w:rPr>
          <w:rFonts w:ascii="Times New Roman" w:hAnsi="Times New Roman" w:cs="Times New Roman"/>
          <w:sz w:val="24"/>
          <w:szCs w:val="24"/>
        </w:rPr>
        <w:t>,</w:t>
      </w:r>
    </w:p>
    <w:p w14:paraId="335FB6DF"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xerotermné trávinno-bylinné biotopy</w:t>
      </w:r>
      <w:r w:rsidR="00B91A9B">
        <w:rPr>
          <w:rFonts w:ascii="Times New Roman" w:hAnsi="Times New Roman" w:cs="Times New Roman"/>
          <w:sz w:val="24"/>
          <w:szCs w:val="24"/>
        </w:rPr>
        <w:t>,</w:t>
      </w:r>
    </w:p>
    <w:p w14:paraId="79F762D9"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mezofilné lúky</w:t>
      </w:r>
      <w:r w:rsidR="00B91A9B">
        <w:rPr>
          <w:rFonts w:ascii="Times New Roman" w:hAnsi="Times New Roman" w:cs="Times New Roman"/>
          <w:sz w:val="24"/>
          <w:szCs w:val="24"/>
        </w:rPr>
        <w:t>.</w:t>
      </w:r>
    </w:p>
    <w:p w14:paraId="229816DF" w14:textId="77777777" w:rsidR="00E225CE" w:rsidRPr="00E225CE" w:rsidRDefault="00E225CE" w:rsidP="00B91A9B">
      <w:pPr>
        <w:spacing w:after="0" w:line="360" w:lineRule="auto"/>
        <w:rPr>
          <w:rFonts w:ascii="Times New Roman" w:hAnsi="Times New Roman" w:cs="Times New Roman"/>
          <w:sz w:val="24"/>
          <w:szCs w:val="24"/>
        </w:rPr>
      </w:pPr>
      <w:r w:rsidRPr="00E225CE">
        <w:rPr>
          <w:rFonts w:ascii="Times New Roman" w:hAnsi="Times New Roman" w:cs="Times New Roman"/>
          <w:sz w:val="24"/>
          <w:szCs w:val="24"/>
        </w:rPr>
        <w:t>K najviac ohrozeným lesným spoločenstvám regiónu patria:</w:t>
      </w:r>
    </w:p>
    <w:p w14:paraId="3FB21C30"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podhorské lužné lesy vyvinuté na nivách tokov</w:t>
      </w:r>
      <w:r w:rsidR="00B91A9B">
        <w:rPr>
          <w:rFonts w:ascii="Times New Roman" w:hAnsi="Times New Roman" w:cs="Times New Roman"/>
          <w:sz w:val="24"/>
          <w:szCs w:val="24"/>
        </w:rPr>
        <w:t>,</w:t>
      </w:r>
    </w:p>
    <w:p w14:paraId="2EF0399A"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dubovo-cerové lesy</w:t>
      </w:r>
      <w:r w:rsidR="00B91A9B">
        <w:rPr>
          <w:rFonts w:ascii="Times New Roman" w:hAnsi="Times New Roman" w:cs="Times New Roman"/>
          <w:sz w:val="24"/>
          <w:szCs w:val="24"/>
        </w:rPr>
        <w:t>,</w:t>
      </w:r>
    </w:p>
    <w:p w14:paraId="50DE8C74" w14:textId="77777777" w:rsidR="00E225CE" w:rsidRPr="00E225CE" w:rsidRDefault="00E225CE" w:rsidP="00B91A9B">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w:t>
      </w:r>
      <w:r w:rsidRPr="00E225CE">
        <w:rPr>
          <w:rFonts w:ascii="Times New Roman" w:hAnsi="Times New Roman" w:cs="Times New Roman"/>
          <w:sz w:val="24"/>
          <w:szCs w:val="24"/>
        </w:rPr>
        <w:tab/>
        <w:t>lipovo-javorové lesy</w:t>
      </w:r>
      <w:r w:rsidR="00B91A9B">
        <w:rPr>
          <w:rFonts w:ascii="Times New Roman" w:hAnsi="Times New Roman" w:cs="Times New Roman"/>
          <w:sz w:val="24"/>
          <w:szCs w:val="24"/>
        </w:rPr>
        <w:t>.</w:t>
      </w:r>
    </w:p>
    <w:p w14:paraId="04BF313C" w14:textId="77777777" w:rsidR="00E225CE" w:rsidRPr="00E225CE" w:rsidRDefault="00E225CE" w:rsidP="00B91A9B">
      <w:pPr>
        <w:spacing w:after="0" w:line="360" w:lineRule="auto"/>
        <w:rPr>
          <w:rFonts w:ascii="Times New Roman" w:hAnsi="Times New Roman" w:cs="Times New Roman"/>
          <w:sz w:val="24"/>
          <w:szCs w:val="24"/>
        </w:rPr>
      </w:pPr>
      <w:r w:rsidRPr="00E225CE">
        <w:rPr>
          <w:rFonts w:ascii="Times New Roman" w:hAnsi="Times New Roman" w:cs="Times New Roman"/>
          <w:sz w:val="24"/>
          <w:szCs w:val="24"/>
        </w:rPr>
        <w:t xml:space="preserve">Maloplošné chránené územia regiónu sú </w:t>
      </w:r>
      <w:r w:rsidRPr="00346513">
        <w:rPr>
          <w:rFonts w:ascii="Times New Roman" w:hAnsi="Times New Roman" w:cs="Times New Roman"/>
          <w:sz w:val="24"/>
          <w:szCs w:val="24"/>
        </w:rPr>
        <w:t xml:space="preserve">znázornené </w:t>
      </w:r>
      <w:r w:rsidRPr="008D0D63">
        <w:rPr>
          <w:rFonts w:ascii="Times New Roman" w:hAnsi="Times New Roman" w:cs="Times New Roman"/>
          <w:sz w:val="24"/>
          <w:szCs w:val="24"/>
        </w:rPr>
        <w:t xml:space="preserve">v tabuľke </w:t>
      </w:r>
      <w:r w:rsidR="008D0D63">
        <w:rPr>
          <w:rFonts w:ascii="Times New Roman" w:hAnsi="Times New Roman" w:cs="Times New Roman"/>
          <w:sz w:val="24"/>
          <w:szCs w:val="24"/>
        </w:rPr>
        <w:t>č. 3.1.2.</w:t>
      </w:r>
    </w:p>
    <w:p w14:paraId="35D07E46" w14:textId="77777777" w:rsidR="008D0D63" w:rsidRPr="00B91A9B" w:rsidRDefault="00E225CE" w:rsidP="00470C84">
      <w:pPr>
        <w:keepNext/>
        <w:spacing w:after="0" w:line="360" w:lineRule="auto"/>
        <w:rPr>
          <w:rFonts w:ascii="Times New Roman" w:hAnsi="Times New Roman" w:cs="Times New Roman"/>
          <w:b/>
          <w:sz w:val="20"/>
          <w:szCs w:val="20"/>
        </w:rPr>
      </w:pPr>
      <w:r w:rsidRPr="00B91A9B">
        <w:rPr>
          <w:rFonts w:ascii="Times New Roman" w:hAnsi="Times New Roman" w:cs="Times New Roman"/>
          <w:b/>
          <w:sz w:val="20"/>
          <w:szCs w:val="20"/>
        </w:rPr>
        <w:t>Tabuľka</w:t>
      </w:r>
      <w:r w:rsidR="008D0D63" w:rsidRPr="00B91A9B">
        <w:rPr>
          <w:rFonts w:ascii="Times New Roman" w:hAnsi="Times New Roman" w:cs="Times New Roman"/>
          <w:b/>
          <w:sz w:val="20"/>
          <w:szCs w:val="20"/>
        </w:rPr>
        <w:t xml:space="preserve"> 3.1.</w:t>
      </w:r>
      <w:r w:rsidRPr="00B91A9B">
        <w:rPr>
          <w:rFonts w:ascii="Times New Roman" w:hAnsi="Times New Roman" w:cs="Times New Roman"/>
          <w:b/>
          <w:sz w:val="20"/>
          <w:szCs w:val="20"/>
        </w:rPr>
        <w:t>2 Chránené územia na území Kopaničiarskeho regiónu</w:t>
      </w:r>
      <w:r w:rsidR="001840BA" w:rsidRPr="00B91A9B">
        <w:rPr>
          <w:rFonts w:ascii="Times New Roman" w:hAnsi="Times New Roman" w:cs="Times New Roman"/>
          <w:b/>
          <w:sz w:val="20"/>
          <w:szCs w:val="20"/>
        </w:rPr>
        <w:t xml:space="preserve"> </w:t>
      </w:r>
      <w:r w:rsidR="008D0D63" w:rsidRPr="00B91A9B">
        <w:rPr>
          <w:rFonts w:ascii="Times New Roman" w:hAnsi="Times New Roman" w:cs="Times New Roman"/>
          <w:b/>
          <w:sz w:val="20"/>
          <w:szCs w:val="20"/>
        </w:rPr>
        <w:t>v roku 2014</w:t>
      </w:r>
    </w:p>
    <w:tbl>
      <w:tblPr>
        <w:tblW w:w="8946" w:type="dxa"/>
        <w:tblInd w:w="55" w:type="dxa"/>
        <w:tblCellMar>
          <w:left w:w="70" w:type="dxa"/>
          <w:right w:w="70" w:type="dxa"/>
        </w:tblCellMar>
        <w:tblLook w:val="04A0" w:firstRow="1" w:lastRow="0" w:firstColumn="1" w:lastColumn="0" w:noHBand="0" w:noVBand="1"/>
      </w:tblPr>
      <w:tblGrid>
        <w:gridCol w:w="2142"/>
        <w:gridCol w:w="2268"/>
        <w:gridCol w:w="1559"/>
        <w:gridCol w:w="1134"/>
        <w:gridCol w:w="1843"/>
      </w:tblGrid>
      <w:tr w:rsidR="008D0D63" w:rsidRPr="00157E40" w14:paraId="36263D3B" w14:textId="77777777" w:rsidTr="008D0D63">
        <w:trPr>
          <w:trHeight w:val="390"/>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A89151B"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Názov územia</w:t>
            </w:r>
          </w:p>
        </w:tc>
        <w:tc>
          <w:tcPr>
            <w:tcW w:w="2268" w:type="dxa"/>
            <w:tcBorders>
              <w:top w:val="single" w:sz="8" w:space="0" w:color="auto"/>
              <w:left w:val="nil"/>
              <w:bottom w:val="single" w:sz="8" w:space="0" w:color="auto"/>
              <w:right w:val="single" w:sz="8" w:space="0" w:color="auto"/>
            </w:tcBorders>
            <w:shd w:val="clear" w:color="000000" w:fill="D9D9D9"/>
            <w:noWrap/>
            <w:vAlign w:val="center"/>
            <w:hideMark/>
          </w:tcPr>
          <w:p w14:paraId="17FB5FD6"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Kataster obce</w:t>
            </w:r>
          </w:p>
        </w:tc>
        <w:tc>
          <w:tcPr>
            <w:tcW w:w="1559" w:type="dxa"/>
            <w:tcBorders>
              <w:top w:val="single" w:sz="8" w:space="0" w:color="auto"/>
              <w:left w:val="nil"/>
              <w:bottom w:val="single" w:sz="8" w:space="0" w:color="auto"/>
              <w:right w:val="single" w:sz="8" w:space="0" w:color="auto"/>
            </w:tcBorders>
            <w:shd w:val="clear" w:color="000000" w:fill="D9D9D9"/>
            <w:noWrap/>
            <w:vAlign w:val="center"/>
            <w:hideMark/>
          </w:tcPr>
          <w:p w14:paraId="219862F8"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Rozloha (m</w:t>
            </w:r>
            <w:r w:rsidRPr="00157E40">
              <w:rPr>
                <w:rFonts w:ascii="Times New Roman" w:eastAsia="Times New Roman" w:hAnsi="Times New Roman" w:cs="Times New Roman"/>
                <w:b/>
                <w:bCs/>
                <w:color w:val="000000"/>
                <w:sz w:val="20"/>
                <w:szCs w:val="20"/>
                <w:vertAlign w:val="superscript"/>
                <w:lang w:eastAsia="sk-SK"/>
              </w:rPr>
              <w:t>2</w:t>
            </w:r>
            <w:r w:rsidRPr="00157E40">
              <w:rPr>
                <w:rFonts w:ascii="Times New Roman" w:eastAsia="Times New Roman" w:hAnsi="Times New Roman" w:cs="Times New Roman"/>
                <w:b/>
                <w:bCs/>
                <w:color w:val="000000"/>
                <w:sz w:val="20"/>
                <w:szCs w:val="20"/>
                <w:lang w:eastAsia="sk-SK"/>
              </w:rPr>
              <w:t>)</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14:paraId="6E198FD8"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Rok vyhl.</w:t>
            </w:r>
          </w:p>
        </w:tc>
        <w:tc>
          <w:tcPr>
            <w:tcW w:w="1843" w:type="dxa"/>
            <w:tcBorders>
              <w:top w:val="single" w:sz="8" w:space="0" w:color="auto"/>
              <w:left w:val="nil"/>
              <w:bottom w:val="single" w:sz="8" w:space="0" w:color="auto"/>
              <w:right w:val="single" w:sz="8" w:space="0" w:color="auto"/>
            </w:tcBorders>
            <w:shd w:val="clear" w:color="000000" w:fill="D9D9D9"/>
            <w:noWrap/>
            <w:vAlign w:val="center"/>
            <w:hideMark/>
          </w:tcPr>
          <w:p w14:paraId="65B043CF"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Stupeň ochrany</w:t>
            </w:r>
          </w:p>
        </w:tc>
      </w:tr>
      <w:tr w:rsidR="008D0D63" w:rsidRPr="00157E40" w14:paraId="26061804"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7407E2E3" w14:textId="77777777" w:rsidR="008D0D63" w:rsidRPr="00157E40" w:rsidRDefault="008D0D63" w:rsidP="008D0D63">
            <w:pPr>
              <w:spacing w:after="0" w:line="240" w:lineRule="auto"/>
              <w:rPr>
                <w:rFonts w:ascii="Times New Roman" w:eastAsia="Times New Roman" w:hAnsi="Times New Roman" w:cs="Times New Roman"/>
                <w:b/>
                <w:bCs/>
                <w:i/>
                <w:iCs/>
                <w:color w:val="000000"/>
                <w:sz w:val="20"/>
                <w:szCs w:val="20"/>
                <w:lang w:eastAsia="sk-SK"/>
              </w:rPr>
            </w:pPr>
            <w:r w:rsidRPr="00157E40">
              <w:rPr>
                <w:rFonts w:ascii="Times New Roman" w:eastAsia="Times New Roman" w:hAnsi="Times New Roman" w:cs="Times New Roman"/>
                <w:b/>
                <w:bCs/>
                <w:i/>
                <w:iCs/>
                <w:color w:val="000000"/>
                <w:sz w:val="20"/>
                <w:szCs w:val="20"/>
                <w:lang w:eastAsia="sk-SK"/>
              </w:rPr>
              <w:t>Prírodné pamiatky</w:t>
            </w:r>
          </w:p>
        </w:tc>
        <w:tc>
          <w:tcPr>
            <w:tcW w:w="2268" w:type="dxa"/>
            <w:tcBorders>
              <w:top w:val="nil"/>
              <w:left w:val="nil"/>
              <w:bottom w:val="single" w:sz="8" w:space="0" w:color="auto"/>
              <w:right w:val="single" w:sz="8" w:space="0" w:color="auto"/>
            </w:tcBorders>
            <w:shd w:val="clear" w:color="auto" w:fill="auto"/>
            <w:noWrap/>
            <w:vAlign w:val="center"/>
            <w:hideMark/>
          </w:tcPr>
          <w:p w14:paraId="6D98123A"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559" w:type="dxa"/>
            <w:tcBorders>
              <w:top w:val="nil"/>
              <w:left w:val="nil"/>
              <w:bottom w:val="nil"/>
              <w:right w:val="nil"/>
            </w:tcBorders>
            <w:shd w:val="clear" w:color="auto" w:fill="auto"/>
            <w:noWrap/>
            <w:vAlign w:val="center"/>
            <w:hideMark/>
          </w:tcPr>
          <w:p w14:paraId="7E002D55"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7D8163B"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843" w:type="dxa"/>
            <w:tcBorders>
              <w:top w:val="nil"/>
              <w:left w:val="nil"/>
              <w:bottom w:val="nil"/>
              <w:right w:val="single" w:sz="8" w:space="0" w:color="auto"/>
            </w:tcBorders>
            <w:shd w:val="clear" w:color="auto" w:fill="auto"/>
            <w:noWrap/>
            <w:vAlign w:val="center"/>
            <w:hideMark/>
          </w:tcPr>
          <w:p w14:paraId="67D9B51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r>
      <w:tr w:rsidR="008D0D63" w:rsidRPr="00157E40" w14:paraId="43A8D826"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52D41C4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Borotová</w:t>
            </w:r>
          </w:p>
        </w:tc>
        <w:tc>
          <w:tcPr>
            <w:tcW w:w="2268" w:type="dxa"/>
            <w:tcBorders>
              <w:top w:val="nil"/>
              <w:left w:val="nil"/>
              <w:bottom w:val="single" w:sz="8" w:space="0" w:color="auto"/>
              <w:right w:val="single" w:sz="8" w:space="0" w:color="auto"/>
            </w:tcBorders>
            <w:shd w:val="clear" w:color="000000" w:fill="FFFFFF"/>
            <w:noWrap/>
            <w:vAlign w:val="center"/>
            <w:hideMark/>
          </w:tcPr>
          <w:p w14:paraId="2E4EC7C9"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Stará Turá</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F532FA1"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14 800</w:t>
            </w:r>
          </w:p>
        </w:tc>
        <w:tc>
          <w:tcPr>
            <w:tcW w:w="1134" w:type="dxa"/>
            <w:tcBorders>
              <w:top w:val="nil"/>
              <w:left w:val="nil"/>
              <w:bottom w:val="single" w:sz="8" w:space="0" w:color="auto"/>
              <w:right w:val="single" w:sz="8" w:space="0" w:color="auto"/>
            </w:tcBorders>
            <w:shd w:val="clear" w:color="auto" w:fill="auto"/>
            <w:noWrap/>
            <w:vAlign w:val="center"/>
            <w:hideMark/>
          </w:tcPr>
          <w:p w14:paraId="55570383"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1988</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062E9222"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63B36EBC"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3F7913A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Bučkova jama</w:t>
            </w:r>
          </w:p>
        </w:tc>
        <w:tc>
          <w:tcPr>
            <w:tcW w:w="2268" w:type="dxa"/>
            <w:tcBorders>
              <w:top w:val="nil"/>
              <w:left w:val="nil"/>
              <w:bottom w:val="single" w:sz="8" w:space="0" w:color="auto"/>
              <w:right w:val="single" w:sz="8" w:space="0" w:color="auto"/>
            </w:tcBorders>
            <w:shd w:val="clear" w:color="000000" w:fill="FFFFFF"/>
            <w:noWrap/>
            <w:vAlign w:val="center"/>
            <w:hideMark/>
          </w:tcPr>
          <w:p w14:paraId="22F4C6F1"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Vrbovce</w:t>
            </w:r>
          </w:p>
        </w:tc>
        <w:tc>
          <w:tcPr>
            <w:tcW w:w="1559" w:type="dxa"/>
            <w:tcBorders>
              <w:top w:val="nil"/>
              <w:left w:val="nil"/>
              <w:bottom w:val="single" w:sz="8" w:space="0" w:color="auto"/>
              <w:right w:val="single" w:sz="8" w:space="0" w:color="auto"/>
            </w:tcBorders>
            <w:shd w:val="clear" w:color="auto" w:fill="auto"/>
            <w:noWrap/>
            <w:vAlign w:val="center"/>
            <w:hideMark/>
          </w:tcPr>
          <w:p w14:paraId="2380BF07"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409 100</w:t>
            </w:r>
          </w:p>
        </w:tc>
        <w:tc>
          <w:tcPr>
            <w:tcW w:w="1134" w:type="dxa"/>
            <w:tcBorders>
              <w:top w:val="nil"/>
              <w:left w:val="nil"/>
              <w:bottom w:val="single" w:sz="8" w:space="0" w:color="auto"/>
              <w:right w:val="single" w:sz="8" w:space="0" w:color="auto"/>
            </w:tcBorders>
            <w:shd w:val="clear" w:color="auto" w:fill="auto"/>
            <w:noWrap/>
            <w:vAlign w:val="center"/>
            <w:hideMark/>
          </w:tcPr>
          <w:p w14:paraId="1D2D4138"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1993</w:t>
            </w:r>
          </w:p>
        </w:tc>
        <w:tc>
          <w:tcPr>
            <w:tcW w:w="1843" w:type="dxa"/>
            <w:tcBorders>
              <w:top w:val="nil"/>
              <w:left w:val="nil"/>
              <w:bottom w:val="single" w:sz="8" w:space="0" w:color="auto"/>
              <w:right w:val="single" w:sz="8" w:space="0" w:color="auto"/>
            </w:tcBorders>
            <w:shd w:val="clear" w:color="auto" w:fill="auto"/>
            <w:noWrap/>
            <w:vAlign w:val="center"/>
            <w:hideMark/>
          </w:tcPr>
          <w:p w14:paraId="6C2BB45E"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058D6381"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75AC1469"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Cetuna</w:t>
            </w:r>
          </w:p>
        </w:tc>
        <w:tc>
          <w:tcPr>
            <w:tcW w:w="2268" w:type="dxa"/>
            <w:tcBorders>
              <w:top w:val="nil"/>
              <w:left w:val="nil"/>
              <w:bottom w:val="single" w:sz="8" w:space="0" w:color="auto"/>
              <w:right w:val="single" w:sz="8" w:space="0" w:color="auto"/>
            </w:tcBorders>
            <w:shd w:val="clear" w:color="000000" w:fill="FFFFFF"/>
            <w:noWrap/>
            <w:vAlign w:val="center"/>
            <w:hideMark/>
          </w:tcPr>
          <w:p w14:paraId="6597F27C"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Bzince pod Javorinou</w:t>
            </w:r>
          </w:p>
        </w:tc>
        <w:tc>
          <w:tcPr>
            <w:tcW w:w="1559" w:type="dxa"/>
            <w:tcBorders>
              <w:top w:val="nil"/>
              <w:left w:val="nil"/>
              <w:bottom w:val="single" w:sz="8" w:space="0" w:color="auto"/>
              <w:right w:val="single" w:sz="8" w:space="0" w:color="auto"/>
            </w:tcBorders>
            <w:shd w:val="clear" w:color="auto" w:fill="auto"/>
            <w:noWrap/>
            <w:vAlign w:val="center"/>
            <w:hideMark/>
          </w:tcPr>
          <w:p w14:paraId="113E6015"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2 869</w:t>
            </w:r>
          </w:p>
        </w:tc>
        <w:tc>
          <w:tcPr>
            <w:tcW w:w="1134" w:type="dxa"/>
            <w:tcBorders>
              <w:top w:val="nil"/>
              <w:left w:val="nil"/>
              <w:bottom w:val="single" w:sz="8" w:space="0" w:color="auto"/>
              <w:right w:val="single" w:sz="8" w:space="0" w:color="auto"/>
            </w:tcBorders>
            <w:shd w:val="clear" w:color="auto" w:fill="auto"/>
            <w:noWrap/>
            <w:vAlign w:val="center"/>
            <w:hideMark/>
          </w:tcPr>
          <w:p w14:paraId="20F8C1B9"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1999</w:t>
            </w:r>
          </w:p>
        </w:tc>
        <w:tc>
          <w:tcPr>
            <w:tcW w:w="1843" w:type="dxa"/>
            <w:tcBorders>
              <w:top w:val="nil"/>
              <w:left w:val="nil"/>
              <w:bottom w:val="single" w:sz="8" w:space="0" w:color="auto"/>
              <w:right w:val="single" w:sz="8" w:space="0" w:color="auto"/>
            </w:tcBorders>
            <w:shd w:val="clear" w:color="auto" w:fill="auto"/>
            <w:noWrap/>
            <w:vAlign w:val="center"/>
            <w:hideMark/>
          </w:tcPr>
          <w:p w14:paraId="022CA39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315F1B7D"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1C2EF873"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Chvojnica</w:t>
            </w:r>
          </w:p>
        </w:tc>
        <w:tc>
          <w:tcPr>
            <w:tcW w:w="2268" w:type="dxa"/>
            <w:tcBorders>
              <w:top w:val="nil"/>
              <w:left w:val="nil"/>
              <w:bottom w:val="single" w:sz="8" w:space="0" w:color="auto"/>
              <w:right w:val="single" w:sz="8" w:space="0" w:color="auto"/>
            </w:tcBorders>
            <w:shd w:val="clear" w:color="000000" w:fill="FFFFFF"/>
            <w:noWrap/>
            <w:vAlign w:val="center"/>
            <w:hideMark/>
          </w:tcPr>
          <w:p w14:paraId="50FE212B"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Chvojnica</w:t>
            </w:r>
          </w:p>
        </w:tc>
        <w:tc>
          <w:tcPr>
            <w:tcW w:w="1559" w:type="dxa"/>
            <w:tcBorders>
              <w:top w:val="nil"/>
              <w:left w:val="nil"/>
              <w:bottom w:val="single" w:sz="8" w:space="0" w:color="auto"/>
              <w:right w:val="single" w:sz="8" w:space="0" w:color="auto"/>
            </w:tcBorders>
            <w:shd w:val="clear" w:color="auto" w:fill="auto"/>
            <w:noWrap/>
            <w:vAlign w:val="center"/>
            <w:hideMark/>
          </w:tcPr>
          <w:p w14:paraId="404B5190"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316 515</w:t>
            </w:r>
          </w:p>
        </w:tc>
        <w:tc>
          <w:tcPr>
            <w:tcW w:w="1134" w:type="dxa"/>
            <w:tcBorders>
              <w:top w:val="nil"/>
              <w:left w:val="nil"/>
              <w:bottom w:val="single" w:sz="8" w:space="0" w:color="auto"/>
              <w:right w:val="single" w:sz="8" w:space="0" w:color="auto"/>
            </w:tcBorders>
            <w:shd w:val="clear" w:color="auto" w:fill="auto"/>
            <w:noWrap/>
            <w:vAlign w:val="center"/>
            <w:hideMark/>
          </w:tcPr>
          <w:p w14:paraId="2484E8DE"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1991</w:t>
            </w:r>
          </w:p>
        </w:tc>
        <w:tc>
          <w:tcPr>
            <w:tcW w:w="1843" w:type="dxa"/>
            <w:tcBorders>
              <w:top w:val="nil"/>
              <w:left w:val="nil"/>
              <w:bottom w:val="single" w:sz="8" w:space="0" w:color="auto"/>
              <w:right w:val="single" w:sz="8" w:space="0" w:color="auto"/>
            </w:tcBorders>
            <w:shd w:val="clear" w:color="auto" w:fill="auto"/>
            <w:noWrap/>
            <w:vAlign w:val="center"/>
            <w:hideMark/>
          </w:tcPr>
          <w:p w14:paraId="19E6412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5278C4F4"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28AE5078"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Kožíkov vrch</w:t>
            </w:r>
          </w:p>
        </w:tc>
        <w:tc>
          <w:tcPr>
            <w:tcW w:w="2268" w:type="dxa"/>
            <w:tcBorders>
              <w:top w:val="nil"/>
              <w:left w:val="nil"/>
              <w:bottom w:val="single" w:sz="8" w:space="0" w:color="auto"/>
              <w:right w:val="single" w:sz="8" w:space="0" w:color="auto"/>
            </w:tcBorders>
            <w:shd w:val="clear" w:color="000000" w:fill="FFFFFF"/>
            <w:noWrap/>
            <w:vAlign w:val="center"/>
            <w:hideMark/>
          </w:tcPr>
          <w:p w14:paraId="4251DF10"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Vrbovce</w:t>
            </w:r>
          </w:p>
        </w:tc>
        <w:tc>
          <w:tcPr>
            <w:tcW w:w="1559" w:type="dxa"/>
            <w:tcBorders>
              <w:top w:val="nil"/>
              <w:left w:val="nil"/>
              <w:bottom w:val="single" w:sz="8" w:space="0" w:color="auto"/>
              <w:right w:val="single" w:sz="8" w:space="0" w:color="auto"/>
            </w:tcBorders>
            <w:shd w:val="clear" w:color="auto" w:fill="auto"/>
            <w:noWrap/>
            <w:vAlign w:val="center"/>
            <w:hideMark/>
          </w:tcPr>
          <w:p w14:paraId="59E74FFD"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28 285</w:t>
            </w:r>
          </w:p>
        </w:tc>
        <w:tc>
          <w:tcPr>
            <w:tcW w:w="1134" w:type="dxa"/>
            <w:tcBorders>
              <w:top w:val="nil"/>
              <w:left w:val="nil"/>
              <w:bottom w:val="single" w:sz="8" w:space="0" w:color="auto"/>
              <w:right w:val="single" w:sz="8" w:space="0" w:color="auto"/>
            </w:tcBorders>
            <w:shd w:val="clear" w:color="auto" w:fill="auto"/>
            <w:noWrap/>
            <w:vAlign w:val="center"/>
            <w:hideMark/>
          </w:tcPr>
          <w:p w14:paraId="19F47B53"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1990</w:t>
            </w:r>
          </w:p>
        </w:tc>
        <w:tc>
          <w:tcPr>
            <w:tcW w:w="1843" w:type="dxa"/>
            <w:tcBorders>
              <w:top w:val="nil"/>
              <w:left w:val="nil"/>
              <w:bottom w:val="single" w:sz="8" w:space="0" w:color="auto"/>
              <w:right w:val="single" w:sz="8" w:space="0" w:color="auto"/>
            </w:tcBorders>
            <w:shd w:val="clear" w:color="auto" w:fill="auto"/>
            <w:noWrap/>
            <w:vAlign w:val="center"/>
            <w:hideMark/>
          </w:tcPr>
          <w:p w14:paraId="532BCD88"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4A249EBB"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7E28A9B7"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Malejov</w:t>
            </w:r>
          </w:p>
        </w:tc>
        <w:tc>
          <w:tcPr>
            <w:tcW w:w="2268" w:type="dxa"/>
            <w:tcBorders>
              <w:top w:val="nil"/>
              <w:left w:val="nil"/>
              <w:bottom w:val="single" w:sz="8" w:space="0" w:color="auto"/>
              <w:right w:val="single" w:sz="8" w:space="0" w:color="auto"/>
            </w:tcBorders>
            <w:shd w:val="clear" w:color="000000" w:fill="FFFFFF"/>
            <w:noWrap/>
            <w:vAlign w:val="center"/>
            <w:hideMark/>
          </w:tcPr>
          <w:p w14:paraId="7903D2F4"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Vrbovce</w:t>
            </w:r>
          </w:p>
        </w:tc>
        <w:tc>
          <w:tcPr>
            <w:tcW w:w="1559" w:type="dxa"/>
            <w:tcBorders>
              <w:top w:val="nil"/>
              <w:left w:val="nil"/>
              <w:bottom w:val="single" w:sz="8" w:space="0" w:color="auto"/>
              <w:right w:val="single" w:sz="8" w:space="0" w:color="auto"/>
            </w:tcBorders>
            <w:shd w:val="clear" w:color="auto" w:fill="auto"/>
            <w:noWrap/>
            <w:vAlign w:val="center"/>
            <w:hideMark/>
          </w:tcPr>
          <w:p w14:paraId="22C0D60D"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8 241</w:t>
            </w:r>
          </w:p>
        </w:tc>
        <w:tc>
          <w:tcPr>
            <w:tcW w:w="1134" w:type="dxa"/>
            <w:tcBorders>
              <w:top w:val="nil"/>
              <w:left w:val="nil"/>
              <w:bottom w:val="single" w:sz="8" w:space="0" w:color="auto"/>
              <w:right w:val="single" w:sz="8" w:space="0" w:color="auto"/>
            </w:tcBorders>
            <w:shd w:val="clear" w:color="auto" w:fill="auto"/>
            <w:noWrap/>
            <w:vAlign w:val="center"/>
            <w:hideMark/>
          </w:tcPr>
          <w:p w14:paraId="5AE06A7E"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1990</w:t>
            </w:r>
          </w:p>
        </w:tc>
        <w:tc>
          <w:tcPr>
            <w:tcW w:w="1843" w:type="dxa"/>
            <w:tcBorders>
              <w:top w:val="nil"/>
              <w:left w:val="nil"/>
              <w:bottom w:val="single" w:sz="8" w:space="0" w:color="auto"/>
              <w:right w:val="single" w:sz="8" w:space="0" w:color="auto"/>
            </w:tcBorders>
            <w:shd w:val="clear" w:color="auto" w:fill="auto"/>
            <w:noWrap/>
            <w:vAlign w:val="center"/>
            <w:hideMark/>
          </w:tcPr>
          <w:p w14:paraId="6E623F55"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33517A80" w14:textId="77777777" w:rsidTr="008117EF">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79EA59B3"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Pavúkov járok</w:t>
            </w:r>
          </w:p>
        </w:tc>
        <w:tc>
          <w:tcPr>
            <w:tcW w:w="2268" w:type="dxa"/>
            <w:tcBorders>
              <w:top w:val="nil"/>
              <w:left w:val="nil"/>
              <w:bottom w:val="single" w:sz="8" w:space="0" w:color="auto"/>
              <w:right w:val="single" w:sz="8" w:space="0" w:color="auto"/>
            </w:tcBorders>
            <w:shd w:val="clear" w:color="000000" w:fill="FFFFFF"/>
            <w:noWrap/>
            <w:vAlign w:val="center"/>
            <w:hideMark/>
          </w:tcPr>
          <w:p w14:paraId="2E802C34"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Stará Turá</w:t>
            </w:r>
          </w:p>
        </w:tc>
        <w:tc>
          <w:tcPr>
            <w:tcW w:w="1559" w:type="dxa"/>
            <w:tcBorders>
              <w:top w:val="nil"/>
              <w:left w:val="nil"/>
              <w:bottom w:val="single" w:sz="8" w:space="0" w:color="auto"/>
              <w:right w:val="single" w:sz="8" w:space="0" w:color="auto"/>
            </w:tcBorders>
            <w:shd w:val="clear" w:color="auto" w:fill="auto"/>
            <w:noWrap/>
            <w:vAlign w:val="center"/>
            <w:hideMark/>
          </w:tcPr>
          <w:p w14:paraId="062C8A41"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9 930</w:t>
            </w:r>
          </w:p>
        </w:tc>
        <w:tc>
          <w:tcPr>
            <w:tcW w:w="1134" w:type="dxa"/>
            <w:tcBorders>
              <w:top w:val="nil"/>
              <w:left w:val="nil"/>
              <w:bottom w:val="single" w:sz="8" w:space="0" w:color="auto"/>
              <w:right w:val="single" w:sz="8" w:space="0" w:color="auto"/>
            </w:tcBorders>
            <w:shd w:val="clear" w:color="auto" w:fill="auto"/>
            <w:noWrap/>
            <w:vAlign w:val="center"/>
            <w:hideMark/>
          </w:tcPr>
          <w:p w14:paraId="75C09E66"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1984</w:t>
            </w:r>
          </w:p>
        </w:tc>
        <w:tc>
          <w:tcPr>
            <w:tcW w:w="1843" w:type="dxa"/>
            <w:tcBorders>
              <w:top w:val="nil"/>
              <w:left w:val="nil"/>
              <w:bottom w:val="single" w:sz="8" w:space="0" w:color="auto"/>
              <w:right w:val="single" w:sz="8" w:space="0" w:color="auto"/>
            </w:tcBorders>
            <w:shd w:val="clear" w:color="auto" w:fill="auto"/>
            <w:noWrap/>
            <w:vAlign w:val="center"/>
            <w:hideMark/>
          </w:tcPr>
          <w:p w14:paraId="7989B77F"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06883C6D" w14:textId="77777777" w:rsidTr="008117EF">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57D5419D"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Rieka Myjava</w:t>
            </w:r>
          </w:p>
        </w:tc>
        <w:tc>
          <w:tcPr>
            <w:tcW w:w="2268" w:type="dxa"/>
            <w:tcBorders>
              <w:top w:val="nil"/>
              <w:left w:val="nil"/>
              <w:bottom w:val="single" w:sz="8" w:space="0" w:color="auto"/>
              <w:right w:val="single" w:sz="8" w:space="0" w:color="auto"/>
            </w:tcBorders>
            <w:shd w:val="clear" w:color="000000" w:fill="FFFFFF"/>
            <w:noWrap/>
            <w:vAlign w:val="center"/>
            <w:hideMark/>
          </w:tcPr>
          <w:p w14:paraId="2B42F7F5"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Stará Myjava, Brestovec, Myjava</w:t>
            </w:r>
          </w:p>
        </w:tc>
        <w:tc>
          <w:tcPr>
            <w:tcW w:w="1559" w:type="dxa"/>
            <w:tcBorders>
              <w:top w:val="single" w:sz="8" w:space="0" w:color="auto"/>
              <w:left w:val="nil"/>
              <w:bottom w:val="single" w:sz="8" w:space="0" w:color="auto"/>
              <w:right w:val="nil"/>
            </w:tcBorders>
            <w:shd w:val="clear" w:color="auto" w:fill="auto"/>
            <w:noWrap/>
            <w:vAlign w:val="center"/>
            <w:hideMark/>
          </w:tcPr>
          <w:p w14:paraId="432F3644"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349 384</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5419464"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1997</w:t>
            </w:r>
          </w:p>
        </w:tc>
        <w:tc>
          <w:tcPr>
            <w:tcW w:w="1843" w:type="dxa"/>
            <w:tcBorders>
              <w:top w:val="nil"/>
              <w:left w:val="nil"/>
              <w:bottom w:val="single" w:sz="8" w:space="0" w:color="auto"/>
              <w:right w:val="single" w:sz="8" w:space="0" w:color="auto"/>
            </w:tcBorders>
            <w:shd w:val="clear" w:color="auto" w:fill="auto"/>
            <w:noWrap/>
            <w:vAlign w:val="center"/>
            <w:hideMark/>
          </w:tcPr>
          <w:p w14:paraId="3FE670F5"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w:t>
            </w:r>
          </w:p>
        </w:tc>
      </w:tr>
      <w:tr w:rsidR="008D0D63" w:rsidRPr="00157E40" w14:paraId="76409439" w14:textId="77777777" w:rsidTr="008117EF">
        <w:trPr>
          <w:trHeight w:val="330"/>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82D7C6"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Rieka Podbranč</w:t>
            </w:r>
          </w:p>
        </w:tc>
        <w:tc>
          <w:tcPr>
            <w:tcW w:w="2268" w:type="dxa"/>
            <w:tcBorders>
              <w:top w:val="single" w:sz="8" w:space="0" w:color="auto"/>
              <w:left w:val="nil"/>
              <w:bottom w:val="single" w:sz="8" w:space="0" w:color="auto"/>
              <w:right w:val="single" w:sz="8" w:space="0" w:color="auto"/>
            </w:tcBorders>
            <w:shd w:val="clear" w:color="000000" w:fill="FFFFFF"/>
            <w:noWrap/>
            <w:vAlign w:val="center"/>
            <w:hideMark/>
          </w:tcPr>
          <w:p w14:paraId="3D9C86EB"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Podbranč</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38F0C3DB"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7968446"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1996</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345D317F"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r>
      <w:tr w:rsidR="008D0D63" w:rsidRPr="00157E40" w14:paraId="48E21EE3"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26834CAA"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Šašnatá</w:t>
            </w:r>
          </w:p>
        </w:tc>
        <w:tc>
          <w:tcPr>
            <w:tcW w:w="2268" w:type="dxa"/>
            <w:tcBorders>
              <w:top w:val="nil"/>
              <w:left w:val="nil"/>
              <w:bottom w:val="single" w:sz="8" w:space="0" w:color="auto"/>
              <w:right w:val="single" w:sz="8" w:space="0" w:color="auto"/>
            </w:tcBorders>
            <w:shd w:val="clear" w:color="000000" w:fill="FFFFFF"/>
            <w:noWrap/>
            <w:vAlign w:val="center"/>
            <w:hideMark/>
          </w:tcPr>
          <w:p w14:paraId="1620D646"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Stará Turá</w:t>
            </w:r>
          </w:p>
        </w:tc>
        <w:tc>
          <w:tcPr>
            <w:tcW w:w="1559" w:type="dxa"/>
            <w:tcBorders>
              <w:top w:val="nil"/>
              <w:left w:val="nil"/>
              <w:bottom w:val="single" w:sz="8" w:space="0" w:color="auto"/>
              <w:right w:val="single" w:sz="8" w:space="0" w:color="auto"/>
            </w:tcBorders>
            <w:shd w:val="clear" w:color="auto" w:fill="auto"/>
            <w:noWrap/>
            <w:vAlign w:val="center"/>
            <w:hideMark/>
          </w:tcPr>
          <w:p w14:paraId="04C8FDF8"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1 971</w:t>
            </w:r>
          </w:p>
        </w:tc>
        <w:tc>
          <w:tcPr>
            <w:tcW w:w="1134" w:type="dxa"/>
            <w:tcBorders>
              <w:top w:val="nil"/>
              <w:left w:val="nil"/>
              <w:bottom w:val="single" w:sz="8" w:space="0" w:color="auto"/>
              <w:right w:val="single" w:sz="8" w:space="0" w:color="auto"/>
            </w:tcBorders>
            <w:shd w:val="clear" w:color="auto" w:fill="auto"/>
            <w:noWrap/>
            <w:vAlign w:val="center"/>
            <w:hideMark/>
          </w:tcPr>
          <w:p w14:paraId="2DC3D1F6"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1984</w:t>
            </w:r>
          </w:p>
        </w:tc>
        <w:tc>
          <w:tcPr>
            <w:tcW w:w="1843" w:type="dxa"/>
            <w:tcBorders>
              <w:top w:val="nil"/>
              <w:left w:val="nil"/>
              <w:bottom w:val="single" w:sz="8" w:space="0" w:color="auto"/>
              <w:right w:val="single" w:sz="8" w:space="0" w:color="auto"/>
            </w:tcBorders>
            <w:shd w:val="clear" w:color="auto" w:fill="auto"/>
            <w:noWrap/>
            <w:vAlign w:val="center"/>
            <w:hideMark/>
          </w:tcPr>
          <w:p w14:paraId="4C5A8D0E"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702D1B4B"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25C7CB46"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Šifflovci</w:t>
            </w:r>
          </w:p>
        </w:tc>
        <w:tc>
          <w:tcPr>
            <w:tcW w:w="2268" w:type="dxa"/>
            <w:tcBorders>
              <w:top w:val="nil"/>
              <w:left w:val="nil"/>
              <w:bottom w:val="single" w:sz="8" w:space="0" w:color="auto"/>
              <w:right w:val="single" w:sz="8" w:space="0" w:color="auto"/>
            </w:tcBorders>
            <w:shd w:val="clear" w:color="000000" w:fill="FFFFFF"/>
            <w:noWrap/>
            <w:vAlign w:val="center"/>
            <w:hideMark/>
          </w:tcPr>
          <w:p w14:paraId="7CCE09FA"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Chvojnica</w:t>
            </w:r>
          </w:p>
        </w:tc>
        <w:tc>
          <w:tcPr>
            <w:tcW w:w="1559" w:type="dxa"/>
            <w:tcBorders>
              <w:top w:val="nil"/>
              <w:left w:val="nil"/>
              <w:bottom w:val="single" w:sz="8" w:space="0" w:color="auto"/>
              <w:right w:val="single" w:sz="8" w:space="0" w:color="auto"/>
            </w:tcBorders>
            <w:shd w:val="clear" w:color="auto" w:fill="auto"/>
            <w:noWrap/>
            <w:vAlign w:val="center"/>
            <w:hideMark/>
          </w:tcPr>
          <w:p w14:paraId="0761BBF4"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18 544</w:t>
            </w:r>
          </w:p>
        </w:tc>
        <w:tc>
          <w:tcPr>
            <w:tcW w:w="1134" w:type="dxa"/>
            <w:tcBorders>
              <w:top w:val="nil"/>
              <w:left w:val="nil"/>
              <w:bottom w:val="single" w:sz="8" w:space="0" w:color="auto"/>
              <w:right w:val="single" w:sz="8" w:space="0" w:color="auto"/>
            </w:tcBorders>
            <w:shd w:val="clear" w:color="auto" w:fill="auto"/>
            <w:noWrap/>
            <w:vAlign w:val="center"/>
            <w:hideMark/>
          </w:tcPr>
          <w:p w14:paraId="4B742421"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1994</w:t>
            </w:r>
          </w:p>
        </w:tc>
        <w:tc>
          <w:tcPr>
            <w:tcW w:w="1843" w:type="dxa"/>
            <w:tcBorders>
              <w:top w:val="nil"/>
              <w:left w:val="nil"/>
              <w:bottom w:val="single" w:sz="8" w:space="0" w:color="auto"/>
              <w:right w:val="single" w:sz="8" w:space="0" w:color="auto"/>
            </w:tcBorders>
            <w:shd w:val="clear" w:color="auto" w:fill="auto"/>
            <w:noWrap/>
            <w:vAlign w:val="center"/>
            <w:hideMark/>
          </w:tcPr>
          <w:p w14:paraId="419AF170"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4C1AB2BA"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0D7D02A3"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lastRenderedPageBreak/>
              <w:t>Štefanová</w:t>
            </w:r>
          </w:p>
        </w:tc>
        <w:tc>
          <w:tcPr>
            <w:tcW w:w="2268" w:type="dxa"/>
            <w:tcBorders>
              <w:top w:val="nil"/>
              <w:left w:val="nil"/>
              <w:bottom w:val="single" w:sz="8" w:space="0" w:color="auto"/>
              <w:right w:val="single" w:sz="8" w:space="0" w:color="auto"/>
            </w:tcBorders>
            <w:shd w:val="clear" w:color="000000" w:fill="FFFFFF"/>
            <w:noWrap/>
            <w:vAlign w:val="center"/>
            <w:hideMark/>
          </w:tcPr>
          <w:p w14:paraId="0FDADA65"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Chvojnica</w:t>
            </w:r>
          </w:p>
        </w:tc>
        <w:tc>
          <w:tcPr>
            <w:tcW w:w="1559" w:type="dxa"/>
            <w:tcBorders>
              <w:top w:val="nil"/>
              <w:left w:val="nil"/>
              <w:bottom w:val="single" w:sz="8" w:space="0" w:color="auto"/>
              <w:right w:val="single" w:sz="8" w:space="0" w:color="auto"/>
            </w:tcBorders>
            <w:shd w:val="clear" w:color="auto" w:fill="auto"/>
            <w:noWrap/>
            <w:vAlign w:val="center"/>
            <w:hideMark/>
          </w:tcPr>
          <w:p w14:paraId="59F90A7D"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54 759</w:t>
            </w:r>
          </w:p>
        </w:tc>
        <w:tc>
          <w:tcPr>
            <w:tcW w:w="1134" w:type="dxa"/>
            <w:tcBorders>
              <w:top w:val="nil"/>
              <w:left w:val="nil"/>
              <w:bottom w:val="single" w:sz="8" w:space="0" w:color="auto"/>
              <w:right w:val="single" w:sz="8" w:space="0" w:color="auto"/>
            </w:tcBorders>
            <w:shd w:val="clear" w:color="auto" w:fill="auto"/>
            <w:noWrap/>
            <w:vAlign w:val="center"/>
            <w:hideMark/>
          </w:tcPr>
          <w:p w14:paraId="42144749"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1990</w:t>
            </w:r>
          </w:p>
        </w:tc>
        <w:tc>
          <w:tcPr>
            <w:tcW w:w="1843" w:type="dxa"/>
            <w:tcBorders>
              <w:top w:val="nil"/>
              <w:left w:val="nil"/>
              <w:bottom w:val="single" w:sz="8" w:space="0" w:color="auto"/>
              <w:right w:val="single" w:sz="8" w:space="0" w:color="auto"/>
            </w:tcBorders>
            <w:shd w:val="clear" w:color="auto" w:fill="auto"/>
            <w:noWrap/>
            <w:vAlign w:val="center"/>
            <w:hideMark/>
          </w:tcPr>
          <w:p w14:paraId="1EFF8840"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5E479C68"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37475B3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Žalostinná</w:t>
            </w:r>
          </w:p>
        </w:tc>
        <w:tc>
          <w:tcPr>
            <w:tcW w:w="2268" w:type="dxa"/>
            <w:tcBorders>
              <w:top w:val="nil"/>
              <w:left w:val="nil"/>
              <w:bottom w:val="single" w:sz="8" w:space="0" w:color="auto"/>
              <w:right w:val="single" w:sz="8" w:space="0" w:color="auto"/>
            </w:tcBorders>
            <w:shd w:val="clear" w:color="000000" w:fill="FFFFFF"/>
            <w:noWrap/>
            <w:vAlign w:val="center"/>
            <w:hideMark/>
          </w:tcPr>
          <w:p w14:paraId="478432EA"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Vrbovce</w:t>
            </w:r>
          </w:p>
        </w:tc>
        <w:tc>
          <w:tcPr>
            <w:tcW w:w="1559" w:type="dxa"/>
            <w:tcBorders>
              <w:top w:val="nil"/>
              <w:left w:val="nil"/>
              <w:bottom w:val="single" w:sz="8" w:space="0" w:color="auto"/>
              <w:right w:val="single" w:sz="8" w:space="0" w:color="auto"/>
            </w:tcBorders>
            <w:shd w:val="clear" w:color="auto" w:fill="auto"/>
            <w:noWrap/>
            <w:vAlign w:val="center"/>
            <w:hideMark/>
          </w:tcPr>
          <w:p w14:paraId="35A2093C"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21 199</w:t>
            </w:r>
          </w:p>
        </w:tc>
        <w:tc>
          <w:tcPr>
            <w:tcW w:w="1134" w:type="dxa"/>
            <w:tcBorders>
              <w:top w:val="nil"/>
              <w:left w:val="nil"/>
              <w:bottom w:val="single" w:sz="8" w:space="0" w:color="auto"/>
              <w:right w:val="single" w:sz="8" w:space="0" w:color="auto"/>
            </w:tcBorders>
            <w:shd w:val="clear" w:color="auto" w:fill="auto"/>
            <w:noWrap/>
            <w:vAlign w:val="center"/>
            <w:hideMark/>
          </w:tcPr>
          <w:p w14:paraId="24490E8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1994</w:t>
            </w:r>
          </w:p>
        </w:tc>
        <w:tc>
          <w:tcPr>
            <w:tcW w:w="1843" w:type="dxa"/>
            <w:tcBorders>
              <w:top w:val="nil"/>
              <w:left w:val="nil"/>
              <w:bottom w:val="single" w:sz="8" w:space="0" w:color="auto"/>
              <w:right w:val="single" w:sz="8" w:space="0" w:color="auto"/>
            </w:tcBorders>
            <w:shd w:val="clear" w:color="auto" w:fill="auto"/>
            <w:noWrap/>
            <w:vAlign w:val="center"/>
            <w:hideMark/>
          </w:tcPr>
          <w:p w14:paraId="21C00334"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r w:rsidR="008D0D63" w:rsidRPr="00157E40" w14:paraId="2F344730" w14:textId="77777777" w:rsidTr="008D0D63">
        <w:trPr>
          <w:trHeight w:val="330"/>
        </w:trPr>
        <w:tc>
          <w:tcPr>
            <w:tcW w:w="2142" w:type="dxa"/>
            <w:tcBorders>
              <w:top w:val="nil"/>
              <w:left w:val="single" w:sz="8" w:space="0" w:color="auto"/>
              <w:bottom w:val="nil"/>
              <w:right w:val="single" w:sz="8" w:space="0" w:color="auto"/>
            </w:tcBorders>
            <w:shd w:val="clear" w:color="000000" w:fill="D9D9D9"/>
            <w:noWrap/>
            <w:vAlign w:val="center"/>
            <w:hideMark/>
          </w:tcPr>
          <w:p w14:paraId="7C483CA9"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Malá Pec</w:t>
            </w:r>
          </w:p>
        </w:tc>
        <w:tc>
          <w:tcPr>
            <w:tcW w:w="2268" w:type="dxa"/>
            <w:tcBorders>
              <w:top w:val="nil"/>
              <w:left w:val="nil"/>
              <w:bottom w:val="single" w:sz="8" w:space="0" w:color="auto"/>
              <w:right w:val="single" w:sz="8" w:space="0" w:color="auto"/>
            </w:tcBorders>
            <w:shd w:val="clear" w:color="000000" w:fill="FFFFFF"/>
            <w:noWrap/>
            <w:vAlign w:val="center"/>
            <w:hideMark/>
          </w:tcPr>
          <w:p w14:paraId="7A4C1B66"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Prašník</w:t>
            </w:r>
          </w:p>
        </w:tc>
        <w:tc>
          <w:tcPr>
            <w:tcW w:w="1559" w:type="dxa"/>
            <w:tcBorders>
              <w:top w:val="nil"/>
              <w:left w:val="nil"/>
              <w:bottom w:val="single" w:sz="8" w:space="0" w:color="auto"/>
              <w:right w:val="single" w:sz="8" w:space="0" w:color="auto"/>
            </w:tcBorders>
            <w:shd w:val="clear" w:color="auto" w:fill="auto"/>
            <w:noWrap/>
            <w:vAlign w:val="center"/>
            <w:hideMark/>
          </w:tcPr>
          <w:p w14:paraId="54C40992" w14:textId="77777777" w:rsidR="008D0D63" w:rsidRPr="00157E40" w:rsidRDefault="009D74A8"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11 193</w:t>
            </w:r>
            <w:r w:rsidR="008D0D63" w:rsidRPr="00157E40">
              <w:rPr>
                <w:rFonts w:ascii="Times New Roman" w:eastAsia="Times New Roman" w:hAnsi="Times New Roman" w:cs="Times New Roman"/>
                <w:color w:val="000000"/>
                <w:sz w:val="20"/>
                <w:szCs w:val="20"/>
                <w:lang w:eastAsia="sk-SK"/>
              </w:rPr>
              <w:t> </w:t>
            </w:r>
          </w:p>
        </w:tc>
        <w:tc>
          <w:tcPr>
            <w:tcW w:w="1134" w:type="dxa"/>
            <w:tcBorders>
              <w:top w:val="nil"/>
              <w:left w:val="nil"/>
              <w:bottom w:val="single" w:sz="8" w:space="0" w:color="auto"/>
              <w:right w:val="single" w:sz="8" w:space="0" w:color="auto"/>
            </w:tcBorders>
            <w:shd w:val="clear" w:color="auto" w:fill="auto"/>
            <w:noWrap/>
            <w:vAlign w:val="center"/>
            <w:hideMark/>
          </w:tcPr>
          <w:p w14:paraId="7FB00711"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1996</w:t>
            </w:r>
          </w:p>
        </w:tc>
        <w:tc>
          <w:tcPr>
            <w:tcW w:w="1843" w:type="dxa"/>
            <w:tcBorders>
              <w:top w:val="nil"/>
              <w:left w:val="nil"/>
              <w:bottom w:val="single" w:sz="8" w:space="0" w:color="auto"/>
              <w:right w:val="single" w:sz="8" w:space="0" w:color="auto"/>
            </w:tcBorders>
            <w:shd w:val="clear" w:color="auto" w:fill="auto"/>
            <w:noWrap/>
            <w:vAlign w:val="center"/>
            <w:hideMark/>
          </w:tcPr>
          <w:p w14:paraId="1F0C1FFF"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w:t>
            </w:r>
          </w:p>
        </w:tc>
      </w:tr>
      <w:tr w:rsidR="008D0D63" w:rsidRPr="00157E40" w14:paraId="08D935D5" w14:textId="77777777" w:rsidTr="008D0D63">
        <w:trPr>
          <w:trHeight w:val="330"/>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39BD635"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Jaskyňa Veľká pec</w:t>
            </w:r>
          </w:p>
        </w:tc>
        <w:tc>
          <w:tcPr>
            <w:tcW w:w="2268" w:type="dxa"/>
            <w:tcBorders>
              <w:top w:val="nil"/>
              <w:left w:val="nil"/>
              <w:bottom w:val="single" w:sz="8" w:space="0" w:color="auto"/>
              <w:right w:val="single" w:sz="8" w:space="0" w:color="auto"/>
            </w:tcBorders>
            <w:shd w:val="clear" w:color="000000" w:fill="FFFFFF"/>
            <w:noWrap/>
            <w:vAlign w:val="center"/>
            <w:hideMark/>
          </w:tcPr>
          <w:p w14:paraId="0C755399" w14:textId="77777777" w:rsidR="008D0D63" w:rsidRPr="00157E40" w:rsidRDefault="008D0D63" w:rsidP="00C666E9">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Prašník</w:t>
            </w:r>
          </w:p>
        </w:tc>
        <w:tc>
          <w:tcPr>
            <w:tcW w:w="1559" w:type="dxa"/>
            <w:tcBorders>
              <w:top w:val="nil"/>
              <w:left w:val="nil"/>
              <w:bottom w:val="single" w:sz="8" w:space="0" w:color="auto"/>
              <w:right w:val="single" w:sz="8" w:space="0" w:color="auto"/>
            </w:tcBorders>
            <w:shd w:val="clear" w:color="auto" w:fill="auto"/>
            <w:noWrap/>
            <w:vAlign w:val="center"/>
            <w:hideMark/>
          </w:tcPr>
          <w:p w14:paraId="0C14CBBC" w14:textId="77777777" w:rsidR="008D0D63" w:rsidRPr="00157E40" w:rsidRDefault="009D74A8"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17 198</w:t>
            </w:r>
            <w:r w:rsidR="008D0D63" w:rsidRPr="00157E40">
              <w:rPr>
                <w:rFonts w:ascii="Times New Roman" w:eastAsia="Times New Roman" w:hAnsi="Times New Roman" w:cs="Times New Roman"/>
                <w:color w:val="000000"/>
                <w:sz w:val="20"/>
                <w:szCs w:val="20"/>
                <w:lang w:eastAsia="sk-SK"/>
              </w:rPr>
              <w:t> </w:t>
            </w:r>
          </w:p>
        </w:tc>
        <w:tc>
          <w:tcPr>
            <w:tcW w:w="1134" w:type="dxa"/>
            <w:tcBorders>
              <w:top w:val="nil"/>
              <w:left w:val="nil"/>
              <w:bottom w:val="single" w:sz="8" w:space="0" w:color="auto"/>
              <w:right w:val="single" w:sz="8" w:space="0" w:color="auto"/>
            </w:tcBorders>
            <w:shd w:val="clear" w:color="auto" w:fill="auto"/>
            <w:noWrap/>
            <w:vAlign w:val="center"/>
            <w:hideMark/>
          </w:tcPr>
          <w:p w14:paraId="14D892C9"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1979</w:t>
            </w:r>
          </w:p>
        </w:tc>
        <w:tc>
          <w:tcPr>
            <w:tcW w:w="1843" w:type="dxa"/>
            <w:tcBorders>
              <w:top w:val="nil"/>
              <w:left w:val="nil"/>
              <w:bottom w:val="single" w:sz="8" w:space="0" w:color="auto"/>
              <w:right w:val="single" w:sz="8" w:space="0" w:color="auto"/>
            </w:tcBorders>
            <w:shd w:val="clear" w:color="auto" w:fill="auto"/>
            <w:noWrap/>
            <w:vAlign w:val="center"/>
            <w:hideMark/>
          </w:tcPr>
          <w:p w14:paraId="5383F84B"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w:t>
            </w:r>
          </w:p>
        </w:tc>
      </w:tr>
      <w:tr w:rsidR="008D0D63" w:rsidRPr="00157E40" w14:paraId="1F90E314"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0FF2E507" w14:textId="77777777" w:rsidR="008D0D63" w:rsidRPr="00157E40" w:rsidRDefault="008D0D63" w:rsidP="008D0D63">
            <w:pPr>
              <w:spacing w:after="0" w:line="240" w:lineRule="auto"/>
              <w:rPr>
                <w:rFonts w:ascii="Times New Roman" w:eastAsia="Times New Roman" w:hAnsi="Times New Roman" w:cs="Times New Roman"/>
                <w:b/>
                <w:bCs/>
                <w:i/>
                <w:iCs/>
                <w:color w:val="000000"/>
                <w:sz w:val="20"/>
                <w:szCs w:val="20"/>
                <w:lang w:eastAsia="sk-SK"/>
              </w:rPr>
            </w:pPr>
            <w:r w:rsidRPr="00157E40">
              <w:rPr>
                <w:rFonts w:ascii="Times New Roman" w:eastAsia="Times New Roman" w:hAnsi="Times New Roman" w:cs="Times New Roman"/>
                <w:b/>
                <w:bCs/>
                <w:i/>
                <w:iCs/>
                <w:color w:val="000000"/>
                <w:sz w:val="20"/>
                <w:szCs w:val="20"/>
                <w:lang w:eastAsia="sk-SK"/>
              </w:rPr>
              <w:t>Prírodné rezervácie</w:t>
            </w:r>
          </w:p>
        </w:tc>
        <w:tc>
          <w:tcPr>
            <w:tcW w:w="2268" w:type="dxa"/>
            <w:tcBorders>
              <w:top w:val="nil"/>
              <w:left w:val="nil"/>
              <w:bottom w:val="single" w:sz="8" w:space="0" w:color="auto"/>
              <w:right w:val="single" w:sz="8" w:space="0" w:color="auto"/>
            </w:tcBorders>
            <w:shd w:val="clear" w:color="000000" w:fill="FFFFFF"/>
            <w:noWrap/>
            <w:vAlign w:val="center"/>
            <w:hideMark/>
          </w:tcPr>
          <w:p w14:paraId="7448FD4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559" w:type="dxa"/>
            <w:tcBorders>
              <w:top w:val="nil"/>
              <w:left w:val="nil"/>
              <w:bottom w:val="single" w:sz="8" w:space="0" w:color="auto"/>
              <w:right w:val="nil"/>
            </w:tcBorders>
            <w:shd w:val="clear" w:color="auto" w:fill="auto"/>
            <w:noWrap/>
            <w:vAlign w:val="center"/>
            <w:hideMark/>
          </w:tcPr>
          <w:p w14:paraId="2F2A8948"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DE15106"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c>
          <w:tcPr>
            <w:tcW w:w="1843" w:type="dxa"/>
            <w:tcBorders>
              <w:top w:val="nil"/>
              <w:left w:val="nil"/>
              <w:bottom w:val="single" w:sz="8" w:space="0" w:color="auto"/>
              <w:right w:val="single" w:sz="8" w:space="0" w:color="auto"/>
            </w:tcBorders>
            <w:shd w:val="clear" w:color="auto" w:fill="auto"/>
            <w:noWrap/>
            <w:vAlign w:val="center"/>
            <w:hideMark/>
          </w:tcPr>
          <w:p w14:paraId="17EDF9B2"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w:t>
            </w:r>
          </w:p>
        </w:tc>
      </w:tr>
      <w:tr w:rsidR="008D0D63" w:rsidRPr="00157E40" w14:paraId="46ECB57D" w14:textId="77777777" w:rsidTr="00B91A9B">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14643FB3"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Ševcova skala</w:t>
            </w:r>
          </w:p>
        </w:tc>
        <w:tc>
          <w:tcPr>
            <w:tcW w:w="2268" w:type="dxa"/>
            <w:tcBorders>
              <w:top w:val="nil"/>
              <w:left w:val="nil"/>
              <w:bottom w:val="single" w:sz="8" w:space="0" w:color="auto"/>
              <w:right w:val="single" w:sz="8" w:space="0" w:color="auto"/>
            </w:tcBorders>
            <w:shd w:val="clear" w:color="000000" w:fill="FFFFFF"/>
            <w:noWrap/>
            <w:vAlign w:val="center"/>
            <w:hideMark/>
          </w:tcPr>
          <w:p w14:paraId="64EC69CD"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Brezová pod Bradlom</w:t>
            </w:r>
          </w:p>
        </w:tc>
        <w:tc>
          <w:tcPr>
            <w:tcW w:w="1559" w:type="dxa"/>
            <w:tcBorders>
              <w:top w:val="nil"/>
              <w:left w:val="nil"/>
              <w:bottom w:val="single" w:sz="8" w:space="0" w:color="auto"/>
              <w:right w:val="single" w:sz="8" w:space="0" w:color="auto"/>
            </w:tcBorders>
            <w:shd w:val="clear" w:color="auto" w:fill="auto"/>
            <w:noWrap/>
            <w:vAlign w:val="center"/>
            <w:hideMark/>
          </w:tcPr>
          <w:p w14:paraId="5CA3CB04"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163 400</w:t>
            </w:r>
          </w:p>
        </w:tc>
        <w:tc>
          <w:tcPr>
            <w:tcW w:w="1134" w:type="dxa"/>
            <w:tcBorders>
              <w:top w:val="nil"/>
              <w:left w:val="nil"/>
              <w:bottom w:val="single" w:sz="8" w:space="0" w:color="auto"/>
              <w:right w:val="single" w:sz="8" w:space="0" w:color="auto"/>
            </w:tcBorders>
            <w:shd w:val="clear" w:color="auto" w:fill="auto"/>
            <w:noWrap/>
            <w:vAlign w:val="center"/>
            <w:hideMark/>
          </w:tcPr>
          <w:p w14:paraId="12B047BA"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2000</w:t>
            </w:r>
          </w:p>
        </w:tc>
        <w:tc>
          <w:tcPr>
            <w:tcW w:w="1843" w:type="dxa"/>
            <w:tcBorders>
              <w:top w:val="nil"/>
              <w:left w:val="nil"/>
              <w:bottom w:val="single" w:sz="8" w:space="0" w:color="auto"/>
              <w:right w:val="single" w:sz="8" w:space="0" w:color="auto"/>
            </w:tcBorders>
            <w:shd w:val="clear" w:color="auto" w:fill="auto"/>
            <w:noWrap/>
            <w:vAlign w:val="center"/>
            <w:hideMark/>
          </w:tcPr>
          <w:p w14:paraId="0FBC53EF"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 a 4.</w:t>
            </w:r>
          </w:p>
        </w:tc>
      </w:tr>
      <w:tr w:rsidR="008D0D63" w:rsidRPr="00157E40" w14:paraId="60966434" w14:textId="77777777" w:rsidTr="00770A98">
        <w:trPr>
          <w:trHeight w:val="330"/>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1FB690F"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Čerenec</w:t>
            </w:r>
          </w:p>
        </w:tc>
        <w:tc>
          <w:tcPr>
            <w:tcW w:w="2268" w:type="dxa"/>
            <w:tcBorders>
              <w:top w:val="single" w:sz="8" w:space="0" w:color="auto"/>
              <w:left w:val="nil"/>
              <w:bottom w:val="single" w:sz="8" w:space="0" w:color="auto"/>
              <w:right w:val="single" w:sz="8" w:space="0" w:color="auto"/>
            </w:tcBorders>
            <w:shd w:val="clear" w:color="000000" w:fill="FFFFFF"/>
            <w:noWrap/>
            <w:vAlign w:val="center"/>
            <w:hideMark/>
          </w:tcPr>
          <w:p w14:paraId="24FA2677"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Prašník</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BA257AF" w14:textId="77777777" w:rsidR="008D0D63" w:rsidRPr="00157E40" w:rsidRDefault="00873C27"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sz w:val="20"/>
                <w:szCs w:val="20"/>
                <w:lang w:eastAsia="cs-CZ"/>
              </w:rPr>
              <w:t>15 000</w:t>
            </w:r>
            <w:r w:rsidR="008D0D63" w:rsidRPr="00157E40">
              <w:rPr>
                <w:rFonts w:ascii="Times New Roman" w:eastAsia="Times New Roman" w:hAnsi="Times New Roman" w:cs="Times New Roman"/>
                <w:color w:val="000000"/>
                <w:sz w:val="20"/>
                <w:szCs w:val="20"/>
                <w:lang w:eastAsia="sk-SK"/>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E0AA4C0"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1984</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95F1AD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w:t>
            </w:r>
          </w:p>
        </w:tc>
      </w:tr>
      <w:tr w:rsidR="008D0D63" w:rsidRPr="00157E40" w14:paraId="663C830F" w14:textId="77777777" w:rsidTr="00770A98">
        <w:trPr>
          <w:trHeight w:val="330"/>
        </w:trPr>
        <w:tc>
          <w:tcPr>
            <w:tcW w:w="21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48F0984"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Veľká Javorina</w:t>
            </w:r>
          </w:p>
        </w:tc>
        <w:tc>
          <w:tcPr>
            <w:tcW w:w="2268" w:type="dxa"/>
            <w:tcBorders>
              <w:top w:val="single" w:sz="8" w:space="0" w:color="auto"/>
              <w:left w:val="nil"/>
              <w:bottom w:val="single" w:sz="8" w:space="0" w:color="auto"/>
              <w:right w:val="single" w:sz="8" w:space="0" w:color="auto"/>
            </w:tcBorders>
            <w:shd w:val="clear" w:color="000000" w:fill="FFFFFF"/>
            <w:noWrap/>
            <w:vAlign w:val="center"/>
            <w:hideMark/>
          </w:tcPr>
          <w:p w14:paraId="7E6CD2A2"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Lubina, Bzince pod Javorinou</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FD98E35"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829 800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8315CBF"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1988</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8BFEEE5"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w:t>
            </w:r>
          </w:p>
        </w:tc>
      </w:tr>
      <w:tr w:rsidR="008D0D63" w:rsidRPr="00157E40" w14:paraId="2351043F" w14:textId="77777777" w:rsidTr="008D0D63">
        <w:trPr>
          <w:trHeight w:val="330"/>
        </w:trPr>
        <w:tc>
          <w:tcPr>
            <w:tcW w:w="2142" w:type="dxa"/>
            <w:tcBorders>
              <w:top w:val="nil"/>
              <w:left w:val="single" w:sz="8" w:space="0" w:color="auto"/>
              <w:bottom w:val="single" w:sz="8" w:space="0" w:color="auto"/>
              <w:right w:val="single" w:sz="8" w:space="0" w:color="auto"/>
            </w:tcBorders>
            <w:shd w:val="clear" w:color="000000" w:fill="D9D9D9"/>
            <w:noWrap/>
            <w:vAlign w:val="center"/>
            <w:hideMark/>
          </w:tcPr>
          <w:p w14:paraId="3A7CB54F"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 xml:space="preserve">Záhradská </w:t>
            </w:r>
          </w:p>
        </w:tc>
        <w:tc>
          <w:tcPr>
            <w:tcW w:w="2268" w:type="dxa"/>
            <w:tcBorders>
              <w:top w:val="nil"/>
              <w:left w:val="nil"/>
              <w:bottom w:val="single" w:sz="8" w:space="0" w:color="auto"/>
              <w:right w:val="single" w:sz="8" w:space="0" w:color="auto"/>
            </w:tcBorders>
            <w:shd w:val="clear" w:color="000000" w:fill="FFFFFF"/>
            <w:noWrap/>
            <w:vAlign w:val="center"/>
            <w:hideMark/>
          </w:tcPr>
          <w:p w14:paraId="5D446FE3"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Lubina</w:t>
            </w:r>
          </w:p>
        </w:tc>
        <w:tc>
          <w:tcPr>
            <w:tcW w:w="1559" w:type="dxa"/>
            <w:tcBorders>
              <w:top w:val="nil"/>
              <w:left w:val="nil"/>
              <w:bottom w:val="single" w:sz="8" w:space="0" w:color="auto"/>
              <w:right w:val="single" w:sz="8" w:space="0" w:color="auto"/>
            </w:tcBorders>
            <w:shd w:val="clear" w:color="auto" w:fill="auto"/>
            <w:noWrap/>
            <w:vAlign w:val="center"/>
            <w:hideMark/>
          </w:tcPr>
          <w:p w14:paraId="25854FA7" w14:textId="77777777" w:rsidR="008D0D63" w:rsidRPr="00157E40" w:rsidRDefault="008D0D63" w:rsidP="008D0D63">
            <w:pPr>
              <w:spacing w:after="0" w:line="240" w:lineRule="auto"/>
              <w:jc w:val="right"/>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12 823</w:t>
            </w:r>
          </w:p>
        </w:tc>
        <w:tc>
          <w:tcPr>
            <w:tcW w:w="1134" w:type="dxa"/>
            <w:tcBorders>
              <w:top w:val="nil"/>
              <w:left w:val="nil"/>
              <w:bottom w:val="single" w:sz="8" w:space="0" w:color="auto"/>
              <w:right w:val="single" w:sz="8" w:space="0" w:color="auto"/>
            </w:tcBorders>
            <w:shd w:val="clear" w:color="auto" w:fill="auto"/>
            <w:noWrap/>
            <w:vAlign w:val="center"/>
            <w:hideMark/>
          </w:tcPr>
          <w:p w14:paraId="064D7AA2"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1984</w:t>
            </w:r>
          </w:p>
        </w:tc>
        <w:tc>
          <w:tcPr>
            <w:tcW w:w="1843" w:type="dxa"/>
            <w:tcBorders>
              <w:top w:val="nil"/>
              <w:left w:val="nil"/>
              <w:bottom w:val="single" w:sz="8" w:space="0" w:color="auto"/>
              <w:right w:val="single" w:sz="8" w:space="0" w:color="auto"/>
            </w:tcBorders>
            <w:shd w:val="clear" w:color="auto" w:fill="auto"/>
            <w:noWrap/>
            <w:vAlign w:val="center"/>
            <w:hideMark/>
          </w:tcPr>
          <w:p w14:paraId="65665ED5"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p>
        </w:tc>
      </w:tr>
    </w:tbl>
    <w:p w14:paraId="761CA9D1" w14:textId="77777777" w:rsidR="00E225CE" w:rsidRPr="00E225CE" w:rsidRDefault="00E225CE" w:rsidP="001840BA">
      <w:pPr>
        <w:spacing w:after="0" w:line="360" w:lineRule="auto"/>
        <w:rPr>
          <w:rFonts w:ascii="Times New Roman" w:hAnsi="Times New Roman" w:cs="Times New Roman"/>
          <w:sz w:val="24"/>
          <w:szCs w:val="24"/>
        </w:rPr>
      </w:pPr>
    </w:p>
    <w:p w14:paraId="44ABBB53" w14:textId="77777777" w:rsidR="00E225CE" w:rsidRPr="00B91A9B" w:rsidRDefault="00E225CE" w:rsidP="00470C84">
      <w:pPr>
        <w:keepNext/>
        <w:spacing w:after="0" w:line="360" w:lineRule="auto"/>
        <w:rPr>
          <w:rFonts w:ascii="Times New Roman" w:hAnsi="Times New Roman" w:cs="Times New Roman"/>
          <w:b/>
          <w:sz w:val="20"/>
          <w:szCs w:val="20"/>
        </w:rPr>
      </w:pPr>
      <w:r w:rsidRPr="00B91A9B">
        <w:rPr>
          <w:rFonts w:ascii="Times New Roman" w:hAnsi="Times New Roman" w:cs="Times New Roman"/>
          <w:b/>
          <w:sz w:val="20"/>
          <w:szCs w:val="20"/>
        </w:rPr>
        <w:t>Tabuľka</w:t>
      </w:r>
      <w:r w:rsidR="008D0D63" w:rsidRPr="00B91A9B">
        <w:rPr>
          <w:rFonts w:ascii="Times New Roman" w:hAnsi="Times New Roman" w:cs="Times New Roman"/>
          <w:b/>
          <w:sz w:val="20"/>
          <w:szCs w:val="20"/>
        </w:rPr>
        <w:t xml:space="preserve"> 3.1.3</w:t>
      </w:r>
      <w:r w:rsidRPr="00B91A9B">
        <w:rPr>
          <w:rFonts w:ascii="Times New Roman" w:hAnsi="Times New Roman" w:cs="Times New Roman"/>
          <w:b/>
          <w:sz w:val="20"/>
          <w:szCs w:val="20"/>
        </w:rPr>
        <w:t xml:space="preserve"> Chránené stromy na území Kopaničiarskeho regiónu </w:t>
      </w:r>
      <w:r w:rsidR="00346513" w:rsidRPr="00B91A9B">
        <w:rPr>
          <w:rFonts w:ascii="Times New Roman" w:hAnsi="Times New Roman" w:cs="Times New Roman"/>
          <w:b/>
          <w:sz w:val="20"/>
          <w:szCs w:val="20"/>
        </w:rPr>
        <w:t>v roku 2014</w:t>
      </w:r>
    </w:p>
    <w:tbl>
      <w:tblPr>
        <w:tblW w:w="8946" w:type="dxa"/>
        <w:tblInd w:w="55" w:type="dxa"/>
        <w:tblCellMar>
          <w:left w:w="70" w:type="dxa"/>
          <w:right w:w="70" w:type="dxa"/>
        </w:tblCellMar>
        <w:tblLook w:val="04A0" w:firstRow="1" w:lastRow="0" w:firstColumn="1" w:lastColumn="0" w:noHBand="0" w:noVBand="1"/>
      </w:tblPr>
      <w:tblGrid>
        <w:gridCol w:w="2142"/>
        <w:gridCol w:w="850"/>
        <w:gridCol w:w="1843"/>
        <w:gridCol w:w="1276"/>
        <w:gridCol w:w="1275"/>
        <w:gridCol w:w="1560"/>
      </w:tblGrid>
      <w:tr w:rsidR="008D0D63" w:rsidRPr="00157E40" w14:paraId="2B1EB00E" w14:textId="77777777" w:rsidTr="008D0D63">
        <w:trPr>
          <w:trHeight w:val="390"/>
        </w:trPr>
        <w:tc>
          <w:tcPr>
            <w:tcW w:w="21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3E377F"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Názov chráneného stromu</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6CE3BC88" w14:textId="77777777" w:rsidR="008D0D63" w:rsidRPr="00157E40" w:rsidRDefault="008D0D63" w:rsidP="008D0D63">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Obec</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14:paraId="77C48C7D" w14:textId="77777777" w:rsidR="008D0D63" w:rsidRPr="00157E40" w:rsidRDefault="008D0D63" w:rsidP="008D0D63">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Odborný názov</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4A4E8495" w14:textId="77777777" w:rsidR="008D0D63" w:rsidRPr="00157E40" w:rsidRDefault="008D0D63" w:rsidP="008D0D63">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Obvod kmeňa (cm)</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414114A2" w14:textId="77777777" w:rsidR="008D0D63" w:rsidRPr="00157E40" w:rsidRDefault="008D0D63" w:rsidP="008D0D63">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Výška stromu (m)</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14:paraId="78C14FC8" w14:textId="77777777" w:rsidR="008D0D63" w:rsidRPr="00157E40" w:rsidRDefault="008D0D63" w:rsidP="008D0D63">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Vek stromu (rok)</w:t>
            </w:r>
          </w:p>
        </w:tc>
      </w:tr>
      <w:tr w:rsidR="008D0D63" w:rsidRPr="00157E40" w14:paraId="6E4C0E80" w14:textId="77777777" w:rsidTr="008D0D63">
        <w:trPr>
          <w:trHeight w:val="330"/>
        </w:trPr>
        <w:tc>
          <w:tcPr>
            <w:tcW w:w="2142" w:type="dxa"/>
            <w:tcBorders>
              <w:top w:val="nil"/>
              <w:left w:val="single" w:sz="4" w:space="0" w:color="auto"/>
              <w:bottom w:val="single" w:sz="4" w:space="0" w:color="auto"/>
              <w:right w:val="single" w:sz="4" w:space="0" w:color="auto"/>
            </w:tcBorders>
            <w:shd w:val="clear" w:color="000000" w:fill="D9D9D9"/>
            <w:noWrap/>
            <w:vAlign w:val="center"/>
            <w:hideMark/>
          </w:tcPr>
          <w:p w14:paraId="5354E16D"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Dub na Moravskej ceste</w:t>
            </w:r>
          </w:p>
        </w:tc>
        <w:tc>
          <w:tcPr>
            <w:tcW w:w="850" w:type="dxa"/>
            <w:tcBorders>
              <w:top w:val="nil"/>
              <w:left w:val="nil"/>
              <w:bottom w:val="single" w:sz="4" w:space="0" w:color="auto"/>
              <w:right w:val="single" w:sz="4" w:space="0" w:color="auto"/>
            </w:tcBorders>
            <w:shd w:val="clear" w:color="auto" w:fill="auto"/>
            <w:noWrap/>
            <w:vAlign w:val="center"/>
            <w:hideMark/>
          </w:tcPr>
          <w:p w14:paraId="7A58F25A"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Myjava</w:t>
            </w:r>
          </w:p>
        </w:tc>
        <w:tc>
          <w:tcPr>
            <w:tcW w:w="1843" w:type="dxa"/>
            <w:tcBorders>
              <w:top w:val="nil"/>
              <w:left w:val="nil"/>
              <w:bottom w:val="single" w:sz="4" w:space="0" w:color="auto"/>
              <w:right w:val="single" w:sz="4" w:space="0" w:color="auto"/>
            </w:tcBorders>
            <w:shd w:val="clear" w:color="auto" w:fill="auto"/>
            <w:noWrap/>
            <w:vAlign w:val="center"/>
            <w:hideMark/>
          </w:tcPr>
          <w:p w14:paraId="41566C25"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Quercus robur L.</w:t>
            </w:r>
          </w:p>
        </w:tc>
        <w:tc>
          <w:tcPr>
            <w:tcW w:w="1276" w:type="dxa"/>
            <w:tcBorders>
              <w:top w:val="nil"/>
              <w:left w:val="nil"/>
              <w:bottom w:val="single" w:sz="4" w:space="0" w:color="auto"/>
              <w:right w:val="single" w:sz="4" w:space="0" w:color="auto"/>
            </w:tcBorders>
            <w:shd w:val="clear" w:color="auto" w:fill="auto"/>
            <w:noWrap/>
            <w:vAlign w:val="center"/>
            <w:hideMark/>
          </w:tcPr>
          <w:p w14:paraId="2B7F8E40"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528</w:t>
            </w:r>
          </w:p>
        </w:tc>
        <w:tc>
          <w:tcPr>
            <w:tcW w:w="1275" w:type="dxa"/>
            <w:tcBorders>
              <w:top w:val="nil"/>
              <w:left w:val="nil"/>
              <w:bottom w:val="single" w:sz="4" w:space="0" w:color="auto"/>
              <w:right w:val="single" w:sz="4" w:space="0" w:color="auto"/>
            </w:tcBorders>
            <w:shd w:val="clear" w:color="auto" w:fill="auto"/>
            <w:noWrap/>
            <w:vAlign w:val="center"/>
            <w:hideMark/>
          </w:tcPr>
          <w:p w14:paraId="5780F9A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w:t>
            </w:r>
          </w:p>
        </w:tc>
        <w:tc>
          <w:tcPr>
            <w:tcW w:w="1560" w:type="dxa"/>
            <w:tcBorders>
              <w:top w:val="nil"/>
              <w:left w:val="nil"/>
              <w:bottom w:val="single" w:sz="4" w:space="0" w:color="auto"/>
              <w:right w:val="single" w:sz="4" w:space="0" w:color="auto"/>
            </w:tcBorders>
            <w:shd w:val="clear" w:color="auto" w:fill="auto"/>
            <w:noWrap/>
            <w:vAlign w:val="center"/>
            <w:hideMark/>
          </w:tcPr>
          <w:p w14:paraId="09F7462E"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250</w:t>
            </w:r>
          </w:p>
        </w:tc>
      </w:tr>
      <w:tr w:rsidR="008D0D63" w:rsidRPr="00157E40" w14:paraId="0234E44A" w14:textId="77777777" w:rsidTr="008D0D63">
        <w:trPr>
          <w:trHeight w:val="330"/>
        </w:trPr>
        <w:tc>
          <w:tcPr>
            <w:tcW w:w="2142" w:type="dxa"/>
            <w:tcBorders>
              <w:top w:val="nil"/>
              <w:left w:val="single" w:sz="4" w:space="0" w:color="auto"/>
              <w:bottom w:val="single" w:sz="4" w:space="0" w:color="auto"/>
              <w:right w:val="single" w:sz="4" w:space="0" w:color="auto"/>
            </w:tcBorders>
            <w:shd w:val="clear" w:color="000000" w:fill="D9D9D9"/>
            <w:noWrap/>
            <w:vAlign w:val="center"/>
            <w:hideMark/>
          </w:tcPr>
          <w:p w14:paraId="76D542C0"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Myjavská lipa</w:t>
            </w:r>
          </w:p>
        </w:tc>
        <w:tc>
          <w:tcPr>
            <w:tcW w:w="850" w:type="dxa"/>
            <w:tcBorders>
              <w:top w:val="nil"/>
              <w:left w:val="nil"/>
              <w:bottom w:val="single" w:sz="4" w:space="0" w:color="auto"/>
              <w:right w:val="single" w:sz="4" w:space="0" w:color="auto"/>
            </w:tcBorders>
            <w:shd w:val="clear" w:color="auto" w:fill="auto"/>
            <w:noWrap/>
            <w:vAlign w:val="center"/>
            <w:hideMark/>
          </w:tcPr>
          <w:p w14:paraId="6E6EC27F"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Myjava</w:t>
            </w:r>
          </w:p>
        </w:tc>
        <w:tc>
          <w:tcPr>
            <w:tcW w:w="1843" w:type="dxa"/>
            <w:tcBorders>
              <w:top w:val="nil"/>
              <w:left w:val="nil"/>
              <w:bottom w:val="single" w:sz="4" w:space="0" w:color="auto"/>
              <w:right w:val="single" w:sz="4" w:space="0" w:color="auto"/>
            </w:tcBorders>
            <w:shd w:val="clear" w:color="auto" w:fill="auto"/>
            <w:noWrap/>
            <w:vAlign w:val="center"/>
            <w:hideMark/>
          </w:tcPr>
          <w:p w14:paraId="2A2880F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Tilia platyphylos Scop.</w:t>
            </w:r>
          </w:p>
        </w:tc>
        <w:tc>
          <w:tcPr>
            <w:tcW w:w="1276" w:type="dxa"/>
            <w:tcBorders>
              <w:top w:val="nil"/>
              <w:left w:val="nil"/>
              <w:bottom w:val="single" w:sz="4" w:space="0" w:color="auto"/>
              <w:right w:val="single" w:sz="4" w:space="0" w:color="auto"/>
            </w:tcBorders>
            <w:shd w:val="clear" w:color="auto" w:fill="auto"/>
            <w:noWrap/>
            <w:vAlign w:val="center"/>
            <w:hideMark/>
          </w:tcPr>
          <w:p w14:paraId="6EE957AD"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576</w:t>
            </w:r>
          </w:p>
        </w:tc>
        <w:tc>
          <w:tcPr>
            <w:tcW w:w="1275" w:type="dxa"/>
            <w:tcBorders>
              <w:top w:val="nil"/>
              <w:left w:val="nil"/>
              <w:bottom w:val="single" w:sz="4" w:space="0" w:color="auto"/>
              <w:right w:val="single" w:sz="4" w:space="0" w:color="auto"/>
            </w:tcBorders>
            <w:shd w:val="clear" w:color="auto" w:fill="auto"/>
            <w:noWrap/>
            <w:vAlign w:val="center"/>
            <w:hideMark/>
          </w:tcPr>
          <w:p w14:paraId="08D58C06"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28</w:t>
            </w:r>
          </w:p>
        </w:tc>
        <w:tc>
          <w:tcPr>
            <w:tcW w:w="1560" w:type="dxa"/>
            <w:tcBorders>
              <w:top w:val="nil"/>
              <w:left w:val="nil"/>
              <w:bottom w:val="single" w:sz="4" w:space="0" w:color="auto"/>
              <w:right w:val="single" w:sz="4" w:space="0" w:color="auto"/>
            </w:tcBorders>
            <w:shd w:val="clear" w:color="auto" w:fill="auto"/>
            <w:noWrap/>
            <w:vAlign w:val="center"/>
            <w:hideMark/>
          </w:tcPr>
          <w:p w14:paraId="0369858B"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250</w:t>
            </w:r>
          </w:p>
        </w:tc>
      </w:tr>
      <w:tr w:rsidR="008D0D63" w:rsidRPr="00157E40" w14:paraId="6DDC1680" w14:textId="77777777" w:rsidTr="008D0D63">
        <w:trPr>
          <w:trHeight w:val="330"/>
        </w:trPr>
        <w:tc>
          <w:tcPr>
            <w:tcW w:w="2142" w:type="dxa"/>
            <w:tcBorders>
              <w:top w:val="nil"/>
              <w:left w:val="single" w:sz="4" w:space="0" w:color="auto"/>
              <w:bottom w:val="single" w:sz="4" w:space="0" w:color="auto"/>
              <w:right w:val="single" w:sz="4" w:space="0" w:color="auto"/>
            </w:tcBorders>
            <w:shd w:val="clear" w:color="000000" w:fill="D9D9D9"/>
            <w:noWrap/>
            <w:vAlign w:val="center"/>
            <w:hideMark/>
          </w:tcPr>
          <w:p w14:paraId="4226A69A" w14:textId="77777777" w:rsidR="008D0D63" w:rsidRPr="00157E40" w:rsidRDefault="008D0D63" w:rsidP="008D0D63">
            <w:pPr>
              <w:spacing w:after="0" w:line="240" w:lineRule="auto"/>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Lipa pri Múzeu Prvej SNR</w:t>
            </w:r>
          </w:p>
        </w:tc>
        <w:tc>
          <w:tcPr>
            <w:tcW w:w="850" w:type="dxa"/>
            <w:tcBorders>
              <w:top w:val="nil"/>
              <w:left w:val="nil"/>
              <w:bottom w:val="single" w:sz="4" w:space="0" w:color="auto"/>
              <w:right w:val="single" w:sz="4" w:space="0" w:color="auto"/>
            </w:tcBorders>
            <w:shd w:val="clear" w:color="auto" w:fill="auto"/>
            <w:noWrap/>
            <w:vAlign w:val="center"/>
            <w:hideMark/>
          </w:tcPr>
          <w:p w14:paraId="5FD232DE"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Myjava</w:t>
            </w:r>
          </w:p>
        </w:tc>
        <w:tc>
          <w:tcPr>
            <w:tcW w:w="1843" w:type="dxa"/>
            <w:tcBorders>
              <w:top w:val="nil"/>
              <w:left w:val="nil"/>
              <w:bottom w:val="single" w:sz="4" w:space="0" w:color="auto"/>
              <w:right w:val="single" w:sz="4" w:space="0" w:color="auto"/>
            </w:tcBorders>
            <w:shd w:val="clear" w:color="auto" w:fill="auto"/>
            <w:noWrap/>
            <w:vAlign w:val="center"/>
            <w:hideMark/>
          </w:tcPr>
          <w:p w14:paraId="1DF66616" w14:textId="77777777" w:rsidR="008D0D63" w:rsidRPr="00157E40" w:rsidRDefault="008D0D63" w:rsidP="008D0D63">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Tilia cordata Mill.</w:t>
            </w:r>
          </w:p>
        </w:tc>
        <w:tc>
          <w:tcPr>
            <w:tcW w:w="1276" w:type="dxa"/>
            <w:tcBorders>
              <w:top w:val="nil"/>
              <w:left w:val="nil"/>
              <w:bottom w:val="single" w:sz="4" w:space="0" w:color="auto"/>
              <w:right w:val="single" w:sz="4" w:space="0" w:color="auto"/>
            </w:tcBorders>
            <w:shd w:val="clear" w:color="auto" w:fill="auto"/>
            <w:noWrap/>
            <w:vAlign w:val="center"/>
            <w:hideMark/>
          </w:tcPr>
          <w:p w14:paraId="10B72200"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315</w:t>
            </w:r>
          </w:p>
        </w:tc>
        <w:tc>
          <w:tcPr>
            <w:tcW w:w="1275" w:type="dxa"/>
            <w:tcBorders>
              <w:top w:val="nil"/>
              <w:left w:val="nil"/>
              <w:bottom w:val="single" w:sz="4" w:space="0" w:color="auto"/>
              <w:right w:val="single" w:sz="4" w:space="0" w:color="auto"/>
            </w:tcBorders>
            <w:shd w:val="clear" w:color="auto" w:fill="auto"/>
            <w:noWrap/>
            <w:vAlign w:val="center"/>
            <w:hideMark/>
          </w:tcPr>
          <w:p w14:paraId="5CA022D4"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w:t>
            </w:r>
          </w:p>
        </w:tc>
        <w:tc>
          <w:tcPr>
            <w:tcW w:w="1560" w:type="dxa"/>
            <w:tcBorders>
              <w:top w:val="nil"/>
              <w:left w:val="nil"/>
              <w:bottom w:val="single" w:sz="4" w:space="0" w:color="auto"/>
              <w:right w:val="single" w:sz="4" w:space="0" w:color="auto"/>
            </w:tcBorders>
            <w:shd w:val="clear" w:color="auto" w:fill="auto"/>
            <w:noWrap/>
            <w:vAlign w:val="center"/>
            <w:hideMark/>
          </w:tcPr>
          <w:p w14:paraId="06650E23" w14:textId="77777777" w:rsidR="008D0D63" w:rsidRPr="00157E40" w:rsidRDefault="008D0D63" w:rsidP="008D0D63">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150</w:t>
            </w:r>
          </w:p>
        </w:tc>
      </w:tr>
    </w:tbl>
    <w:p w14:paraId="2F5818C6" w14:textId="77777777" w:rsidR="008D0D63" w:rsidRDefault="008D0D63" w:rsidP="00E225CE">
      <w:pPr>
        <w:spacing w:after="0" w:line="360" w:lineRule="auto"/>
        <w:rPr>
          <w:rFonts w:ascii="Times New Roman" w:hAnsi="Times New Roman" w:cs="Times New Roman"/>
          <w:sz w:val="24"/>
          <w:szCs w:val="24"/>
        </w:rPr>
      </w:pPr>
    </w:p>
    <w:p w14:paraId="61BB2989" w14:textId="77777777" w:rsidR="00E225CE" w:rsidRPr="009D74A8" w:rsidRDefault="00E225CE" w:rsidP="00157E40">
      <w:pPr>
        <w:spacing w:after="0" w:line="360" w:lineRule="auto"/>
        <w:rPr>
          <w:rFonts w:ascii="Times New Roman" w:hAnsi="Times New Roman" w:cs="Times New Roman"/>
          <w:b/>
          <w:sz w:val="24"/>
          <w:szCs w:val="24"/>
        </w:rPr>
      </w:pPr>
      <w:r w:rsidRPr="009D74A8">
        <w:rPr>
          <w:rFonts w:ascii="Times New Roman" w:hAnsi="Times New Roman" w:cs="Times New Roman"/>
          <w:b/>
          <w:sz w:val="24"/>
          <w:szCs w:val="24"/>
        </w:rPr>
        <w:t>Popis demografickej situácie</w:t>
      </w:r>
    </w:p>
    <w:p w14:paraId="64356328" w14:textId="77777777" w:rsidR="00E225CE" w:rsidRPr="001840BA" w:rsidRDefault="00E225CE" w:rsidP="00157E40">
      <w:pPr>
        <w:spacing w:before="120" w:after="0" w:line="360" w:lineRule="auto"/>
        <w:rPr>
          <w:rFonts w:ascii="Times New Roman" w:hAnsi="Times New Roman" w:cs="Times New Roman"/>
          <w:b/>
          <w:i/>
          <w:sz w:val="24"/>
          <w:szCs w:val="24"/>
        </w:rPr>
      </w:pPr>
      <w:r w:rsidRPr="001840BA">
        <w:rPr>
          <w:rFonts w:ascii="Times New Roman" w:hAnsi="Times New Roman" w:cs="Times New Roman"/>
          <w:b/>
          <w:i/>
          <w:sz w:val="24"/>
          <w:szCs w:val="24"/>
        </w:rPr>
        <w:t>Počet obyvateľov, populačné vývojové pyramídy</w:t>
      </w:r>
    </w:p>
    <w:p w14:paraId="6F29CF11" w14:textId="77777777" w:rsidR="00E225CE" w:rsidRPr="008D0D63" w:rsidRDefault="00B91A9B" w:rsidP="001840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 Kopaničiarskom regióne k 31.12.20</w:t>
      </w:r>
      <w:r w:rsidR="0014674E">
        <w:rPr>
          <w:rFonts w:ascii="Times New Roman" w:hAnsi="Times New Roman" w:cs="Times New Roman"/>
          <w:sz w:val="24"/>
          <w:szCs w:val="24"/>
        </w:rPr>
        <w:t>14</w:t>
      </w:r>
      <w:r w:rsidR="00E225CE" w:rsidRPr="00E225CE">
        <w:rPr>
          <w:rFonts w:ascii="Times New Roman" w:hAnsi="Times New Roman" w:cs="Times New Roman"/>
          <w:sz w:val="24"/>
          <w:szCs w:val="24"/>
        </w:rPr>
        <w:t xml:space="preserve"> žilo 4</w:t>
      </w:r>
      <w:r w:rsidR="0014674E">
        <w:rPr>
          <w:rFonts w:ascii="Times New Roman" w:hAnsi="Times New Roman" w:cs="Times New Roman"/>
          <w:sz w:val="24"/>
          <w:szCs w:val="24"/>
        </w:rPr>
        <w:t>4 325</w:t>
      </w:r>
      <w:r w:rsidR="00E225CE" w:rsidRPr="00E225CE">
        <w:rPr>
          <w:rFonts w:ascii="Times New Roman" w:hAnsi="Times New Roman" w:cs="Times New Roman"/>
          <w:sz w:val="24"/>
          <w:szCs w:val="24"/>
        </w:rPr>
        <w:t xml:space="preserve"> obyvateľov. Od 90-tych rokov minulého storočia </w:t>
      </w:r>
      <w:r w:rsidR="007A5E53">
        <w:rPr>
          <w:rFonts w:ascii="Times New Roman" w:hAnsi="Times New Roman" w:cs="Times New Roman"/>
          <w:sz w:val="24"/>
          <w:szCs w:val="24"/>
        </w:rPr>
        <w:t>bol zaznamenaný</w:t>
      </w:r>
      <w:r w:rsidR="007A5E53"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v regióne postupný pokles počtu obyvateľstva. Proces úbytku obyvateľstva tu bol však už skôr, Najmä na kopaniciach je zaznamenaný jeho pokles postupne od 60-tych rokov 20.storočia. V mestách je to až od polovice 90-tych rokov. </w:t>
      </w:r>
      <w:r w:rsidR="0014674E">
        <w:rPr>
          <w:rFonts w:ascii="Times New Roman" w:hAnsi="Times New Roman" w:cs="Times New Roman"/>
          <w:sz w:val="24"/>
          <w:szCs w:val="24"/>
        </w:rPr>
        <w:t xml:space="preserve">V roku 2007 tu žilo </w:t>
      </w:r>
      <w:r w:rsidR="007A5E53">
        <w:rPr>
          <w:rFonts w:ascii="Times New Roman" w:hAnsi="Times New Roman" w:cs="Times New Roman"/>
          <w:sz w:val="24"/>
          <w:szCs w:val="24"/>
        </w:rPr>
        <w:t>4</w:t>
      </w:r>
      <w:r w:rsidR="009D74A8">
        <w:rPr>
          <w:rFonts w:ascii="Times New Roman" w:hAnsi="Times New Roman" w:cs="Times New Roman"/>
          <w:sz w:val="24"/>
          <w:szCs w:val="24"/>
        </w:rPr>
        <w:t>6</w:t>
      </w:r>
      <w:r w:rsidR="007A5E53">
        <w:rPr>
          <w:rFonts w:ascii="Times New Roman" w:hAnsi="Times New Roman" w:cs="Times New Roman"/>
          <w:sz w:val="24"/>
          <w:szCs w:val="24"/>
        </w:rPr>
        <w:t> 116 obyvateľov</w:t>
      </w:r>
      <w:r w:rsidR="006E131B">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Za posledných </w:t>
      </w:r>
      <w:r w:rsidR="006E131B">
        <w:rPr>
          <w:rFonts w:ascii="Times New Roman" w:hAnsi="Times New Roman" w:cs="Times New Roman"/>
          <w:sz w:val="24"/>
          <w:szCs w:val="24"/>
        </w:rPr>
        <w:t>7</w:t>
      </w:r>
      <w:r w:rsidR="00E225CE" w:rsidRPr="00E225CE">
        <w:rPr>
          <w:rFonts w:ascii="Times New Roman" w:hAnsi="Times New Roman" w:cs="Times New Roman"/>
          <w:sz w:val="24"/>
          <w:szCs w:val="24"/>
        </w:rPr>
        <w:t xml:space="preserve"> rokov </w:t>
      </w:r>
      <w:r w:rsidR="006E131B">
        <w:rPr>
          <w:rFonts w:ascii="Times New Roman" w:hAnsi="Times New Roman" w:cs="Times New Roman"/>
          <w:sz w:val="24"/>
          <w:szCs w:val="24"/>
        </w:rPr>
        <w:t>však narástol</w:t>
      </w:r>
      <w:r w:rsidR="006E131B"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počet obyvateľov v regióne </w:t>
      </w:r>
      <w:r w:rsidR="006E131B">
        <w:rPr>
          <w:rFonts w:ascii="Times New Roman" w:hAnsi="Times New Roman" w:cs="Times New Roman"/>
          <w:sz w:val="24"/>
          <w:szCs w:val="24"/>
        </w:rPr>
        <w:t>o 1 209 obyvateľov, čo prestavuje nárast obyvateľstva na úrovni 2,8</w:t>
      </w:r>
      <w:r w:rsidR="002D0E2B">
        <w:rPr>
          <w:rFonts w:ascii="Times New Roman" w:hAnsi="Times New Roman" w:cs="Times New Roman"/>
          <w:sz w:val="24"/>
          <w:szCs w:val="24"/>
        </w:rPr>
        <w:t xml:space="preserve"> </w:t>
      </w:r>
      <w:r w:rsidR="006E131B">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Vývoj počtu obyvateľstva v Kopaničiarskom regióne je názornejšie zobrazený </w:t>
      </w:r>
      <w:r w:rsidR="00E225CE" w:rsidRPr="008D0D63">
        <w:rPr>
          <w:rFonts w:ascii="Times New Roman" w:hAnsi="Times New Roman" w:cs="Times New Roman"/>
          <w:sz w:val="24"/>
          <w:szCs w:val="24"/>
        </w:rPr>
        <w:t xml:space="preserve">v tabuľke </w:t>
      </w:r>
      <w:r w:rsidR="008D0D63" w:rsidRPr="008D0D63">
        <w:rPr>
          <w:rFonts w:ascii="Times New Roman" w:hAnsi="Times New Roman" w:cs="Times New Roman"/>
          <w:sz w:val="24"/>
          <w:szCs w:val="24"/>
        </w:rPr>
        <w:t>3.1.4</w:t>
      </w:r>
      <w:r w:rsidR="00E225CE" w:rsidRPr="008D0D63">
        <w:rPr>
          <w:rFonts w:ascii="Times New Roman" w:hAnsi="Times New Roman" w:cs="Times New Roman"/>
          <w:sz w:val="24"/>
          <w:szCs w:val="24"/>
        </w:rPr>
        <w:t xml:space="preserve"> a v grafe </w:t>
      </w:r>
      <w:r w:rsidR="008D0D63" w:rsidRPr="008D0D63">
        <w:rPr>
          <w:rFonts w:ascii="Times New Roman" w:hAnsi="Times New Roman" w:cs="Times New Roman"/>
          <w:sz w:val="24"/>
          <w:szCs w:val="24"/>
        </w:rPr>
        <w:t>3.1.3</w:t>
      </w:r>
      <w:r w:rsidR="00E225CE" w:rsidRPr="008D0D63">
        <w:rPr>
          <w:rFonts w:ascii="Times New Roman" w:hAnsi="Times New Roman" w:cs="Times New Roman"/>
          <w:sz w:val="24"/>
          <w:szCs w:val="24"/>
        </w:rPr>
        <w:t>.</w:t>
      </w:r>
    </w:p>
    <w:p w14:paraId="31F9C1B4" w14:textId="77777777" w:rsidR="002D0E2B" w:rsidRPr="00B91A9B" w:rsidRDefault="002D0E2B" w:rsidP="00470C84">
      <w:pPr>
        <w:keepNext/>
        <w:spacing w:before="120" w:after="0" w:line="360" w:lineRule="auto"/>
        <w:jc w:val="both"/>
        <w:rPr>
          <w:rFonts w:ascii="Times New Roman" w:hAnsi="Times New Roman" w:cs="Times New Roman"/>
          <w:b/>
          <w:sz w:val="20"/>
          <w:szCs w:val="20"/>
        </w:rPr>
      </w:pPr>
      <w:r w:rsidRPr="00B91A9B">
        <w:rPr>
          <w:rFonts w:ascii="Times New Roman" w:hAnsi="Times New Roman" w:cs="Times New Roman"/>
          <w:b/>
          <w:sz w:val="20"/>
          <w:szCs w:val="20"/>
        </w:rPr>
        <w:t xml:space="preserve">Tabuľka </w:t>
      </w:r>
      <w:r w:rsidR="008D0D63" w:rsidRPr="00B91A9B">
        <w:rPr>
          <w:rFonts w:ascii="Times New Roman" w:hAnsi="Times New Roman" w:cs="Times New Roman"/>
          <w:b/>
          <w:sz w:val="20"/>
          <w:szCs w:val="20"/>
        </w:rPr>
        <w:t>3.1.4</w:t>
      </w:r>
      <w:r w:rsidRPr="00B91A9B">
        <w:rPr>
          <w:rFonts w:ascii="Times New Roman" w:hAnsi="Times New Roman" w:cs="Times New Roman"/>
          <w:b/>
          <w:sz w:val="20"/>
          <w:szCs w:val="20"/>
        </w:rPr>
        <w:t xml:space="preserve"> </w:t>
      </w:r>
      <w:r w:rsidR="008D0D63" w:rsidRPr="00B91A9B">
        <w:rPr>
          <w:rFonts w:ascii="Times New Roman" w:hAnsi="Times New Roman" w:cs="Times New Roman"/>
          <w:b/>
          <w:sz w:val="20"/>
          <w:szCs w:val="20"/>
        </w:rPr>
        <w:t xml:space="preserve">Vývoj počtu obyvateľstva v Kopaničiarskom regióne </w:t>
      </w:r>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470C84" w:rsidRPr="00157E40" w14:paraId="365F1732" w14:textId="77777777" w:rsidTr="00470C84">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588DA0D" w14:textId="77777777" w:rsidR="00470C84" w:rsidRPr="00157E40" w:rsidRDefault="00470C84" w:rsidP="00470C84">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Rok</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7E21FF62"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1869</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794F4A8F"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1880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71EC48CE"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1890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10B20698"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1900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18B39D29"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1910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3DA0DA41"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1921</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5EE1B778"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1930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144857DB"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1950</w:t>
            </w:r>
          </w:p>
        </w:tc>
      </w:tr>
      <w:tr w:rsidR="00470C84" w:rsidRPr="00157E40" w14:paraId="08D47B33" w14:textId="77777777" w:rsidTr="00470C8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9099A33" w14:textId="77777777" w:rsidR="00470C84" w:rsidRPr="00157E40" w:rsidRDefault="00470C84" w:rsidP="00470C84">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Počet obyv.</w:t>
            </w:r>
          </w:p>
        </w:tc>
        <w:tc>
          <w:tcPr>
            <w:tcW w:w="960" w:type="dxa"/>
            <w:tcBorders>
              <w:top w:val="nil"/>
              <w:left w:val="nil"/>
              <w:bottom w:val="single" w:sz="8" w:space="0" w:color="auto"/>
              <w:right w:val="single" w:sz="8" w:space="0" w:color="auto"/>
            </w:tcBorders>
            <w:shd w:val="clear" w:color="auto" w:fill="auto"/>
            <w:noWrap/>
            <w:vAlign w:val="center"/>
            <w:hideMark/>
          </w:tcPr>
          <w:p w14:paraId="006D89D9" w14:textId="77777777" w:rsidR="00470C84" w:rsidRPr="00157E40" w:rsidRDefault="009D74A8"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41</w:t>
            </w:r>
            <w:r w:rsidR="00470C84" w:rsidRPr="00157E40">
              <w:rPr>
                <w:rFonts w:ascii="Times New Roman" w:eastAsia="Times New Roman" w:hAnsi="Times New Roman" w:cs="Times New Roman"/>
                <w:color w:val="000000"/>
                <w:sz w:val="20"/>
                <w:szCs w:val="20"/>
                <w:lang w:eastAsia="sk-SK"/>
              </w:rPr>
              <w:t xml:space="preserve"> 359</w:t>
            </w:r>
          </w:p>
        </w:tc>
        <w:tc>
          <w:tcPr>
            <w:tcW w:w="960" w:type="dxa"/>
            <w:tcBorders>
              <w:top w:val="nil"/>
              <w:left w:val="nil"/>
              <w:bottom w:val="single" w:sz="8" w:space="0" w:color="auto"/>
              <w:right w:val="single" w:sz="8" w:space="0" w:color="auto"/>
            </w:tcBorders>
            <w:shd w:val="clear" w:color="auto" w:fill="auto"/>
            <w:noWrap/>
            <w:vAlign w:val="center"/>
            <w:hideMark/>
          </w:tcPr>
          <w:p w14:paraId="054DEBEE" w14:textId="77777777" w:rsidR="00470C84" w:rsidRPr="00157E40" w:rsidRDefault="009D74A8"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41</w:t>
            </w:r>
            <w:r w:rsidR="00470C84" w:rsidRPr="00157E40">
              <w:rPr>
                <w:rFonts w:ascii="Times New Roman" w:eastAsia="Times New Roman" w:hAnsi="Times New Roman" w:cs="Times New Roman"/>
                <w:color w:val="000000"/>
                <w:sz w:val="20"/>
                <w:szCs w:val="20"/>
                <w:lang w:eastAsia="sk-SK"/>
              </w:rPr>
              <w:t xml:space="preserve"> 051</w:t>
            </w:r>
          </w:p>
        </w:tc>
        <w:tc>
          <w:tcPr>
            <w:tcW w:w="960" w:type="dxa"/>
            <w:tcBorders>
              <w:top w:val="nil"/>
              <w:left w:val="nil"/>
              <w:bottom w:val="single" w:sz="8" w:space="0" w:color="auto"/>
              <w:right w:val="single" w:sz="8" w:space="0" w:color="auto"/>
            </w:tcBorders>
            <w:shd w:val="clear" w:color="auto" w:fill="auto"/>
            <w:noWrap/>
            <w:vAlign w:val="center"/>
            <w:hideMark/>
          </w:tcPr>
          <w:p w14:paraId="1960AF61" w14:textId="77777777" w:rsidR="00470C84" w:rsidRPr="00157E40" w:rsidRDefault="009D74A8"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42</w:t>
            </w:r>
            <w:r w:rsidR="00470C84" w:rsidRPr="00157E40">
              <w:rPr>
                <w:rFonts w:ascii="Times New Roman" w:eastAsia="Times New Roman" w:hAnsi="Times New Roman" w:cs="Times New Roman"/>
                <w:color w:val="000000"/>
                <w:sz w:val="20"/>
                <w:szCs w:val="20"/>
                <w:lang w:eastAsia="sk-SK"/>
              </w:rPr>
              <w:t xml:space="preserve"> 468</w:t>
            </w:r>
          </w:p>
        </w:tc>
        <w:tc>
          <w:tcPr>
            <w:tcW w:w="960" w:type="dxa"/>
            <w:tcBorders>
              <w:top w:val="nil"/>
              <w:left w:val="nil"/>
              <w:bottom w:val="single" w:sz="8" w:space="0" w:color="auto"/>
              <w:right w:val="single" w:sz="8" w:space="0" w:color="auto"/>
            </w:tcBorders>
            <w:shd w:val="clear" w:color="auto" w:fill="auto"/>
            <w:noWrap/>
            <w:vAlign w:val="center"/>
            <w:hideMark/>
          </w:tcPr>
          <w:p w14:paraId="2D34D7C4" w14:textId="77777777" w:rsidR="00470C84" w:rsidRPr="00157E40" w:rsidRDefault="00470C84" w:rsidP="009D74A8">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2</w:t>
            </w:r>
            <w:r w:rsidRPr="00157E40">
              <w:rPr>
                <w:rFonts w:ascii="Times New Roman" w:eastAsia="Times New Roman" w:hAnsi="Times New Roman" w:cs="Times New Roman"/>
                <w:color w:val="000000"/>
                <w:sz w:val="20"/>
                <w:szCs w:val="20"/>
                <w:lang w:eastAsia="sk-SK"/>
              </w:rPr>
              <w:t xml:space="preserve"> 672</w:t>
            </w:r>
          </w:p>
        </w:tc>
        <w:tc>
          <w:tcPr>
            <w:tcW w:w="960" w:type="dxa"/>
            <w:tcBorders>
              <w:top w:val="nil"/>
              <w:left w:val="nil"/>
              <w:bottom w:val="single" w:sz="8" w:space="0" w:color="auto"/>
              <w:right w:val="single" w:sz="8" w:space="0" w:color="auto"/>
            </w:tcBorders>
            <w:shd w:val="clear" w:color="auto" w:fill="auto"/>
            <w:noWrap/>
            <w:vAlign w:val="center"/>
            <w:hideMark/>
          </w:tcPr>
          <w:p w14:paraId="5F464543" w14:textId="77777777" w:rsidR="00470C84" w:rsidRPr="00157E40" w:rsidRDefault="009D74A8"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42</w:t>
            </w:r>
            <w:r w:rsidR="00470C84" w:rsidRPr="00157E40">
              <w:rPr>
                <w:rFonts w:ascii="Times New Roman" w:eastAsia="Times New Roman" w:hAnsi="Times New Roman" w:cs="Times New Roman"/>
                <w:color w:val="000000"/>
                <w:sz w:val="20"/>
                <w:szCs w:val="20"/>
                <w:lang w:eastAsia="sk-SK"/>
              </w:rPr>
              <w:t xml:space="preserve"> 619</w:t>
            </w:r>
          </w:p>
        </w:tc>
        <w:tc>
          <w:tcPr>
            <w:tcW w:w="960" w:type="dxa"/>
            <w:tcBorders>
              <w:top w:val="nil"/>
              <w:left w:val="nil"/>
              <w:bottom w:val="single" w:sz="8" w:space="0" w:color="auto"/>
              <w:right w:val="single" w:sz="8" w:space="0" w:color="auto"/>
            </w:tcBorders>
            <w:shd w:val="clear" w:color="auto" w:fill="auto"/>
            <w:noWrap/>
            <w:vAlign w:val="center"/>
            <w:hideMark/>
          </w:tcPr>
          <w:p w14:paraId="25DBFD33" w14:textId="77777777" w:rsidR="00470C84" w:rsidRPr="00157E40" w:rsidRDefault="009D74A8"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w:t>
            </w:r>
            <w:r w:rsidR="00470C84" w:rsidRPr="00157E40">
              <w:rPr>
                <w:rFonts w:ascii="Times New Roman" w:eastAsia="Times New Roman" w:hAnsi="Times New Roman" w:cs="Times New Roman"/>
                <w:color w:val="000000"/>
                <w:sz w:val="20"/>
                <w:szCs w:val="20"/>
                <w:lang w:eastAsia="sk-SK"/>
              </w:rPr>
              <w:t xml:space="preserve"> 632</w:t>
            </w:r>
          </w:p>
        </w:tc>
        <w:tc>
          <w:tcPr>
            <w:tcW w:w="960" w:type="dxa"/>
            <w:tcBorders>
              <w:top w:val="nil"/>
              <w:left w:val="nil"/>
              <w:bottom w:val="single" w:sz="8" w:space="0" w:color="auto"/>
              <w:right w:val="single" w:sz="8" w:space="0" w:color="auto"/>
            </w:tcBorders>
            <w:shd w:val="clear" w:color="auto" w:fill="auto"/>
            <w:noWrap/>
            <w:vAlign w:val="center"/>
            <w:hideMark/>
          </w:tcPr>
          <w:p w14:paraId="038D498D"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w:t>
            </w:r>
            <w:r w:rsidR="009D74A8" w:rsidRPr="00157E40">
              <w:rPr>
                <w:rFonts w:ascii="Times New Roman" w:eastAsia="Times New Roman" w:hAnsi="Times New Roman" w:cs="Times New Roman"/>
                <w:color w:val="000000"/>
                <w:sz w:val="20"/>
                <w:szCs w:val="20"/>
                <w:lang w:eastAsia="sk-SK"/>
              </w:rPr>
              <w:t>9</w:t>
            </w:r>
            <w:r w:rsidRPr="00157E40">
              <w:rPr>
                <w:rFonts w:ascii="Times New Roman" w:eastAsia="Times New Roman" w:hAnsi="Times New Roman" w:cs="Times New Roman"/>
                <w:color w:val="000000"/>
                <w:sz w:val="20"/>
                <w:szCs w:val="20"/>
                <w:lang w:eastAsia="sk-SK"/>
              </w:rPr>
              <w:t xml:space="preserve"> 952</w:t>
            </w:r>
          </w:p>
        </w:tc>
        <w:tc>
          <w:tcPr>
            <w:tcW w:w="960" w:type="dxa"/>
            <w:tcBorders>
              <w:top w:val="nil"/>
              <w:left w:val="nil"/>
              <w:bottom w:val="single" w:sz="8" w:space="0" w:color="auto"/>
              <w:right w:val="single" w:sz="8" w:space="0" w:color="auto"/>
            </w:tcBorders>
            <w:shd w:val="clear" w:color="auto" w:fill="auto"/>
            <w:noWrap/>
            <w:vAlign w:val="center"/>
            <w:hideMark/>
          </w:tcPr>
          <w:p w14:paraId="5E4B464A"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w:t>
            </w:r>
            <w:r w:rsidR="009D74A8" w:rsidRPr="00157E40">
              <w:rPr>
                <w:rFonts w:ascii="Times New Roman" w:eastAsia="Times New Roman" w:hAnsi="Times New Roman" w:cs="Times New Roman"/>
                <w:color w:val="000000"/>
                <w:sz w:val="20"/>
                <w:szCs w:val="20"/>
                <w:lang w:eastAsia="sk-SK"/>
              </w:rPr>
              <w:t>9</w:t>
            </w:r>
            <w:r w:rsidRPr="00157E40">
              <w:rPr>
                <w:rFonts w:ascii="Times New Roman" w:eastAsia="Times New Roman" w:hAnsi="Times New Roman" w:cs="Times New Roman"/>
                <w:color w:val="000000"/>
                <w:sz w:val="20"/>
                <w:szCs w:val="20"/>
                <w:lang w:eastAsia="sk-SK"/>
              </w:rPr>
              <w:t xml:space="preserve"> 178</w:t>
            </w:r>
          </w:p>
        </w:tc>
      </w:tr>
      <w:tr w:rsidR="00470C84" w:rsidRPr="00157E40" w14:paraId="3EB7DE0D" w14:textId="77777777" w:rsidTr="00470C84">
        <w:trPr>
          <w:trHeight w:val="315"/>
        </w:trPr>
        <w:tc>
          <w:tcPr>
            <w:tcW w:w="960" w:type="dxa"/>
            <w:tcBorders>
              <w:top w:val="nil"/>
              <w:left w:val="nil"/>
              <w:bottom w:val="nil"/>
              <w:right w:val="nil"/>
            </w:tcBorders>
            <w:shd w:val="clear" w:color="auto" w:fill="auto"/>
            <w:noWrap/>
            <w:vAlign w:val="center"/>
            <w:hideMark/>
          </w:tcPr>
          <w:p w14:paraId="5A86FFBC" w14:textId="77777777" w:rsidR="00470C84" w:rsidRPr="00157E40" w:rsidRDefault="00470C84" w:rsidP="00470C84">
            <w:pPr>
              <w:spacing w:after="0" w:line="240" w:lineRule="auto"/>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80DAF95"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015AA45"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A31C2F4"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5210D2B9"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6A70D301"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055BB85D"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2ABC89F3"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c>
          <w:tcPr>
            <w:tcW w:w="960" w:type="dxa"/>
            <w:tcBorders>
              <w:top w:val="nil"/>
              <w:left w:val="nil"/>
              <w:bottom w:val="nil"/>
              <w:right w:val="nil"/>
            </w:tcBorders>
            <w:shd w:val="clear" w:color="auto" w:fill="auto"/>
            <w:noWrap/>
            <w:vAlign w:val="center"/>
            <w:hideMark/>
          </w:tcPr>
          <w:p w14:paraId="1E04F1AB"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p>
        </w:tc>
      </w:tr>
      <w:tr w:rsidR="00470C84" w:rsidRPr="00157E40" w14:paraId="01D2A62B" w14:textId="77777777" w:rsidTr="00470C84">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ECE63A7" w14:textId="77777777" w:rsidR="00470C84" w:rsidRPr="00157E40" w:rsidRDefault="00470C84" w:rsidP="00470C84">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Rok</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3ED1C9B8"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1961</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11347FB3"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1970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2613A010"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1980</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59F05BD4"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1991</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74FFC1EF"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2001</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12BFD993"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2007</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650A97AB"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2014</w:t>
            </w:r>
          </w:p>
        </w:tc>
        <w:tc>
          <w:tcPr>
            <w:tcW w:w="960" w:type="dxa"/>
            <w:tcBorders>
              <w:top w:val="nil"/>
              <w:left w:val="nil"/>
              <w:bottom w:val="nil"/>
              <w:right w:val="nil"/>
            </w:tcBorders>
            <w:shd w:val="clear" w:color="auto" w:fill="auto"/>
            <w:noWrap/>
            <w:vAlign w:val="bottom"/>
            <w:hideMark/>
          </w:tcPr>
          <w:p w14:paraId="62696EF5" w14:textId="77777777" w:rsidR="00470C84" w:rsidRPr="00157E40" w:rsidRDefault="00470C84" w:rsidP="00470C84">
            <w:pPr>
              <w:spacing w:after="0" w:line="240" w:lineRule="auto"/>
              <w:rPr>
                <w:rFonts w:ascii="Calibri" w:eastAsia="Times New Roman" w:hAnsi="Calibri" w:cs="Times New Roman"/>
                <w:color w:val="000000"/>
                <w:sz w:val="20"/>
                <w:szCs w:val="20"/>
                <w:lang w:eastAsia="sk-SK"/>
              </w:rPr>
            </w:pPr>
          </w:p>
        </w:tc>
      </w:tr>
      <w:tr w:rsidR="00470C84" w:rsidRPr="00157E40" w14:paraId="32795C28" w14:textId="77777777" w:rsidTr="00470C8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3D6816" w14:textId="77777777" w:rsidR="00470C84" w:rsidRPr="00157E40" w:rsidRDefault="00470C84" w:rsidP="00470C84">
            <w:pPr>
              <w:spacing w:after="0" w:line="240" w:lineRule="auto"/>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Počet obyv.</w:t>
            </w:r>
          </w:p>
        </w:tc>
        <w:tc>
          <w:tcPr>
            <w:tcW w:w="960" w:type="dxa"/>
            <w:tcBorders>
              <w:top w:val="nil"/>
              <w:left w:val="nil"/>
              <w:bottom w:val="single" w:sz="8" w:space="0" w:color="auto"/>
              <w:right w:val="single" w:sz="8" w:space="0" w:color="auto"/>
            </w:tcBorders>
            <w:shd w:val="clear" w:color="auto" w:fill="auto"/>
            <w:noWrap/>
            <w:vAlign w:val="center"/>
            <w:hideMark/>
          </w:tcPr>
          <w:p w14:paraId="13CECAC5"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4</w:t>
            </w:r>
            <w:r w:rsidRPr="00157E40">
              <w:rPr>
                <w:rFonts w:ascii="Times New Roman" w:eastAsia="Times New Roman" w:hAnsi="Times New Roman" w:cs="Times New Roman"/>
                <w:color w:val="000000"/>
                <w:sz w:val="20"/>
                <w:szCs w:val="20"/>
                <w:lang w:eastAsia="sk-SK"/>
              </w:rPr>
              <w:t xml:space="preserve"> 099</w:t>
            </w:r>
          </w:p>
        </w:tc>
        <w:tc>
          <w:tcPr>
            <w:tcW w:w="960" w:type="dxa"/>
            <w:tcBorders>
              <w:top w:val="nil"/>
              <w:left w:val="nil"/>
              <w:bottom w:val="single" w:sz="8" w:space="0" w:color="auto"/>
              <w:right w:val="single" w:sz="8" w:space="0" w:color="auto"/>
            </w:tcBorders>
            <w:shd w:val="clear" w:color="auto" w:fill="auto"/>
            <w:noWrap/>
            <w:vAlign w:val="center"/>
            <w:hideMark/>
          </w:tcPr>
          <w:p w14:paraId="7F45A991"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4</w:t>
            </w:r>
            <w:r w:rsidRPr="00157E40">
              <w:rPr>
                <w:rFonts w:ascii="Times New Roman" w:eastAsia="Times New Roman" w:hAnsi="Times New Roman" w:cs="Times New Roman"/>
                <w:color w:val="000000"/>
                <w:sz w:val="20"/>
                <w:szCs w:val="20"/>
                <w:lang w:eastAsia="sk-SK"/>
              </w:rPr>
              <w:t xml:space="preserve"> 437</w:t>
            </w:r>
          </w:p>
        </w:tc>
        <w:tc>
          <w:tcPr>
            <w:tcW w:w="960" w:type="dxa"/>
            <w:tcBorders>
              <w:top w:val="nil"/>
              <w:left w:val="nil"/>
              <w:bottom w:val="single" w:sz="8" w:space="0" w:color="auto"/>
              <w:right w:val="single" w:sz="8" w:space="0" w:color="auto"/>
            </w:tcBorders>
            <w:shd w:val="clear" w:color="auto" w:fill="auto"/>
            <w:noWrap/>
            <w:vAlign w:val="center"/>
            <w:hideMark/>
          </w:tcPr>
          <w:p w14:paraId="2E87119B"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9</w:t>
            </w:r>
            <w:r w:rsidRPr="00157E40">
              <w:rPr>
                <w:rFonts w:ascii="Times New Roman" w:eastAsia="Times New Roman" w:hAnsi="Times New Roman" w:cs="Times New Roman"/>
                <w:color w:val="000000"/>
                <w:sz w:val="20"/>
                <w:szCs w:val="20"/>
                <w:lang w:eastAsia="sk-SK"/>
              </w:rPr>
              <w:t xml:space="preserve"> 057</w:t>
            </w:r>
          </w:p>
        </w:tc>
        <w:tc>
          <w:tcPr>
            <w:tcW w:w="960" w:type="dxa"/>
            <w:tcBorders>
              <w:top w:val="nil"/>
              <w:left w:val="nil"/>
              <w:bottom w:val="single" w:sz="8" w:space="0" w:color="auto"/>
              <w:right w:val="single" w:sz="8" w:space="0" w:color="auto"/>
            </w:tcBorders>
            <w:shd w:val="clear" w:color="auto" w:fill="auto"/>
            <w:noWrap/>
            <w:vAlign w:val="center"/>
            <w:hideMark/>
          </w:tcPr>
          <w:p w14:paraId="0EBB352A"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9</w:t>
            </w:r>
            <w:r w:rsidRPr="00157E40">
              <w:rPr>
                <w:rFonts w:ascii="Times New Roman" w:eastAsia="Times New Roman" w:hAnsi="Times New Roman" w:cs="Times New Roman"/>
                <w:color w:val="000000"/>
                <w:sz w:val="20"/>
                <w:szCs w:val="20"/>
                <w:lang w:eastAsia="sk-SK"/>
              </w:rPr>
              <w:t xml:space="preserve"> 212</w:t>
            </w:r>
          </w:p>
        </w:tc>
        <w:tc>
          <w:tcPr>
            <w:tcW w:w="960" w:type="dxa"/>
            <w:tcBorders>
              <w:top w:val="nil"/>
              <w:left w:val="nil"/>
              <w:bottom w:val="single" w:sz="8" w:space="0" w:color="auto"/>
              <w:right w:val="single" w:sz="8" w:space="0" w:color="auto"/>
            </w:tcBorders>
            <w:shd w:val="clear" w:color="auto" w:fill="auto"/>
            <w:noWrap/>
            <w:vAlign w:val="center"/>
            <w:hideMark/>
          </w:tcPr>
          <w:p w14:paraId="3EF3352B"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7</w:t>
            </w:r>
            <w:r w:rsidRPr="00157E40">
              <w:rPr>
                <w:rFonts w:ascii="Times New Roman" w:eastAsia="Times New Roman" w:hAnsi="Times New Roman" w:cs="Times New Roman"/>
                <w:color w:val="000000"/>
                <w:sz w:val="20"/>
                <w:szCs w:val="20"/>
                <w:lang w:eastAsia="sk-SK"/>
              </w:rPr>
              <w:t xml:space="preserve"> 565</w:t>
            </w:r>
          </w:p>
        </w:tc>
        <w:tc>
          <w:tcPr>
            <w:tcW w:w="960" w:type="dxa"/>
            <w:tcBorders>
              <w:top w:val="nil"/>
              <w:left w:val="nil"/>
              <w:bottom w:val="single" w:sz="8" w:space="0" w:color="auto"/>
              <w:right w:val="single" w:sz="8" w:space="0" w:color="auto"/>
            </w:tcBorders>
            <w:shd w:val="clear" w:color="auto" w:fill="auto"/>
            <w:noWrap/>
            <w:vAlign w:val="center"/>
            <w:hideMark/>
          </w:tcPr>
          <w:p w14:paraId="134B9335" w14:textId="77777777" w:rsidR="00470C84" w:rsidRPr="00157E40" w:rsidRDefault="00470C84" w:rsidP="009D74A8">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w:t>
            </w:r>
            <w:r w:rsidR="009D74A8" w:rsidRPr="00157E40">
              <w:rPr>
                <w:rFonts w:ascii="Times New Roman" w:eastAsia="Times New Roman" w:hAnsi="Times New Roman" w:cs="Times New Roman"/>
                <w:color w:val="000000"/>
                <w:sz w:val="20"/>
                <w:szCs w:val="20"/>
                <w:lang w:eastAsia="sk-SK"/>
              </w:rPr>
              <w:t>6</w:t>
            </w:r>
            <w:r w:rsidRPr="00157E40">
              <w:rPr>
                <w:rFonts w:ascii="Times New Roman" w:eastAsia="Times New Roman" w:hAnsi="Times New Roman" w:cs="Times New Roman"/>
                <w:color w:val="000000"/>
                <w:sz w:val="20"/>
                <w:szCs w:val="20"/>
                <w:lang w:eastAsia="sk-SK"/>
              </w:rPr>
              <w:t xml:space="preserve"> 116</w:t>
            </w:r>
          </w:p>
        </w:tc>
        <w:tc>
          <w:tcPr>
            <w:tcW w:w="960" w:type="dxa"/>
            <w:tcBorders>
              <w:top w:val="nil"/>
              <w:left w:val="nil"/>
              <w:bottom w:val="single" w:sz="8" w:space="0" w:color="auto"/>
              <w:right w:val="single" w:sz="8" w:space="0" w:color="auto"/>
            </w:tcBorders>
            <w:shd w:val="clear" w:color="auto" w:fill="auto"/>
            <w:noWrap/>
            <w:vAlign w:val="center"/>
            <w:hideMark/>
          </w:tcPr>
          <w:p w14:paraId="555B10E6" w14:textId="77777777" w:rsidR="00470C84" w:rsidRPr="00157E40" w:rsidRDefault="00470C84" w:rsidP="00470C84">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44 325</w:t>
            </w:r>
          </w:p>
        </w:tc>
        <w:tc>
          <w:tcPr>
            <w:tcW w:w="960" w:type="dxa"/>
            <w:tcBorders>
              <w:top w:val="nil"/>
              <w:left w:val="nil"/>
              <w:bottom w:val="nil"/>
              <w:right w:val="nil"/>
            </w:tcBorders>
            <w:shd w:val="clear" w:color="auto" w:fill="auto"/>
            <w:noWrap/>
            <w:vAlign w:val="bottom"/>
            <w:hideMark/>
          </w:tcPr>
          <w:p w14:paraId="21A42DAF" w14:textId="77777777" w:rsidR="00470C84" w:rsidRPr="00157E40" w:rsidRDefault="00470C84" w:rsidP="00470C84">
            <w:pPr>
              <w:spacing w:after="0" w:line="240" w:lineRule="auto"/>
              <w:rPr>
                <w:rFonts w:ascii="Calibri" w:eastAsia="Times New Roman" w:hAnsi="Calibri" w:cs="Times New Roman"/>
                <w:color w:val="000000"/>
                <w:sz w:val="20"/>
                <w:szCs w:val="20"/>
                <w:lang w:eastAsia="sk-SK"/>
              </w:rPr>
            </w:pPr>
          </w:p>
        </w:tc>
      </w:tr>
    </w:tbl>
    <w:p w14:paraId="74D12C3E" w14:textId="77777777" w:rsidR="00470C84" w:rsidRDefault="00470C84" w:rsidP="001840BA">
      <w:pPr>
        <w:spacing w:before="120" w:after="0" w:line="360" w:lineRule="auto"/>
        <w:jc w:val="both"/>
        <w:rPr>
          <w:rFonts w:ascii="Times New Roman" w:hAnsi="Times New Roman" w:cs="Times New Roman"/>
          <w:sz w:val="24"/>
          <w:szCs w:val="24"/>
        </w:rPr>
      </w:pPr>
    </w:p>
    <w:p w14:paraId="179B2BD4" w14:textId="77777777" w:rsidR="00470C84" w:rsidRPr="007475FB" w:rsidRDefault="009F6AB4" w:rsidP="00470C84">
      <w:pPr>
        <w:keepNext/>
        <w:spacing w:before="120" w:after="0" w:line="360" w:lineRule="auto"/>
        <w:jc w:val="both"/>
        <w:rPr>
          <w:rFonts w:ascii="Times New Roman" w:hAnsi="Times New Roman" w:cs="Times New Roman"/>
          <w:b/>
          <w:sz w:val="20"/>
          <w:szCs w:val="20"/>
        </w:rPr>
      </w:pPr>
      <w:r w:rsidRPr="007475FB">
        <w:rPr>
          <w:rFonts w:ascii="Times New Roman" w:hAnsi="Times New Roman" w:cs="Times New Roman"/>
          <w:b/>
          <w:sz w:val="20"/>
          <w:szCs w:val="20"/>
        </w:rPr>
        <w:lastRenderedPageBreak/>
        <w:t xml:space="preserve">Graf </w:t>
      </w:r>
      <w:r w:rsidR="008D0D63" w:rsidRPr="007475FB">
        <w:rPr>
          <w:rFonts w:ascii="Times New Roman" w:hAnsi="Times New Roman" w:cs="Times New Roman"/>
          <w:b/>
          <w:sz w:val="20"/>
          <w:szCs w:val="20"/>
        </w:rPr>
        <w:t>3.1.3</w:t>
      </w:r>
      <w:r w:rsidRPr="007475FB">
        <w:rPr>
          <w:b/>
          <w:sz w:val="20"/>
          <w:szCs w:val="20"/>
        </w:rPr>
        <w:t xml:space="preserve"> </w:t>
      </w:r>
      <w:r w:rsidRPr="007475FB">
        <w:rPr>
          <w:rFonts w:ascii="Times New Roman" w:hAnsi="Times New Roman" w:cs="Times New Roman"/>
          <w:b/>
          <w:sz w:val="20"/>
          <w:szCs w:val="20"/>
        </w:rPr>
        <w:t>Vývoj počtu obyvateľstva v Kopaničiarskom regióne od r. 1869 do r. 2014</w:t>
      </w:r>
    </w:p>
    <w:p w14:paraId="36ED2DAC" w14:textId="77777777" w:rsidR="00470C84" w:rsidRDefault="00362E8C" w:rsidP="001840BA">
      <w:pPr>
        <w:spacing w:before="120" w:after="0" w:line="360" w:lineRule="auto"/>
        <w:jc w:val="both"/>
        <w:rPr>
          <w:rFonts w:ascii="Times New Roman" w:hAnsi="Times New Roman" w:cs="Times New Roman"/>
          <w:sz w:val="24"/>
          <w:szCs w:val="24"/>
        </w:rPr>
      </w:pPr>
      <w:r>
        <w:rPr>
          <w:noProof/>
          <w:lang w:eastAsia="sk-SK"/>
        </w:rPr>
        <w:drawing>
          <wp:inline distT="0" distB="0" distL="0" distR="0" wp14:anchorId="6646DFF0" wp14:editId="4809DEF7">
            <wp:extent cx="5029200" cy="3062288"/>
            <wp:effectExtent l="0" t="0" r="19050" b="2413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FDE82A" w14:textId="77777777" w:rsidR="00E225CE" w:rsidRPr="00E225CE" w:rsidRDefault="00B91A9B" w:rsidP="00470C8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Pri pohľade na </w:t>
      </w:r>
      <w:r w:rsidR="00E225CE" w:rsidRPr="00470C84">
        <w:rPr>
          <w:rFonts w:ascii="Times New Roman" w:hAnsi="Times New Roman" w:cs="Times New Roman"/>
          <w:sz w:val="24"/>
          <w:szCs w:val="24"/>
        </w:rPr>
        <w:t xml:space="preserve">graf  </w:t>
      </w:r>
      <w:r w:rsidR="00470C84" w:rsidRPr="00470C84">
        <w:rPr>
          <w:rFonts w:ascii="Times New Roman" w:hAnsi="Times New Roman" w:cs="Times New Roman"/>
          <w:sz w:val="24"/>
          <w:szCs w:val="24"/>
        </w:rPr>
        <w:t>3.1.3</w:t>
      </w:r>
      <w:r w:rsidR="00470C84">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môžeme registrovať základné zmeny vo vývoji obyvateľstva v regióne.  Tempo rastu obyvateľstva na celom území sa spomalilo a už od roku 1991, kedy  bol počet obyvateľov v Kopaničiarskom regióne </w:t>
      </w:r>
      <w:r w:rsidR="009D74A8" w:rsidRPr="009D74A8">
        <w:rPr>
          <w:rFonts w:ascii="Times New Roman" w:hAnsi="Times New Roman" w:cs="Times New Roman"/>
          <w:sz w:val="24"/>
          <w:szCs w:val="24"/>
        </w:rPr>
        <w:t>49 212</w:t>
      </w:r>
      <w:r w:rsidR="00E225CE" w:rsidRPr="00E225CE">
        <w:rPr>
          <w:rFonts w:ascii="Times New Roman" w:hAnsi="Times New Roman" w:cs="Times New Roman"/>
          <w:sz w:val="24"/>
          <w:szCs w:val="24"/>
        </w:rPr>
        <w:t xml:space="preserve">, sledujeme pokles obyvateľstva až po súčasný stav  </w:t>
      </w:r>
      <w:r w:rsidR="00340EB3">
        <w:rPr>
          <w:rFonts w:ascii="Times New Roman" w:hAnsi="Times New Roman" w:cs="Times New Roman"/>
          <w:sz w:val="24"/>
          <w:szCs w:val="24"/>
        </w:rPr>
        <w:t>44 325</w:t>
      </w:r>
      <w:r w:rsidR="00E225CE" w:rsidRPr="00E225CE">
        <w:rPr>
          <w:rFonts w:ascii="Times New Roman" w:hAnsi="Times New Roman" w:cs="Times New Roman"/>
          <w:sz w:val="24"/>
          <w:szCs w:val="24"/>
        </w:rPr>
        <w:t xml:space="preserve"> obyvateľov (k 31.12.20</w:t>
      </w:r>
      <w:r w:rsidR="00340EB3">
        <w:rPr>
          <w:rFonts w:ascii="Times New Roman" w:hAnsi="Times New Roman" w:cs="Times New Roman"/>
          <w:sz w:val="24"/>
          <w:szCs w:val="24"/>
        </w:rPr>
        <w:t>14</w:t>
      </w:r>
      <w:r w:rsidR="00E225CE" w:rsidRPr="00E225CE">
        <w:rPr>
          <w:rFonts w:ascii="Times New Roman" w:hAnsi="Times New Roman" w:cs="Times New Roman"/>
          <w:sz w:val="24"/>
          <w:szCs w:val="24"/>
        </w:rPr>
        <w:t xml:space="preserve">). </w:t>
      </w:r>
    </w:p>
    <w:p w14:paraId="7EC07470" w14:textId="77777777" w:rsid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F6AB4">
        <w:rPr>
          <w:rFonts w:ascii="Times New Roman" w:hAnsi="Times New Roman" w:cs="Times New Roman"/>
          <w:sz w:val="24"/>
          <w:szCs w:val="24"/>
        </w:rPr>
        <w:t xml:space="preserve">Od roku 1990 do roku 2007 </w:t>
      </w:r>
      <w:r w:rsidR="00E225CE" w:rsidRPr="00E225CE">
        <w:rPr>
          <w:rFonts w:ascii="Times New Roman" w:hAnsi="Times New Roman" w:cs="Times New Roman"/>
          <w:sz w:val="24"/>
          <w:szCs w:val="24"/>
        </w:rPr>
        <w:t xml:space="preserve">zaznamenali najväčší pokles obyvateľstva obce Jablonka – 22,07 %, Polianka –18,78 % a Rudník –13,72 %. Najnižší pokles za toto obdobie zaznamenali mestá Brezová pod Bradlom –2,38 % a Myjava –3,73 %. Nárast, aj keď len veľmi mierny, zaznamenala obec Hrachovište (0,57 %). Celkovo Kopaničiarsky región stratil za toto obdobie 6,04 % obyvateľstva. </w:t>
      </w:r>
      <w:r w:rsidR="009F6AB4">
        <w:rPr>
          <w:rFonts w:ascii="Times New Roman" w:hAnsi="Times New Roman" w:cs="Times New Roman"/>
          <w:sz w:val="24"/>
          <w:szCs w:val="24"/>
        </w:rPr>
        <w:t>Od roku 2007 počet obyvateľov mierne stúpol.</w:t>
      </w:r>
    </w:p>
    <w:p w14:paraId="383FDD15" w14:textId="77777777" w:rsidR="007475FB" w:rsidRPr="00E225CE" w:rsidRDefault="007475FB" w:rsidP="00B91A9B">
      <w:pPr>
        <w:spacing w:after="0" w:line="360" w:lineRule="auto"/>
        <w:jc w:val="both"/>
        <w:rPr>
          <w:rFonts w:ascii="Times New Roman" w:hAnsi="Times New Roman" w:cs="Times New Roman"/>
          <w:sz w:val="24"/>
          <w:szCs w:val="24"/>
        </w:rPr>
      </w:pPr>
    </w:p>
    <w:p w14:paraId="051133CB" w14:textId="77777777" w:rsidR="00E225CE" w:rsidRPr="002106DB" w:rsidRDefault="00E225CE" w:rsidP="00157E40">
      <w:pPr>
        <w:spacing w:after="0" w:line="360" w:lineRule="auto"/>
        <w:rPr>
          <w:rFonts w:ascii="Times New Roman" w:hAnsi="Times New Roman" w:cs="Times New Roman"/>
          <w:b/>
          <w:i/>
          <w:sz w:val="24"/>
          <w:szCs w:val="24"/>
        </w:rPr>
      </w:pPr>
      <w:r w:rsidRPr="002106DB">
        <w:rPr>
          <w:rFonts w:ascii="Times New Roman" w:hAnsi="Times New Roman" w:cs="Times New Roman"/>
          <w:b/>
          <w:i/>
          <w:sz w:val="24"/>
          <w:szCs w:val="24"/>
        </w:rPr>
        <w:t>Štruktúra populácie územia podľa produktívnosti a ekonomickej aktivity</w:t>
      </w:r>
    </w:p>
    <w:p w14:paraId="7FFC98F5" w14:textId="77777777" w:rsidR="00E225CE" w:rsidRDefault="00B91A9B" w:rsidP="00B91A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Starnutie obyvateľstva Kopaničiarskeho regiónu dokazuje aj štruktúra obyvateľstva podľa produktívnosti, keď k 31.12.20</w:t>
      </w:r>
      <w:r w:rsidR="00340EB3">
        <w:rPr>
          <w:rFonts w:ascii="Times New Roman" w:hAnsi="Times New Roman" w:cs="Times New Roman"/>
          <w:sz w:val="24"/>
          <w:szCs w:val="24"/>
        </w:rPr>
        <w:t>14</w:t>
      </w:r>
      <w:r w:rsidR="00E225CE" w:rsidRPr="00E225CE">
        <w:rPr>
          <w:rFonts w:ascii="Times New Roman" w:hAnsi="Times New Roman" w:cs="Times New Roman"/>
          <w:sz w:val="24"/>
          <w:szCs w:val="24"/>
        </w:rPr>
        <w:t xml:space="preserve"> patrilo ku kategórii predproduktívneho veku iba 12,</w:t>
      </w:r>
      <w:r w:rsidR="00340EB3">
        <w:rPr>
          <w:rFonts w:ascii="Times New Roman" w:hAnsi="Times New Roman" w:cs="Times New Roman"/>
          <w:sz w:val="24"/>
          <w:szCs w:val="24"/>
        </w:rPr>
        <w:t>26</w:t>
      </w:r>
      <w:r w:rsidR="00E225CE" w:rsidRPr="00E225CE">
        <w:rPr>
          <w:rFonts w:ascii="Times New Roman" w:hAnsi="Times New Roman" w:cs="Times New Roman"/>
          <w:sz w:val="24"/>
          <w:szCs w:val="24"/>
        </w:rPr>
        <w:t xml:space="preserve"> % obyvateľstva regiónu, do kategórie produktívneho obyvateľstva </w:t>
      </w:r>
      <w:r w:rsidR="00340EB3">
        <w:rPr>
          <w:rFonts w:ascii="Times New Roman" w:hAnsi="Times New Roman" w:cs="Times New Roman"/>
          <w:sz w:val="24"/>
          <w:szCs w:val="24"/>
        </w:rPr>
        <w:t>70,36</w:t>
      </w:r>
      <w:r w:rsidR="00E225CE" w:rsidRPr="00E225CE">
        <w:rPr>
          <w:rFonts w:ascii="Times New Roman" w:hAnsi="Times New Roman" w:cs="Times New Roman"/>
          <w:sz w:val="24"/>
          <w:szCs w:val="24"/>
        </w:rPr>
        <w:t xml:space="preserve"> % a do kategórie poproduktívnych </w:t>
      </w:r>
      <w:r w:rsidR="00340EB3">
        <w:rPr>
          <w:rFonts w:ascii="Times New Roman" w:hAnsi="Times New Roman" w:cs="Times New Roman"/>
          <w:sz w:val="24"/>
          <w:szCs w:val="24"/>
        </w:rPr>
        <w:t>17,38</w:t>
      </w:r>
      <w:r w:rsidR="00E225CE" w:rsidRPr="00E225CE">
        <w:rPr>
          <w:rFonts w:ascii="Times New Roman" w:hAnsi="Times New Roman" w:cs="Times New Roman"/>
          <w:sz w:val="24"/>
          <w:szCs w:val="24"/>
        </w:rPr>
        <w:t xml:space="preserve"> % obyvateľstva regiónu. Výraznejšie rozdiely možno sledovať medzi touto štruktúrou pri porovnaní mužov a žien, kde obyvateľstvo v produktívnom veku u mužov dosahuje 7</w:t>
      </w:r>
      <w:r w:rsidR="006B7AF4">
        <w:rPr>
          <w:rFonts w:ascii="Times New Roman" w:hAnsi="Times New Roman" w:cs="Times New Roman"/>
          <w:sz w:val="24"/>
          <w:szCs w:val="24"/>
        </w:rPr>
        <w:t>3,02</w:t>
      </w:r>
      <w:r w:rsidR="00E225CE" w:rsidRPr="00E225CE">
        <w:rPr>
          <w:rFonts w:ascii="Times New Roman" w:hAnsi="Times New Roman" w:cs="Times New Roman"/>
          <w:sz w:val="24"/>
          <w:szCs w:val="24"/>
        </w:rPr>
        <w:t xml:space="preserve"> % a u žien </w:t>
      </w:r>
      <w:r w:rsidR="006B7AF4">
        <w:rPr>
          <w:rFonts w:ascii="Times New Roman" w:hAnsi="Times New Roman" w:cs="Times New Roman"/>
          <w:sz w:val="24"/>
          <w:szCs w:val="24"/>
        </w:rPr>
        <w:t>67,81</w:t>
      </w:r>
      <w:r w:rsidR="00E225CE" w:rsidRPr="00E225CE">
        <w:rPr>
          <w:rFonts w:ascii="Times New Roman" w:hAnsi="Times New Roman" w:cs="Times New Roman"/>
          <w:sz w:val="24"/>
          <w:szCs w:val="24"/>
        </w:rPr>
        <w:t xml:space="preserve"> % a v poproduktívnom veku u mužov 1</w:t>
      </w:r>
      <w:r w:rsidR="006B7AF4">
        <w:rPr>
          <w:rFonts w:ascii="Times New Roman" w:hAnsi="Times New Roman" w:cs="Times New Roman"/>
          <w:sz w:val="24"/>
          <w:szCs w:val="24"/>
        </w:rPr>
        <w:t>4</w:t>
      </w:r>
      <w:r w:rsidR="00E225CE" w:rsidRPr="00E225CE">
        <w:rPr>
          <w:rFonts w:ascii="Times New Roman" w:hAnsi="Times New Roman" w:cs="Times New Roman"/>
          <w:sz w:val="24"/>
          <w:szCs w:val="24"/>
        </w:rPr>
        <w:t xml:space="preserve">,33 % a u žien </w:t>
      </w:r>
      <w:r w:rsidR="006B7AF4">
        <w:rPr>
          <w:rFonts w:ascii="Times New Roman" w:hAnsi="Times New Roman" w:cs="Times New Roman"/>
          <w:sz w:val="24"/>
          <w:szCs w:val="24"/>
        </w:rPr>
        <w:t>20,30</w:t>
      </w:r>
      <w:r w:rsidR="00E225CE" w:rsidRPr="00E225CE">
        <w:rPr>
          <w:rFonts w:ascii="Times New Roman" w:hAnsi="Times New Roman" w:cs="Times New Roman"/>
          <w:sz w:val="24"/>
          <w:szCs w:val="24"/>
        </w:rPr>
        <w:t xml:space="preserve"> %, čo znázorňuje </w:t>
      </w:r>
      <w:r w:rsidR="00E225CE" w:rsidRPr="006B7AF4">
        <w:rPr>
          <w:rFonts w:ascii="Times New Roman" w:hAnsi="Times New Roman" w:cs="Times New Roman"/>
          <w:sz w:val="24"/>
          <w:szCs w:val="24"/>
        </w:rPr>
        <w:t>tabuľka č.</w:t>
      </w:r>
      <w:r w:rsidR="006B7AF4">
        <w:rPr>
          <w:rFonts w:ascii="Times New Roman" w:hAnsi="Times New Roman" w:cs="Times New Roman"/>
          <w:sz w:val="24"/>
          <w:szCs w:val="24"/>
        </w:rPr>
        <w:t xml:space="preserve"> 3.1.5</w:t>
      </w:r>
      <w:r w:rsidR="00E225CE" w:rsidRPr="006B7AF4">
        <w:rPr>
          <w:rFonts w:ascii="Times New Roman" w:hAnsi="Times New Roman" w:cs="Times New Roman"/>
          <w:sz w:val="24"/>
          <w:szCs w:val="24"/>
        </w:rPr>
        <w:t>.</w:t>
      </w:r>
      <w:r w:rsidR="00E225CE" w:rsidRPr="00E225CE">
        <w:rPr>
          <w:rFonts w:ascii="Times New Roman" w:hAnsi="Times New Roman" w:cs="Times New Roman"/>
          <w:sz w:val="24"/>
          <w:szCs w:val="24"/>
        </w:rPr>
        <w:t xml:space="preserve"> Isté diferencie možno pozorovať aj v rámci regiónu. Najnižší podiel obyvateľstva v predproduktívnom veku (0-14 r.) má obec Podkylava – iba 7,</w:t>
      </w:r>
      <w:r w:rsidR="00340EB3">
        <w:rPr>
          <w:rFonts w:ascii="Times New Roman" w:hAnsi="Times New Roman" w:cs="Times New Roman"/>
          <w:sz w:val="24"/>
          <w:szCs w:val="24"/>
        </w:rPr>
        <w:t>96</w:t>
      </w:r>
      <w:r w:rsidR="00E225CE" w:rsidRPr="00E225CE">
        <w:rPr>
          <w:rFonts w:ascii="Times New Roman" w:hAnsi="Times New Roman" w:cs="Times New Roman"/>
          <w:sz w:val="24"/>
          <w:szCs w:val="24"/>
        </w:rPr>
        <w:t xml:space="preserve"> %, najvyšší obce Hrachovište </w:t>
      </w:r>
      <w:r w:rsidR="00340EB3">
        <w:rPr>
          <w:rFonts w:ascii="Times New Roman" w:hAnsi="Times New Roman" w:cs="Times New Roman"/>
          <w:sz w:val="24"/>
          <w:szCs w:val="24"/>
        </w:rPr>
        <w:t>17,22</w:t>
      </w:r>
      <w:r w:rsidR="00E225CE" w:rsidRPr="00E225CE">
        <w:rPr>
          <w:rFonts w:ascii="Times New Roman" w:hAnsi="Times New Roman" w:cs="Times New Roman"/>
          <w:sz w:val="24"/>
          <w:szCs w:val="24"/>
        </w:rPr>
        <w:t xml:space="preserve"> % a </w:t>
      </w:r>
      <w:r w:rsidR="00340EB3">
        <w:rPr>
          <w:rFonts w:ascii="Times New Roman" w:hAnsi="Times New Roman" w:cs="Times New Roman"/>
          <w:sz w:val="24"/>
          <w:szCs w:val="24"/>
        </w:rPr>
        <w:t>Kostolné</w:t>
      </w:r>
      <w:r w:rsidR="00340EB3"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15,</w:t>
      </w:r>
      <w:r w:rsidR="00340EB3">
        <w:rPr>
          <w:rFonts w:ascii="Times New Roman" w:hAnsi="Times New Roman" w:cs="Times New Roman"/>
          <w:sz w:val="24"/>
          <w:szCs w:val="24"/>
        </w:rPr>
        <w:t>3</w:t>
      </w:r>
      <w:r w:rsidR="00E225CE" w:rsidRPr="00E225CE">
        <w:rPr>
          <w:rFonts w:ascii="Times New Roman" w:hAnsi="Times New Roman" w:cs="Times New Roman"/>
          <w:sz w:val="24"/>
          <w:szCs w:val="24"/>
        </w:rPr>
        <w:t xml:space="preserve">1 %. </w:t>
      </w:r>
      <w:r w:rsidR="00E225CE" w:rsidRPr="00E225CE">
        <w:rPr>
          <w:rFonts w:ascii="Times New Roman" w:hAnsi="Times New Roman" w:cs="Times New Roman"/>
          <w:sz w:val="24"/>
          <w:szCs w:val="24"/>
        </w:rPr>
        <w:lastRenderedPageBreak/>
        <w:t>Je to dané tak polohou obcí a ich dostupnosťou, ako aj náboženskou štruktúrou obyvateľstva. Najpočetnejšiu produktívnu zložku obyvateľstva (muži 15-59, ženy 15-54 r.) m</w:t>
      </w:r>
      <w:r w:rsidR="00340EB3">
        <w:rPr>
          <w:rFonts w:ascii="Times New Roman" w:hAnsi="Times New Roman" w:cs="Times New Roman"/>
          <w:sz w:val="24"/>
          <w:szCs w:val="24"/>
        </w:rPr>
        <w:t>á mesto</w:t>
      </w:r>
      <w:r w:rsidR="00E225CE" w:rsidRPr="00E225CE">
        <w:rPr>
          <w:rFonts w:ascii="Times New Roman" w:hAnsi="Times New Roman" w:cs="Times New Roman"/>
          <w:sz w:val="24"/>
          <w:szCs w:val="24"/>
        </w:rPr>
        <w:t xml:space="preserve"> Brezová pod Bradlom </w:t>
      </w:r>
      <w:r w:rsidR="00340EB3">
        <w:rPr>
          <w:rFonts w:ascii="Times New Roman" w:hAnsi="Times New Roman" w:cs="Times New Roman"/>
          <w:sz w:val="24"/>
          <w:szCs w:val="24"/>
        </w:rPr>
        <w:t>74,04</w:t>
      </w:r>
      <w:r w:rsidR="00E225CE" w:rsidRPr="00E225CE">
        <w:rPr>
          <w:rFonts w:ascii="Times New Roman" w:hAnsi="Times New Roman" w:cs="Times New Roman"/>
          <w:sz w:val="24"/>
          <w:szCs w:val="24"/>
        </w:rPr>
        <w:t xml:space="preserve"> %</w:t>
      </w:r>
      <w:r w:rsidR="00340EB3">
        <w:rPr>
          <w:rFonts w:ascii="Times New Roman" w:hAnsi="Times New Roman" w:cs="Times New Roman"/>
          <w:sz w:val="24"/>
          <w:szCs w:val="24"/>
        </w:rPr>
        <w:t xml:space="preserve"> a obce Poriadie 73,19% a Prašník </w:t>
      </w:r>
      <w:r w:rsidR="00C50C31">
        <w:rPr>
          <w:rFonts w:ascii="Times New Roman" w:hAnsi="Times New Roman" w:cs="Times New Roman"/>
          <w:sz w:val="24"/>
          <w:szCs w:val="24"/>
        </w:rPr>
        <w:t xml:space="preserve">72,72%. </w:t>
      </w:r>
      <w:r w:rsidR="00E225CE" w:rsidRPr="00E225CE">
        <w:rPr>
          <w:rFonts w:ascii="Times New Roman" w:hAnsi="Times New Roman" w:cs="Times New Roman"/>
          <w:sz w:val="24"/>
          <w:szCs w:val="24"/>
        </w:rPr>
        <w:t xml:space="preserve"> </w:t>
      </w:r>
      <w:r w:rsidR="00C50C31">
        <w:rPr>
          <w:rFonts w:ascii="Times New Roman" w:hAnsi="Times New Roman" w:cs="Times New Roman"/>
          <w:sz w:val="24"/>
          <w:szCs w:val="24"/>
        </w:rPr>
        <w:t>Vyššie uvedené mesto a obce majú aj najnižší podiel poproduktívneho obyvateľstva (muži 60+, ženy 55+)</w:t>
      </w:r>
      <w:r w:rsidR="00E225CE" w:rsidRPr="00E225CE">
        <w:rPr>
          <w:rFonts w:ascii="Times New Roman" w:hAnsi="Times New Roman" w:cs="Times New Roman"/>
          <w:sz w:val="24"/>
          <w:szCs w:val="24"/>
        </w:rPr>
        <w:t>. Naopak, najvyšší podiel dosahujú obce Hrašné (</w:t>
      </w:r>
      <w:r w:rsidR="00C50C31">
        <w:rPr>
          <w:rFonts w:ascii="Times New Roman" w:hAnsi="Times New Roman" w:cs="Times New Roman"/>
          <w:sz w:val="24"/>
          <w:szCs w:val="24"/>
        </w:rPr>
        <w:t>25,98</w:t>
      </w:r>
      <w:r w:rsidR="006B7AF4">
        <w:rPr>
          <w:rFonts w:ascii="Times New Roman" w:hAnsi="Times New Roman" w:cs="Times New Roman"/>
          <w:sz w:val="24"/>
          <w:szCs w:val="24"/>
        </w:rPr>
        <w:t xml:space="preserve"> </w:t>
      </w:r>
      <w:r w:rsidR="00E225CE" w:rsidRPr="00E225CE">
        <w:rPr>
          <w:rFonts w:ascii="Times New Roman" w:hAnsi="Times New Roman" w:cs="Times New Roman"/>
          <w:sz w:val="24"/>
          <w:szCs w:val="24"/>
        </w:rPr>
        <w:t>%) a Podkylava (</w:t>
      </w:r>
      <w:r w:rsidR="00C50C31">
        <w:rPr>
          <w:rFonts w:ascii="Times New Roman" w:hAnsi="Times New Roman" w:cs="Times New Roman"/>
          <w:sz w:val="24"/>
          <w:szCs w:val="24"/>
        </w:rPr>
        <w:t>25,66</w:t>
      </w:r>
      <w:r w:rsidR="00E225CE" w:rsidRPr="00E225CE">
        <w:rPr>
          <w:rFonts w:ascii="Times New Roman" w:hAnsi="Times New Roman" w:cs="Times New Roman"/>
          <w:sz w:val="24"/>
          <w:szCs w:val="24"/>
        </w:rPr>
        <w:t xml:space="preserve"> %). Štruktúru populácie Kopaničiarskeho regiónu podľa produktívnosti </w:t>
      </w:r>
      <w:r w:rsidR="009C38D1">
        <w:rPr>
          <w:rFonts w:ascii="Times New Roman" w:hAnsi="Times New Roman" w:cs="Times New Roman"/>
          <w:sz w:val="24"/>
          <w:szCs w:val="24"/>
        </w:rPr>
        <w:t xml:space="preserve">v roku </w:t>
      </w:r>
      <w:r w:rsidR="009C38D1" w:rsidRPr="006B7AF4">
        <w:rPr>
          <w:rFonts w:ascii="Times New Roman" w:hAnsi="Times New Roman" w:cs="Times New Roman"/>
          <w:sz w:val="24"/>
          <w:szCs w:val="24"/>
        </w:rPr>
        <w:t>2014</w:t>
      </w:r>
      <w:r w:rsidR="00E225CE" w:rsidRPr="006B7AF4">
        <w:rPr>
          <w:rFonts w:ascii="Times New Roman" w:hAnsi="Times New Roman" w:cs="Times New Roman"/>
          <w:sz w:val="24"/>
          <w:szCs w:val="24"/>
        </w:rPr>
        <w:t xml:space="preserve"> možno vidieť v tabuľke </w:t>
      </w:r>
      <w:r w:rsidR="006B7AF4">
        <w:rPr>
          <w:rFonts w:ascii="Times New Roman" w:hAnsi="Times New Roman" w:cs="Times New Roman"/>
          <w:sz w:val="24"/>
          <w:szCs w:val="24"/>
        </w:rPr>
        <w:t>3.1.6</w:t>
      </w:r>
      <w:r w:rsidR="009C38D1">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p>
    <w:p w14:paraId="1884E146" w14:textId="77777777" w:rsidR="00813A25" w:rsidRPr="00F1538F" w:rsidDel="009C38D1" w:rsidRDefault="006B7AF4" w:rsidP="00B91A9B">
      <w:pPr>
        <w:spacing w:after="0" w:line="360" w:lineRule="auto"/>
        <w:jc w:val="both"/>
        <w:rPr>
          <w:b/>
          <w:sz w:val="20"/>
          <w:szCs w:val="20"/>
        </w:rPr>
      </w:pPr>
      <w:r w:rsidRPr="00F1538F">
        <w:rPr>
          <w:rFonts w:ascii="Times New Roman" w:hAnsi="Times New Roman" w:cs="Times New Roman"/>
          <w:b/>
          <w:sz w:val="20"/>
          <w:szCs w:val="20"/>
        </w:rPr>
        <w:t>Tabuľka 3.1.5 Podiel mužov a žien podľa veku v roku 2014</w:t>
      </w:r>
    </w:p>
    <w:tbl>
      <w:tblPr>
        <w:tblW w:w="9529" w:type="dxa"/>
        <w:tblInd w:w="55" w:type="dxa"/>
        <w:tblCellMar>
          <w:left w:w="70" w:type="dxa"/>
          <w:right w:w="70" w:type="dxa"/>
        </w:tblCellMar>
        <w:tblLook w:val="04A0" w:firstRow="1" w:lastRow="0" w:firstColumn="1" w:lastColumn="0" w:noHBand="0" w:noVBand="1"/>
      </w:tblPr>
      <w:tblGrid>
        <w:gridCol w:w="1522"/>
        <w:gridCol w:w="903"/>
        <w:gridCol w:w="992"/>
        <w:gridCol w:w="1151"/>
        <w:gridCol w:w="992"/>
        <w:gridCol w:w="993"/>
        <w:gridCol w:w="992"/>
        <w:gridCol w:w="992"/>
        <w:gridCol w:w="992"/>
      </w:tblGrid>
      <w:tr w:rsidR="00813A25" w:rsidRPr="002A6CFD" w14:paraId="592A73CF" w14:textId="77777777" w:rsidTr="00157E40">
        <w:trPr>
          <w:trHeight w:val="315"/>
        </w:trPr>
        <w:tc>
          <w:tcPr>
            <w:tcW w:w="152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C2EE0E"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Obec</w:t>
            </w:r>
          </w:p>
        </w:tc>
        <w:tc>
          <w:tcPr>
            <w:tcW w:w="8007"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1D336EB2"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Podiel obyvateľov (%)</w:t>
            </w:r>
          </w:p>
        </w:tc>
      </w:tr>
      <w:tr w:rsidR="00813A25" w:rsidRPr="002A6CFD" w14:paraId="1B8721AC" w14:textId="77777777" w:rsidTr="00157E40">
        <w:trPr>
          <w:trHeight w:val="315"/>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4CA9C189"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c>
          <w:tcPr>
            <w:tcW w:w="189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7728FD8"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0 - 14</w:t>
            </w:r>
          </w:p>
        </w:tc>
        <w:tc>
          <w:tcPr>
            <w:tcW w:w="214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1051A99"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15 - 64</w:t>
            </w:r>
          </w:p>
        </w:tc>
        <w:tc>
          <w:tcPr>
            <w:tcW w:w="19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BDA4435"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65 +</w:t>
            </w:r>
          </w:p>
        </w:tc>
        <w:tc>
          <w:tcPr>
            <w:tcW w:w="992"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F77A35C"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Muži %</w:t>
            </w:r>
          </w:p>
        </w:tc>
        <w:tc>
          <w:tcPr>
            <w:tcW w:w="992"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BC2CEE0"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Ženy %</w:t>
            </w:r>
          </w:p>
        </w:tc>
      </w:tr>
      <w:tr w:rsidR="00813A25" w:rsidRPr="002A6CFD" w14:paraId="2D0765A0" w14:textId="77777777" w:rsidTr="00157E40">
        <w:trPr>
          <w:trHeight w:val="315"/>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2A23831A"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c>
          <w:tcPr>
            <w:tcW w:w="903" w:type="dxa"/>
            <w:tcBorders>
              <w:top w:val="nil"/>
              <w:left w:val="nil"/>
              <w:bottom w:val="single" w:sz="4" w:space="0" w:color="auto"/>
              <w:right w:val="single" w:sz="4" w:space="0" w:color="auto"/>
            </w:tcBorders>
            <w:shd w:val="clear" w:color="000000" w:fill="D9D9D9"/>
            <w:noWrap/>
            <w:vAlign w:val="bottom"/>
            <w:hideMark/>
          </w:tcPr>
          <w:p w14:paraId="2F693817"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Muži</w:t>
            </w:r>
          </w:p>
        </w:tc>
        <w:tc>
          <w:tcPr>
            <w:tcW w:w="992" w:type="dxa"/>
            <w:tcBorders>
              <w:top w:val="nil"/>
              <w:left w:val="nil"/>
              <w:bottom w:val="single" w:sz="4" w:space="0" w:color="auto"/>
              <w:right w:val="single" w:sz="4" w:space="0" w:color="auto"/>
            </w:tcBorders>
            <w:shd w:val="clear" w:color="000000" w:fill="D9D9D9"/>
            <w:noWrap/>
            <w:vAlign w:val="bottom"/>
            <w:hideMark/>
          </w:tcPr>
          <w:p w14:paraId="7299944F"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Ženy</w:t>
            </w:r>
          </w:p>
        </w:tc>
        <w:tc>
          <w:tcPr>
            <w:tcW w:w="1151" w:type="dxa"/>
            <w:tcBorders>
              <w:top w:val="nil"/>
              <w:left w:val="nil"/>
              <w:bottom w:val="single" w:sz="4" w:space="0" w:color="auto"/>
              <w:right w:val="single" w:sz="4" w:space="0" w:color="auto"/>
            </w:tcBorders>
            <w:shd w:val="clear" w:color="000000" w:fill="D9D9D9"/>
            <w:noWrap/>
            <w:vAlign w:val="bottom"/>
            <w:hideMark/>
          </w:tcPr>
          <w:p w14:paraId="08DB7F42"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Muži</w:t>
            </w:r>
          </w:p>
        </w:tc>
        <w:tc>
          <w:tcPr>
            <w:tcW w:w="992" w:type="dxa"/>
            <w:tcBorders>
              <w:top w:val="nil"/>
              <w:left w:val="nil"/>
              <w:bottom w:val="single" w:sz="4" w:space="0" w:color="auto"/>
              <w:right w:val="single" w:sz="4" w:space="0" w:color="auto"/>
            </w:tcBorders>
            <w:shd w:val="clear" w:color="000000" w:fill="D9D9D9"/>
            <w:noWrap/>
            <w:vAlign w:val="bottom"/>
            <w:hideMark/>
          </w:tcPr>
          <w:p w14:paraId="67ADB175"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Ženy</w:t>
            </w:r>
          </w:p>
        </w:tc>
        <w:tc>
          <w:tcPr>
            <w:tcW w:w="993" w:type="dxa"/>
            <w:tcBorders>
              <w:top w:val="nil"/>
              <w:left w:val="nil"/>
              <w:bottom w:val="single" w:sz="4" w:space="0" w:color="auto"/>
              <w:right w:val="single" w:sz="4" w:space="0" w:color="auto"/>
            </w:tcBorders>
            <w:shd w:val="clear" w:color="000000" w:fill="D9D9D9"/>
            <w:noWrap/>
            <w:vAlign w:val="bottom"/>
            <w:hideMark/>
          </w:tcPr>
          <w:p w14:paraId="0D7DD556"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Muži</w:t>
            </w:r>
          </w:p>
        </w:tc>
        <w:tc>
          <w:tcPr>
            <w:tcW w:w="992" w:type="dxa"/>
            <w:tcBorders>
              <w:top w:val="nil"/>
              <w:left w:val="nil"/>
              <w:bottom w:val="single" w:sz="4" w:space="0" w:color="auto"/>
              <w:right w:val="single" w:sz="4" w:space="0" w:color="auto"/>
            </w:tcBorders>
            <w:shd w:val="clear" w:color="000000" w:fill="D9D9D9"/>
            <w:noWrap/>
            <w:vAlign w:val="bottom"/>
            <w:hideMark/>
          </w:tcPr>
          <w:p w14:paraId="2F6DF313"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Ženy</w:t>
            </w:r>
          </w:p>
        </w:tc>
        <w:tc>
          <w:tcPr>
            <w:tcW w:w="992" w:type="dxa"/>
            <w:vMerge/>
            <w:tcBorders>
              <w:top w:val="nil"/>
              <w:left w:val="single" w:sz="4" w:space="0" w:color="auto"/>
              <w:bottom w:val="single" w:sz="4" w:space="0" w:color="auto"/>
              <w:right w:val="single" w:sz="4" w:space="0" w:color="auto"/>
            </w:tcBorders>
            <w:vAlign w:val="center"/>
            <w:hideMark/>
          </w:tcPr>
          <w:p w14:paraId="2812E789"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c>
          <w:tcPr>
            <w:tcW w:w="992" w:type="dxa"/>
            <w:vMerge/>
            <w:tcBorders>
              <w:top w:val="nil"/>
              <w:left w:val="single" w:sz="4" w:space="0" w:color="auto"/>
              <w:bottom w:val="single" w:sz="4" w:space="0" w:color="auto"/>
              <w:right w:val="single" w:sz="4" w:space="0" w:color="auto"/>
            </w:tcBorders>
            <w:vAlign w:val="center"/>
            <w:hideMark/>
          </w:tcPr>
          <w:p w14:paraId="78493F1E"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r>
      <w:tr w:rsidR="00813A25" w:rsidRPr="002A6CFD" w14:paraId="265E25BE"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FD26B31"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Brestovec</w:t>
            </w:r>
          </w:p>
        </w:tc>
        <w:tc>
          <w:tcPr>
            <w:tcW w:w="903" w:type="dxa"/>
            <w:tcBorders>
              <w:top w:val="nil"/>
              <w:left w:val="nil"/>
              <w:bottom w:val="single" w:sz="4" w:space="0" w:color="auto"/>
              <w:right w:val="single" w:sz="4" w:space="0" w:color="auto"/>
            </w:tcBorders>
            <w:shd w:val="clear" w:color="auto" w:fill="auto"/>
            <w:noWrap/>
            <w:vAlign w:val="bottom"/>
            <w:hideMark/>
          </w:tcPr>
          <w:p w14:paraId="1666F5E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13,58</w:t>
            </w:r>
          </w:p>
        </w:tc>
        <w:tc>
          <w:tcPr>
            <w:tcW w:w="992" w:type="dxa"/>
            <w:tcBorders>
              <w:top w:val="nil"/>
              <w:left w:val="nil"/>
              <w:bottom w:val="single" w:sz="4" w:space="0" w:color="auto"/>
              <w:right w:val="single" w:sz="4" w:space="0" w:color="auto"/>
            </w:tcBorders>
            <w:shd w:val="clear" w:color="auto" w:fill="auto"/>
            <w:noWrap/>
            <w:vAlign w:val="bottom"/>
            <w:hideMark/>
          </w:tcPr>
          <w:p w14:paraId="06F4036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12,64</w:t>
            </w:r>
          </w:p>
        </w:tc>
        <w:tc>
          <w:tcPr>
            <w:tcW w:w="1151" w:type="dxa"/>
            <w:tcBorders>
              <w:top w:val="nil"/>
              <w:left w:val="nil"/>
              <w:bottom w:val="single" w:sz="4" w:space="0" w:color="auto"/>
              <w:right w:val="single" w:sz="4" w:space="0" w:color="auto"/>
            </w:tcBorders>
            <w:shd w:val="clear" w:color="auto" w:fill="auto"/>
            <w:noWrap/>
            <w:vAlign w:val="bottom"/>
            <w:hideMark/>
          </w:tcPr>
          <w:p w14:paraId="5A3406A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68,52</w:t>
            </w:r>
          </w:p>
        </w:tc>
        <w:tc>
          <w:tcPr>
            <w:tcW w:w="992" w:type="dxa"/>
            <w:tcBorders>
              <w:top w:val="nil"/>
              <w:left w:val="nil"/>
              <w:bottom w:val="single" w:sz="4" w:space="0" w:color="auto"/>
              <w:right w:val="single" w:sz="4" w:space="0" w:color="auto"/>
            </w:tcBorders>
            <w:shd w:val="clear" w:color="auto" w:fill="auto"/>
            <w:noWrap/>
            <w:vAlign w:val="bottom"/>
            <w:hideMark/>
          </w:tcPr>
          <w:p w14:paraId="18F0D66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64,49</w:t>
            </w:r>
          </w:p>
        </w:tc>
        <w:tc>
          <w:tcPr>
            <w:tcW w:w="993" w:type="dxa"/>
            <w:tcBorders>
              <w:top w:val="nil"/>
              <w:left w:val="nil"/>
              <w:bottom w:val="single" w:sz="4" w:space="0" w:color="auto"/>
              <w:right w:val="single" w:sz="4" w:space="0" w:color="auto"/>
            </w:tcBorders>
            <w:shd w:val="clear" w:color="auto" w:fill="auto"/>
            <w:noWrap/>
            <w:vAlign w:val="bottom"/>
            <w:hideMark/>
          </w:tcPr>
          <w:p w14:paraId="6A5E89D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17,90</w:t>
            </w:r>
          </w:p>
        </w:tc>
        <w:tc>
          <w:tcPr>
            <w:tcW w:w="992" w:type="dxa"/>
            <w:tcBorders>
              <w:top w:val="nil"/>
              <w:left w:val="nil"/>
              <w:bottom w:val="single" w:sz="4" w:space="0" w:color="auto"/>
              <w:right w:val="single" w:sz="4" w:space="0" w:color="auto"/>
            </w:tcBorders>
            <w:shd w:val="clear" w:color="auto" w:fill="auto"/>
            <w:noWrap/>
            <w:vAlign w:val="bottom"/>
            <w:hideMark/>
          </w:tcPr>
          <w:p w14:paraId="47DB7F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22,88</w:t>
            </w:r>
          </w:p>
        </w:tc>
        <w:tc>
          <w:tcPr>
            <w:tcW w:w="992" w:type="dxa"/>
            <w:tcBorders>
              <w:top w:val="nil"/>
              <w:left w:val="nil"/>
              <w:bottom w:val="single" w:sz="4" w:space="0" w:color="auto"/>
              <w:right w:val="single" w:sz="4" w:space="0" w:color="auto"/>
            </w:tcBorders>
            <w:shd w:val="clear" w:color="auto" w:fill="auto"/>
            <w:noWrap/>
            <w:vAlign w:val="bottom"/>
            <w:hideMark/>
          </w:tcPr>
          <w:p w14:paraId="4AACF11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51,43</w:t>
            </w:r>
          </w:p>
        </w:tc>
        <w:tc>
          <w:tcPr>
            <w:tcW w:w="992" w:type="dxa"/>
            <w:tcBorders>
              <w:top w:val="nil"/>
              <w:left w:val="nil"/>
              <w:bottom w:val="single" w:sz="4" w:space="0" w:color="auto"/>
              <w:right w:val="single" w:sz="4" w:space="0" w:color="auto"/>
            </w:tcBorders>
            <w:shd w:val="clear" w:color="auto" w:fill="auto"/>
            <w:noWrap/>
            <w:vAlign w:val="bottom"/>
            <w:hideMark/>
          </w:tcPr>
          <w:p w14:paraId="67AB014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48,57</w:t>
            </w:r>
          </w:p>
        </w:tc>
      </w:tr>
      <w:tr w:rsidR="00813A25" w:rsidRPr="002A6CFD" w14:paraId="05CA236D"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4DAAF09"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Brezová pod Bradlom</w:t>
            </w:r>
          </w:p>
        </w:tc>
        <w:tc>
          <w:tcPr>
            <w:tcW w:w="903" w:type="dxa"/>
            <w:tcBorders>
              <w:top w:val="nil"/>
              <w:left w:val="nil"/>
              <w:bottom w:val="single" w:sz="4" w:space="0" w:color="auto"/>
              <w:right w:val="single" w:sz="4" w:space="0" w:color="auto"/>
            </w:tcBorders>
            <w:shd w:val="clear" w:color="auto" w:fill="auto"/>
            <w:noWrap/>
            <w:vAlign w:val="center"/>
            <w:hideMark/>
          </w:tcPr>
          <w:p w14:paraId="5479AAE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11,93</w:t>
            </w:r>
          </w:p>
        </w:tc>
        <w:tc>
          <w:tcPr>
            <w:tcW w:w="992" w:type="dxa"/>
            <w:tcBorders>
              <w:top w:val="nil"/>
              <w:left w:val="nil"/>
              <w:bottom w:val="single" w:sz="4" w:space="0" w:color="auto"/>
              <w:right w:val="single" w:sz="4" w:space="0" w:color="auto"/>
            </w:tcBorders>
            <w:shd w:val="clear" w:color="auto" w:fill="auto"/>
            <w:noWrap/>
            <w:vAlign w:val="center"/>
            <w:hideMark/>
          </w:tcPr>
          <w:p w14:paraId="5A9E80C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10,57</w:t>
            </w:r>
          </w:p>
        </w:tc>
        <w:tc>
          <w:tcPr>
            <w:tcW w:w="1151" w:type="dxa"/>
            <w:tcBorders>
              <w:top w:val="nil"/>
              <w:left w:val="nil"/>
              <w:bottom w:val="single" w:sz="4" w:space="0" w:color="auto"/>
              <w:right w:val="single" w:sz="4" w:space="0" w:color="auto"/>
            </w:tcBorders>
            <w:shd w:val="clear" w:color="auto" w:fill="auto"/>
            <w:noWrap/>
            <w:vAlign w:val="center"/>
            <w:hideMark/>
          </w:tcPr>
          <w:p w14:paraId="0DBF9E8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75,89</w:t>
            </w:r>
          </w:p>
        </w:tc>
        <w:tc>
          <w:tcPr>
            <w:tcW w:w="992" w:type="dxa"/>
            <w:tcBorders>
              <w:top w:val="nil"/>
              <w:left w:val="nil"/>
              <w:bottom w:val="single" w:sz="4" w:space="0" w:color="auto"/>
              <w:right w:val="single" w:sz="4" w:space="0" w:color="auto"/>
            </w:tcBorders>
            <w:shd w:val="clear" w:color="auto" w:fill="auto"/>
            <w:noWrap/>
            <w:vAlign w:val="center"/>
            <w:hideMark/>
          </w:tcPr>
          <w:p w14:paraId="0B32408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72,28</w:t>
            </w:r>
          </w:p>
        </w:tc>
        <w:tc>
          <w:tcPr>
            <w:tcW w:w="993" w:type="dxa"/>
            <w:tcBorders>
              <w:top w:val="nil"/>
              <w:left w:val="nil"/>
              <w:bottom w:val="single" w:sz="4" w:space="0" w:color="auto"/>
              <w:right w:val="single" w:sz="4" w:space="0" w:color="auto"/>
            </w:tcBorders>
            <w:shd w:val="clear" w:color="auto" w:fill="auto"/>
            <w:noWrap/>
            <w:vAlign w:val="center"/>
            <w:hideMark/>
          </w:tcPr>
          <w:p w14:paraId="21E2EC9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12,18</w:t>
            </w:r>
          </w:p>
        </w:tc>
        <w:tc>
          <w:tcPr>
            <w:tcW w:w="992" w:type="dxa"/>
            <w:tcBorders>
              <w:top w:val="nil"/>
              <w:left w:val="nil"/>
              <w:bottom w:val="single" w:sz="4" w:space="0" w:color="auto"/>
              <w:right w:val="single" w:sz="4" w:space="0" w:color="auto"/>
            </w:tcBorders>
            <w:shd w:val="clear" w:color="auto" w:fill="auto"/>
            <w:noWrap/>
            <w:vAlign w:val="center"/>
            <w:hideMark/>
          </w:tcPr>
          <w:p w14:paraId="199C0DE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17,15</w:t>
            </w:r>
          </w:p>
        </w:tc>
        <w:tc>
          <w:tcPr>
            <w:tcW w:w="992" w:type="dxa"/>
            <w:tcBorders>
              <w:top w:val="nil"/>
              <w:left w:val="nil"/>
              <w:bottom w:val="single" w:sz="4" w:space="0" w:color="auto"/>
              <w:right w:val="single" w:sz="4" w:space="0" w:color="auto"/>
            </w:tcBorders>
            <w:shd w:val="clear" w:color="auto" w:fill="auto"/>
            <w:noWrap/>
            <w:vAlign w:val="center"/>
            <w:hideMark/>
          </w:tcPr>
          <w:p w14:paraId="12CDA8E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48,66</w:t>
            </w:r>
          </w:p>
        </w:tc>
        <w:tc>
          <w:tcPr>
            <w:tcW w:w="992" w:type="dxa"/>
            <w:tcBorders>
              <w:top w:val="nil"/>
              <w:left w:val="nil"/>
              <w:bottom w:val="single" w:sz="4" w:space="0" w:color="auto"/>
              <w:right w:val="single" w:sz="4" w:space="0" w:color="auto"/>
            </w:tcBorders>
            <w:shd w:val="clear" w:color="auto" w:fill="auto"/>
            <w:noWrap/>
            <w:vAlign w:val="center"/>
            <w:hideMark/>
          </w:tcPr>
          <w:p w14:paraId="76D5DE9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51,34</w:t>
            </w:r>
          </w:p>
        </w:tc>
      </w:tr>
      <w:tr w:rsidR="00813A25" w:rsidRPr="002A6CFD" w14:paraId="0D72340E"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36BDBFC6"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Bukovec</w:t>
            </w:r>
          </w:p>
        </w:tc>
        <w:tc>
          <w:tcPr>
            <w:tcW w:w="903" w:type="dxa"/>
            <w:tcBorders>
              <w:top w:val="nil"/>
              <w:left w:val="nil"/>
              <w:bottom w:val="single" w:sz="4" w:space="0" w:color="auto"/>
              <w:right w:val="single" w:sz="4" w:space="0" w:color="auto"/>
            </w:tcBorders>
            <w:shd w:val="clear" w:color="auto" w:fill="auto"/>
            <w:noWrap/>
            <w:vAlign w:val="bottom"/>
            <w:hideMark/>
          </w:tcPr>
          <w:p w14:paraId="2872EB1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14,36</w:t>
            </w:r>
          </w:p>
        </w:tc>
        <w:tc>
          <w:tcPr>
            <w:tcW w:w="992" w:type="dxa"/>
            <w:tcBorders>
              <w:top w:val="nil"/>
              <w:left w:val="nil"/>
              <w:bottom w:val="single" w:sz="4" w:space="0" w:color="auto"/>
              <w:right w:val="single" w:sz="4" w:space="0" w:color="auto"/>
            </w:tcBorders>
            <w:shd w:val="clear" w:color="auto" w:fill="auto"/>
            <w:noWrap/>
            <w:vAlign w:val="bottom"/>
            <w:hideMark/>
          </w:tcPr>
          <w:p w14:paraId="5BB1BB3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11,95</w:t>
            </w:r>
          </w:p>
        </w:tc>
        <w:tc>
          <w:tcPr>
            <w:tcW w:w="1151" w:type="dxa"/>
            <w:tcBorders>
              <w:top w:val="nil"/>
              <w:left w:val="nil"/>
              <w:bottom w:val="single" w:sz="4" w:space="0" w:color="auto"/>
              <w:right w:val="single" w:sz="4" w:space="0" w:color="auto"/>
            </w:tcBorders>
            <w:shd w:val="clear" w:color="auto" w:fill="auto"/>
            <w:noWrap/>
            <w:vAlign w:val="bottom"/>
            <w:hideMark/>
          </w:tcPr>
          <w:p w14:paraId="4C68932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68,72</w:t>
            </w:r>
          </w:p>
        </w:tc>
        <w:tc>
          <w:tcPr>
            <w:tcW w:w="992" w:type="dxa"/>
            <w:tcBorders>
              <w:top w:val="nil"/>
              <w:left w:val="nil"/>
              <w:bottom w:val="single" w:sz="4" w:space="0" w:color="auto"/>
              <w:right w:val="single" w:sz="4" w:space="0" w:color="auto"/>
            </w:tcBorders>
            <w:shd w:val="clear" w:color="auto" w:fill="auto"/>
            <w:noWrap/>
            <w:vAlign w:val="bottom"/>
            <w:hideMark/>
          </w:tcPr>
          <w:p w14:paraId="62E265B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62,83</w:t>
            </w:r>
          </w:p>
        </w:tc>
        <w:tc>
          <w:tcPr>
            <w:tcW w:w="993" w:type="dxa"/>
            <w:tcBorders>
              <w:top w:val="nil"/>
              <w:left w:val="nil"/>
              <w:bottom w:val="single" w:sz="4" w:space="0" w:color="auto"/>
              <w:right w:val="single" w:sz="4" w:space="0" w:color="auto"/>
            </w:tcBorders>
            <w:shd w:val="clear" w:color="auto" w:fill="auto"/>
            <w:noWrap/>
            <w:vAlign w:val="bottom"/>
            <w:hideMark/>
          </w:tcPr>
          <w:p w14:paraId="2265AEF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16,92</w:t>
            </w:r>
          </w:p>
        </w:tc>
        <w:tc>
          <w:tcPr>
            <w:tcW w:w="992" w:type="dxa"/>
            <w:tcBorders>
              <w:top w:val="nil"/>
              <w:left w:val="nil"/>
              <w:bottom w:val="single" w:sz="4" w:space="0" w:color="auto"/>
              <w:right w:val="single" w:sz="4" w:space="0" w:color="auto"/>
            </w:tcBorders>
            <w:shd w:val="clear" w:color="auto" w:fill="auto"/>
            <w:noWrap/>
            <w:vAlign w:val="bottom"/>
            <w:hideMark/>
          </w:tcPr>
          <w:p w14:paraId="31F6397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25,22</w:t>
            </w:r>
          </w:p>
        </w:tc>
        <w:tc>
          <w:tcPr>
            <w:tcW w:w="992" w:type="dxa"/>
            <w:tcBorders>
              <w:top w:val="nil"/>
              <w:left w:val="nil"/>
              <w:bottom w:val="single" w:sz="4" w:space="0" w:color="auto"/>
              <w:right w:val="single" w:sz="4" w:space="0" w:color="auto"/>
            </w:tcBorders>
            <w:shd w:val="clear" w:color="auto" w:fill="auto"/>
            <w:noWrap/>
            <w:vAlign w:val="bottom"/>
            <w:hideMark/>
          </w:tcPr>
          <w:p w14:paraId="4E08184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46,32</w:t>
            </w:r>
          </w:p>
        </w:tc>
        <w:tc>
          <w:tcPr>
            <w:tcW w:w="992" w:type="dxa"/>
            <w:tcBorders>
              <w:top w:val="nil"/>
              <w:left w:val="nil"/>
              <w:bottom w:val="single" w:sz="4" w:space="0" w:color="auto"/>
              <w:right w:val="single" w:sz="4" w:space="0" w:color="auto"/>
            </w:tcBorders>
            <w:shd w:val="clear" w:color="auto" w:fill="auto"/>
            <w:noWrap/>
            <w:vAlign w:val="bottom"/>
            <w:hideMark/>
          </w:tcPr>
          <w:p w14:paraId="2798012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53,68</w:t>
            </w:r>
          </w:p>
        </w:tc>
      </w:tr>
      <w:tr w:rsidR="00813A25" w:rsidRPr="002A6CFD" w14:paraId="7086F70B"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7143B79A"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Hrašné</w:t>
            </w:r>
          </w:p>
        </w:tc>
        <w:tc>
          <w:tcPr>
            <w:tcW w:w="903" w:type="dxa"/>
            <w:tcBorders>
              <w:top w:val="nil"/>
              <w:left w:val="nil"/>
              <w:bottom w:val="single" w:sz="4" w:space="0" w:color="auto"/>
              <w:right w:val="single" w:sz="4" w:space="0" w:color="auto"/>
            </w:tcBorders>
            <w:shd w:val="clear" w:color="auto" w:fill="auto"/>
            <w:noWrap/>
            <w:vAlign w:val="bottom"/>
            <w:hideMark/>
          </w:tcPr>
          <w:p w14:paraId="4DE789D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6,43</w:t>
            </w:r>
          </w:p>
        </w:tc>
        <w:tc>
          <w:tcPr>
            <w:tcW w:w="992" w:type="dxa"/>
            <w:tcBorders>
              <w:top w:val="nil"/>
              <w:left w:val="nil"/>
              <w:bottom w:val="single" w:sz="4" w:space="0" w:color="auto"/>
              <w:right w:val="single" w:sz="4" w:space="0" w:color="auto"/>
            </w:tcBorders>
            <w:shd w:val="clear" w:color="auto" w:fill="auto"/>
            <w:noWrap/>
            <w:vAlign w:val="bottom"/>
            <w:hideMark/>
          </w:tcPr>
          <w:p w14:paraId="469F5FA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12,71</w:t>
            </w:r>
          </w:p>
        </w:tc>
        <w:tc>
          <w:tcPr>
            <w:tcW w:w="1151" w:type="dxa"/>
            <w:tcBorders>
              <w:top w:val="nil"/>
              <w:left w:val="nil"/>
              <w:bottom w:val="single" w:sz="4" w:space="0" w:color="auto"/>
              <w:right w:val="single" w:sz="4" w:space="0" w:color="auto"/>
            </w:tcBorders>
            <w:shd w:val="clear" w:color="auto" w:fill="auto"/>
            <w:noWrap/>
            <w:vAlign w:val="bottom"/>
            <w:hideMark/>
          </w:tcPr>
          <w:p w14:paraId="6B25A17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73,49</w:t>
            </w:r>
          </w:p>
        </w:tc>
        <w:tc>
          <w:tcPr>
            <w:tcW w:w="992" w:type="dxa"/>
            <w:tcBorders>
              <w:top w:val="nil"/>
              <w:left w:val="nil"/>
              <w:bottom w:val="single" w:sz="4" w:space="0" w:color="auto"/>
              <w:right w:val="single" w:sz="4" w:space="0" w:color="auto"/>
            </w:tcBorders>
            <w:shd w:val="clear" w:color="auto" w:fill="auto"/>
            <w:noWrap/>
            <w:vAlign w:val="bottom"/>
            <w:hideMark/>
          </w:tcPr>
          <w:p w14:paraId="1DB078F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55,08</w:t>
            </w:r>
          </w:p>
        </w:tc>
        <w:tc>
          <w:tcPr>
            <w:tcW w:w="993" w:type="dxa"/>
            <w:tcBorders>
              <w:top w:val="nil"/>
              <w:left w:val="nil"/>
              <w:bottom w:val="single" w:sz="4" w:space="0" w:color="auto"/>
              <w:right w:val="single" w:sz="4" w:space="0" w:color="auto"/>
            </w:tcBorders>
            <w:shd w:val="clear" w:color="auto" w:fill="auto"/>
            <w:noWrap/>
            <w:vAlign w:val="bottom"/>
            <w:hideMark/>
          </w:tcPr>
          <w:p w14:paraId="161CBB9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20,08</w:t>
            </w:r>
          </w:p>
        </w:tc>
        <w:tc>
          <w:tcPr>
            <w:tcW w:w="992" w:type="dxa"/>
            <w:tcBorders>
              <w:top w:val="nil"/>
              <w:left w:val="nil"/>
              <w:bottom w:val="single" w:sz="4" w:space="0" w:color="auto"/>
              <w:right w:val="single" w:sz="4" w:space="0" w:color="auto"/>
            </w:tcBorders>
            <w:shd w:val="clear" w:color="auto" w:fill="auto"/>
            <w:noWrap/>
            <w:vAlign w:val="bottom"/>
            <w:hideMark/>
          </w:tcPr>
          <w:p w14:paraId="6755B4B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32,20</w:t>
            </w:r>
          </w:p>
        </w:tc>
        <w:tc>
          <w:tcPr>
            <w:tcW w:w="992" w:type="dxa"/>
            <w:tcBorders>
              <w:top w:val="nil"/>
              <w:left w:val="nil"/>
              <w:bottom w:val="single" w:sz="4" w:space="0" w:color="auto"/>
              <w:right w:val="single" w:sz="4" w:space="0" w:color="auto"/>
            </w:tcBorders>
            <w:shd w:val="clear" w:color="auto" w:fill="auto"/>
            <w:noWrap/>
            <w:vAlign w:val="bottom"/>
            <w:hideMark/>
          </w:tcPr>
          <w:p w14:paraId="5E0201E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51,34</w:t>
            </w:r>
          </w:p>
        </w:tc>
        <w:tc>
          <w:tcPr>
            <w:tcW w:w="992" w:type="dxa"/>
            <w:tcBorders>
              <w:top w:val="nil"/>
              <w:left w:val="nil"/>
              <w:bottom w:val="single" w:sz="4" w:space="0" w:color="auto"/>
              <w:right w:val="single" w:sz="4" w:space="0" w:color="auto"/>
            </w:tcBorders>
            <w:shd w:val="clear" w:color="auto" w:fill="auto"/>
            <w:noWrap/>
            <w:vAlign w:val="bottom"/>
            <w:hideMark/>
          </w:tcPr>
          <w:p w14:paraId="0E0F003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48,66</w:t>
            </w:r>
          </w:p>
        </w:tc>
      </w:tr>
      <w:tr w:rsidR="00813A25" w:rsidRPr="002A6CFD" w14:paraId="522DE8AC"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4C05763"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Chvojnica</w:t>
            </w:r>
          </w:p>
        </w:tc>
        <w:tc>
          <w:tcPr>
            <w:tcW w:w="903" w:type="dxa"/>
            <w:tcBorders>
              <w:top w:val="nil"/>
              <w:left w:val="nil"/>
              <w:bottom w:val="single" w:sz="4" w:space="0" w:color="auto"/>
              <w:right w:val="single" w:sz="4" w:space="0" w:color="auto"/>
            </w:tcBorders>
            <w:shd w:val="clear" w:color="auto" w:fill="auto"/>
            <w:noWrap/>
            <w:vAlign w:val="bottom"/>
            <w:hideMark/>
          </w:tcPr>
          <w:p w14:paraId="61E5242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9,47</w:t>
            </w:r>
          </w:p>
        </w:tc>
        <w:tc>
          <w:tcPr>
            <w:tcW w:w="992" w:type="dxa"/>
            <w:tcBorders>
              <w:top w:val="nil"/>
              <w:left w:val="nil"/>
              <w:bottom w:val="single" w:sz="4" w:space="0" w:color="auto"/>
              <w:right w:val="single" w:sz="4" w:space="0" w:color="auto"/>
            </w:tcBorders>
            <w:shd w:val="clear" w:color="auto" w:fill="auto"/>
            <w:noWrap/>
            <w:vAlign w:val="bottom"/>
            <w:hideMark/>
          </w:tcPr>
          <w:p w14:paraId="2EA8553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13,99</w:t>
            </w:r>
          </w:p>
        </w:tc>
        <w:tc>
          <w:tcPr>
            <w:tcW w:w="1151" w:type="dxa"/>
            <w:tcBorders>
              <w:top w:val="nil"/>
              <w:left w:val="nil"/>
              <w:bottom w:val="single" w:sz="4" w:space="0" w:color="auto"/>
              <w:right w:val="single" w:sz="4" w:space="0" w:color="auto"/>
            </w:tcBorders>
            <w:shd w:val="clear" w:color="auto" w:fill="auto"/>
            <w:noWrap/>
            <w:vAlign w:val="bottom"/>
            <w:hideMark/>
          </w:tcPr>
          <w:p w14:paraId="0ADAEF0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72,78</w:t>
            </w:r>
          </w:p>
        </w:tc>
        <w:tc>
          <w:tcPr>
            <w:tcW w:w="992" w:type="dxa"/>
            <w:tcBorders>
              <w:top w:val="nil"/>
              <w:left w:val="nil"/>
              <w:bottom w:val="single" w:sz="4" w:space="0" w:color="auto"/>
              <w:right w:val="single" w:sz="4" w:space="0" w:color="auto"/>
            </w:tcBorders>
            <w:shd w:val="clear" w:color="auto" w:fill="auto"/>
            <w:noWrap/>
            <w:vAlign w:val="bottom"/>
            <w:hideMark/>
          </w:tcPr>
          <w:p w14:paraId="0C10F90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64,25</w:t>
            </w:r>
          </w:p>
        </w:tc>
        <w:tc>
          <w:tcPr>
            <w:tcW w:w="993" w:type="dxa"/>
            <w:tcBorders>
              <w:top w:val="nil"/>
              <w:left w:val="nil"/>
              <w:bottom w:val="single" w:sz="4" w:space="0" w:color="auto"/>
              <w:right w:val="single" w:sz="4" w:space="0" w:color="auto"/>
            </w:tcBorders>
            <w:shd w:val="clear" w:color="auto" w:fill="auto"/>
            <w:noWrap/>
            <w:vAlign w:val="bottom"/>
            <w:hideMark/>
          </w:tcPr>
          <w:p w14:paraId="022D287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17,75</w:t>
            </w:r>
          </w:p>
        </w:tc>
        <w:tc>
          <w:tcPr>
            <w:tcW w:w="992" w:type="dxa"/>
            <w:tcBorders>
              <w:top w:val="nil"/>
              <w:left w:val="nil"/>
              <w:bottom w:val="single" w:sz="4" w:space="0" w:color="auto"/>
              <w:right w:val="single" w:sz="4" w:space="0" w:color="auto"/>
            </w:tcBorders>
            <w:shd w:val="clear" w:color="auto" w:fill="auto"/>
            <w:noWrap/>
            <w:vAlign w:val="bottom"/>
            <w:hideMark/>
          </w:tcPr>
          <w:p w14:paraId="1976A1F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21,76</w:t>
            </w:r>
          </w:p>
        </w:tc>
        <w:tc>
          <w:tcPr>
            <w:tcW w:w="992" w:type="dxa"/>
            <w:tcBorders>
              <w:top w:val="nil"/>
              <w:left w:val="nil"/>
              <w:bottom w:val="single" w:sz="4" w:space="0" w:color="auto"/>
              <w:right w:val="single" w:sz="4" w:space="0" w:color="auto"/>
            </w:tcBorders>
            <w:shd w:val="clear" w:color="auto" w:fill="auto"/>
            <w:noWrap/>
            <w:vAlign w:val="bottom"/>
            <w:hideMark/>
          </w:tcPr>
          <w:p w14:paraId="773166A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46,69</w:t>
            </w:r>
          </w:p>
        </w:tc>
        <w:tc>
          <w:tcPr>
            <w:tcW w:w="992" w:type="dxa"/>
            <w:tcBorders>
              <w:top w:val="nil"/>
              <w:left w:val="nil"/>
              <w:bottom w:val="single" w:sz="4" w:space="0" w:color="auto"/>
              <w:right w:val="single" w:sz="4" w:space="0" w:color="auto"/>
            </w:tcBorders>
            <w:shd w:val="clear" w:color="auto" w:fill="auto"/>
            <w:noWrap/>
            <w:vAlign w:val="bottom"/>
            <w:hideMark/>
          </w:tcPr>
          <w:p w14:paraId="3D3C6CF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53,31</w:t>
            </w:r>
          </w:p>
        </w:tc>
      </w:tr>
      <w:tr w:rsidR="00813A25" w:rsidRPr="002A6CFD" w14:paraId="2B7D5AB2"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4643E241"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Jablonka</w:t>
            </w:r>
          </w:p>
        </w:tc>
        <w:tc>
          <w:tcPr>
            <w:tcW w:w="903" w:type="dxa"/>
            <w:tcBorders>
              <w:top w:val="nil"/>
              <w:left w:val="nil"/>
              <w:bottom w:val="single" w:sz="4" w:space="0" w:color="auto"/>
              <w:right w:val="single" w:sz="4" w:space="0" w:color="auto"/>
            </w:tcBorders>
            <w:shd w:val="clear" w:color="auto" w:fill="auto"/>
            <w:noWrap/>
            <w:vAlign w:val="bottom"/>
            <w:hideMark/>
          </w:tcPr>
          <w:p w14:paraId="354BB44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10,42</w:t>
            </w:r>
          </w:p>
        </w:tc>
        <w:tc>
          <w:tcPr>
            <w:tcW w:w="992" w:type="dxa"/>
            <w:tcBorders>
              <w:top w:val="nil"/>
              <w:left w:val="nil"/>
              <w:bottom w:val="single" w:sz="4" w:space="0" w:color="auto"/>
              <w:right w:val="single" w:sz="4" w:space="0" w:color="auto"/>
            </w:tcBorders>
            <w:shd w:val="clear" w:color="auto" w:fill="auto"/>
            <w:noWrap/>
            <w:vAlign w:val="bottom"/>
            <w:hideMark/>
          </w:tcPr>
          <w:p w14:paraId="3450BBE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11,16</w:t>
            </w:r>
          </w:p>
        </w:tc>
        <w:tc>
          <w:tcPr>
            <w:tcW w:w="1151" w:type="dxa"/>
            <w:tcBorders>
              <w:top w:val="nil"/>
              <w:left w:val="nil"/>
              <w:bottom w:val="single" w:sz="4" w:space="0" w:color="auto"/>
              <w:right w:val="single" w:sz="4" w:space="0" w:color="auto"/>
            </w:tcBorders>
            <w:shd w:val="clear" w:color="auto" w:fill="auto"/>
            <w:noWrap/>
            <w:vAlign w:val="bottom"/>
            <w:hideMark/>
          </w:tcPr>
          <w:p w14:paraId="18453CC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71,67</w:t>
            </w:r>
          </w:p>
        </w:tc>
        <w:tc>
          <w:tcPr>
            <w:tcW w:w="992" w:type="dxa"/>
            <w:tcBorders>
              <w:top w:val="nil"/>
              <w:left w:val="nil"/>
              <w:bottom w:val="single" w:sz="4" w:space="0" w:color="auto"/>
              <w:right w:val="single" w:sz="4" w:space="0" w:color="auto"/>
            </w:tcBorders>
            <w:shd w:val="clear" w:color="auto" w:fill="auto"/>
            <w:noWrap/>
            <w:vAlign w:val="bottom"/>
            <w:hideMark/>
          </w:tcPr>
          <w:p w14:paraId="333A3A9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61,98</w:t>
            </w:r>
          </w:p>
        </w:tc>
        <w:tc>
          <w:tcPr>
            <w:tcW w:w="993" w:type="dxa"/>
            <w:tcBorders>
              <w:top w:val="nil"/>
              <w:left w:val="nil"/>
              <w:bottom w:val="single" w:sz="4" w:space="0" w:color="auto"/>
              <w:right w:val="single" w:sz="4" w:space="0" w:color="auto"/>
            </w:tcBorders>
            <w:shd w:val="clear" w:color="auto" w:fill="auto"/>
            <w:noWrap/>
            <w:vAlign w:val="bottom"/>
            <w:hideMark/>
          </w:tcPr>
          <w:p w14:paraId="5BE5D26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17,92</w:t>
            </w:r>
          </w:p>
        </w:tc>
        <w:tc>
          <w:tcPr>
            <w:tcW w:w="992" w:type="dxa"/>
            <w:tcBorders>
              <w:top w:val="nil"/>
              <w:left w:val="nil"/>
              <w:bottom w:val="single" w:sz="4" w:space="0" w:color="auto"/>
              <w:right w:val="single" w:sz="4" w:space="0" w:color="auto"/>
            </w:tcBorders>
            <w:shd w:val="clear" w:color="auto" w:fill="auto"/>
            <w:noWrap/>
            <w:vAlign w:val="bottom"/>
            <w:hideMark/>
          </w:tcPr>
          <w:p w14:paraId="1AC65BD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26,86</w:t>
            </w:r>
          </w:p>
        </w:tc>
        <w:tc>
          <w:tcPr>
            <w:tcW w:w="992" w:type="dxa"/>
            <w:tcBorders>
              <w:top w:val="nil"/>
              <w:left w:val="nil"/>
              <w:bottom w:val="single" w:sz="4" w:space="0" w:color="auto"/>
              <w:right w:val="single" w:sz="4" w:space="0" w:color="auto"/>
            </w:tcBorders>
            <w:shd w:val="clear" w:color="auto" w:fill="auto"/>
            <w:noWrap/>
            <w:vAlign w:val="bottom"/>
            <w:hideMark/>
          </w:tcPr>
          <w:p w14:paraId="46BE227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49,79</w:t>
            </w:r>
          </w:p>
        </w:tc>
        <w:tc>
          <w:tcPr>
            <w:tcW w:w="992" w:type="dxa"/>
            <w:tcBorders>
              <w:top w:val="nil"/>
              <w:left w:val="nil"/>
              <w:bottom w:val="single" w:sz="4" w:space="0" w:color="auto"/>
              <w:right w:val="single" w:sz="4" w:space="0" w:color="auto"/>
            </w:tcBorders>
            <w:shd w:val="clear" w:color="auto" w:fill="auto"/>
            <w:noWrap/>
            <w:vAlign w:val="bottom"/>
            <w:hideMark/>
          </w:tcPr>
          <w:p w14:paraId="073C330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50,21</w:t>
            </w:r>
          </w:p>
        </w:tc>
      </w:tr>
      <w:tr w:rsidR="00813A25" w:rsidRPr="002A6CFD" w14:paraId="78ACA556"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30D3463"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Kostolné</w:t>
            </w:r>
          </w:p>
        </w:tc>
        <w:tc>
          <w:tcPr>
            <w:tcW w:w="903" w:type="dxa"/>
            <w:tcBorders>
              <w:top w:val="nil"/>
              <w:left w:val="nil"/>
              <w:bottom w:val="single" w:sz="4" w:space="0" w:color="auto"/>
              <w:right w:val="single" w:sz="4" w:space="0" w:color="auto"/>
            </w:tcBorders>
            <w:shd w:val="clear" w:color="auto" w:fill="auto"/>
            <w:noWrap/>
            <w:vAlign w:val="bottom"/>
            <w:hideMark/>
          </w:tcPr>
          <w:p w14:paraId="2C9F65A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14,38</w:t>
            </w:r>
          </w:p>
        </w:tc>
        <w:tc>
          <w:tcPr>
            <w:tcW w:w="992" w:type="dxa"/>
            <w:tcBorders>
              <w:top w:val="nil"/>
              <w:left w:val="nil"/>
              <w:bottom w:val="single" w:sz="4" w:space="0" w:color="auto"/>
              <w:right w:val="single" w:sz="4" w:space="0" w:color="auto"/>
            </w:tcBorders>
            <w:shd w:val="clear" w:color="auto" w:fill="auto"/>
            <w:noWrap/>
            <w:vAlign w:val="bottom"/>
            <w:hideMark/>
          </w:tcPr>
          <w:p w14:paraId="7A0B672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16,27</w:t>
            </w:r>
          </w:p>
        </w:tc>
        <w:tc>
          <w:tcPr>
            <w:tcW w:w="1151" w:type="dxa"/>
            <w:tcBorders>
              <w:top w:val="nil"/>
              <w:left w:val="nil"/>
              <w:bottom w:val="single" w:sz="4" w:space="0" w:color="auto"/>
              <w:right w:val="single" w:sz="4" w:space="0" w:color="auto"/>
            </w:tcBorders>
            <w:shd w:val="clear" w:color="auto" w:fill="auto"/>
            <w:noWrap/>
            <w:vAlign w:val="bottom"/>
            <w:hideMark/>
          </w:tcPr>
          <w:p w14:paraId="2281F9F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70,59</w:t>
            </w:r>
          </w:p>
        </w:tc>
        <w:tc>
          <w:tcPr>
            <w:tcW w:w="992" w:type="dxa"/>
            <w:tcBorders>
              <w:top w:val="nil"/>
              <w:left w:val="nil"/>
              <w:bottom w:val="single" w:sz="4" w:space="0" w:color="auto"/>
              <w:right w:val="single" w:sz="4" w:space="0" w:color="auto"/>
            </w:tcBorders>
            <w:shd w:val="clear" w:color="auto" w:fill="auto"/>
            <w:noWrap/>
            <w:vAlign w:val="bottom"/>
            <w:hideMark/>
          </w:tcPr>
          <w:p w14:paraId="6F5F8A0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57,29</w:t>
            </w:r>
          </w:p>
        </w:tc>
        <w:tc>
          <w:tcPr>
            <w:tcW w:w="993" w:type="dxa"/>
            <w:tcBorders>
              <w:top w:val="nil"/>
              <w:left w:val="nil"/>
              <w:bottom w:val="single" w:sz="4" w:space="0" w:color="auto"/>
              <w:right w:val="single" w:sz="4" w:space="0" w:color="auto"/>
            </w:tcBorders>
            <w:shd w:val="clear" w:color="auto" w:fill="auto"/>
            <w:noWrap/>
            <w:vAlign w:val="bottom"/>
            <w:hideMark/>
          </w:tcPr>
          <w:p w14:paraId="3F3E9D0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15,03</w:t>
            </w:r>
          </w:p>
        </w:tc>
        <w:tc>
          <w:tcPr>
            <w:tcW w:w="992" w:type="dxa"/>
            <w:tcBorders>
              <w:top w:val="nil"/>
              <w:left w:val="nil"/>
              <w:bottom w:val="single" w:sz="4" w:space="0" w:color="auto"/>
              <w:right w:val="single" w:sz="4" w:space="0" w:color="auto"/>
            </w:tcBorders>
            <w:shd w:val="clear" w:color="auto" w:fill="auto"/>
            <w:noWrap/>
            <w:vAlign w:val="bottom"/>
            <w:hideMark/>
          </w:tcPr>
          <w:p w14:paraId="601A42B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26,44</w:t>
            </w:r>
          </w:p>
        </w:tc>
        <w:tc>
          <w:tcPr>
            <w:tcW w:w="992" w:type="dxa"/>
            <w:tcBorders>
              <w:top w:val="nil"/>
              <w:left w:val="nil"/>
              <w:bottom w:val="single" w:sz="4" w:space="0" w:color="auto"/>
              <w:right w:val="single" w:sz="4" w:space="0" w:color="auto"/>
            </w:tcBorders>
            <w:shd w:val="clear" w:color="auto" w:fill="auto"/>
            <w:noWrap/>
            <w:vAlign w:val="bottom"/>
            <w:hideMark/>
          </w:tcPr>
          <w:p w14:paraId="6A7F7E3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50,92</w:t>
            </w:r>
          </w:p>
        </w:tc>
        <w:tc>
          <w:tcPr>
            <w:tcW w:w="992" w:type="dxa"/>
            <w:tcBorders>
              <w:top w:val="nil"/>
              <w:left w:val="nil"/>
              <w:bottom w:val="single" w:sz="4" w:space="0" w:color="auto"/>
              <w:right w:val="single" w:sz="4" w:space="0" w:color="auto"/>
            </w:tcBorders>
            <w:shd w:val="clear" w:color="auto" w:fill="auto"/>
            <w:noWrap/>
            <w:vAlign w:val="bottom"/>
            <w:hideMark/>
          </w:tcPr>
          <w:p w14:paraId="381AD6B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49,08</w:t>
            </w:r>
          </w:p>
        </w:tc>
      </w:tr>
      <w:tr w:rsidR="00813A25" w:rsidRPr="002A6CFD" w14:paraId="7FAE46AA"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124FD98B"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Košariská</w:t>
            </w:r>
          </w:p>
        </w:tc>
        <w:tc>
          <w:tcPr>
            <w:tcW w:w="903" w:type="dxa"/>
            <w:tcBorders>
              <w:top w:val="nil"/>
              <w:left w:val="nil"/>
              <w:bottom w:val="single" w:sz="4" w:space="0" w:color="auto"/>
              <w:right w:val="single" w:sz="4" w:space="0" w:color="auto"/>
            </w:tcBorders>
            <w:shd w:val="clear" w:color="auto" w:fill="auto"/>
            <w:noWrap/>
            <w:vAlign w:val="bottom"/>
            <w:hideMark/>
          </w:tcPr>
          <w:p w14:paraId="1C59625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12,79</w:t>
            </w:r>
          </w:p>
        </w:tc>
        <w:tc>
          <w:tcPr>
            <w:tcW w:w="992" w:type="dxa"/>
            <w:tcBorders>
              <w:top w:val="nil"/>
              <w:left w:val="nil"/>
              <w:bottom w:val="single" w:sz="4" w:space="0" w:color="auto"/>
              <w:right w:val="single" w:sz="4" w:space="0" w:color="auto"/>
            </w:tcBorders>
            <w:shd w:val="clear" w:color="auto" w:fill="auto"/>
            <w:noWrap/>
            <w:vAlign w:val="bottom"/>
            <w:hideMark/>
          </w:tcPr>
          <w:p w14:paraId="2C1F84D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12,50</w:t>
            </w:r>
          </w:p>
        </w:tc>
        <w:tc>
          <w:tcPr>
            <w:tcW w:w="1151" w:type="dxa"/>
            <w:tcBorders>
              <w:top w:val="nil"/>
              <w:left w:val="nil"/>
              <w:bottom w:val="single" w:sz="4" w:space="0" w:color="auto"/>
              <w:right w:val="single" w:sz="4" w:space="0" w:color="auto"/>
            </w:tcBorders>
            <w:shd w:val="clear" w:color="auto" w:fill="auto"/>
            <w:noWrap/>
            <w:vAlign w:val="bottom"/>
            <w:hideMark/>
          </w:tcPr>
          <w:p w14:paraId="5037298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69,41</w:t>
            </w:r>
          </w:p>
        </w:tc>
        <w:tc>
          <w:tcPr>
            <w:tcW w:w="992" w:type="dxa"/>
            <w:tcBorders>
              <w:top w:val="nil"/>
              <w:left w:val="nil"/>
              <w:bottom w:val="single" w:sz="4" w:space="0" w:color="auto"/>
              <w:right w:val="single" w:sz="4" w:space="0" w:color="auto"/>
            </w:tcBorders>
            <w:shd w:val="clear" w:color="auto" w:fill="auto"/>
            <w:noWrap/>
            <w:vAlign w:val="bottom"/>
            <w:hideMark/>
          </w:tcPr>
          <w:p w14:paraId="6F40230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62,50</w:t>
            </w:r>
          </w:p>
        </w:tc>
        <w:tc>
          <w:tcPr>
            <w:tcW w:w="993" w:type="dxa"/>
            <w:tcBorders>
              <w:top w:val="nil"/>
              <w:left w:val="nil"/>
              <w:bottom w:val="single" w:sz="4" w:space="0" w:color="auto"/>
              <w:right w:val="single" w:sz="4" w:space="0" w:color="auto"/>
            </w:tcBorders>
            <w:shd w:val="clear" w:color="auto" w:fill="auto"/>
            <w:noWrap/>
            <w:vAlign w:val="bottom"/>
            <w:hideMark/>
          </w:tcPr>
          <w:p w14:paraId="0A8DF78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17,81</w:t>
            </w:r>
          </w:p>
        </w:tc>
        <w:tc>
          <w:tcPr>
            <w:tcW w:w="992" w:type="dxa"/>
            <w:tcBorders>
              <w:top w:val="nil"/>
              <w:left w:val="nil"/>
              <w:bottom w:val="single" w:sz="4" w:space="0" w:color="auto"/>
              <w:right w:val="single" w:sz="4" w:space="0" w:color="auto"/>
            </w:tcBorders>
            <w:shd w:val="clear" w:color="auto" w:fill="auto"/>
            <w:noWrap/>
            <w:vAlign w:val="bottom"/>
            <w:hideMark/>
          </w:tcPr>
          <w:p w14:paraId="035EB4D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25,00</w:t>
            </w:r>
          </w:p>
        </w:tc>
        <w:tc>
          <w:tcPr>
            <w:tcW w:w="992" w:type="dxa"/>
            <w:tcBorders>
              <w:top w:val="nil"/>
              <w:left w:val="nil"/>
              <w:bottom w:val="single" w:sz="4" w:space="0" w:color="auto"/>
              <w:right w:val="single" w:sz="4" w:space="0" w:color="auto"/>
            </w:tcBorders>
            <w:shd w:val="clear" w:color="auto" w:fill="auto"/>
            <w:noWrap/>
            <w:vAlign w:val="bottom"/>
            <w:hideMark/>
          </w:tcPr>
          <w:p w14:paraId="634D578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50,34</w:t>
            </w:r>
          </w:p>
        </w:tc>
        <w:tc>
          <w:tcPr>
            <w:tcW w:w="992" w:type="dxa"/>
            <w:tcBorders>
              <w:top w:val="nil"/>
              <w:left w:val="nil"/>
              <w:bottom w:val="single" w:sz="4" w:space="0" w:color="auto"/>
              <w:right w:val="single" w:sz="4" w:space="0" w:color="auto"/>
            </w:tcBorders>
            <w:shd w:val="clear" w:color="auto" w:fill="auto"/>
            <w:noWrap/>
            <w:vAlign w:val="bottom"/>
            <w:hideMark/>
          </w:tcPr>
          <w:p w14:paraId="2924B13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49,66</w:t>
            </w:r>
          </w:p>
        </w:tc>
      </w:tr>
      <w:tr w:rsidR="00813A25" w:rsidRPr="002A6CFD" w14:paraId="00531651"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5BD9EBDB"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Krajné</w:t>
            </w:r>
          </w:p>
        </w:tc>
        <w:tc>
          <w:tcPr>
            <w:tcW w:w="903" w:type="dxa"/>
            <w:tcBorders>
              <w:top w:val="nil"/>
              <w:left w:val="nil"/>
              <w:bottom w:val="single" w:sz="4" w:space="0" w:color="auto"/>
              <w:right w:val="single" w:sz="4" w:space="0" w:color="auto"/>
            </w:tcBorders>
            <w:shd w:val="clear" w:color="auto" w:fill="auto"/>
            <w:noWrap/>
            <w:vAlign w:val="bottom"/>
            <w:hideMark/>
          </w:tcPr>
          <w:p w14:paraId="523A136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12,61</w:t>
            </w:r>
          </w:p>
        </w:tc>
        <w:tc>
          <w:tcPr>
            <w:tcW w:w="992" w:type="dxa"/>
            <w:tcBorders>
              <w:top w:val="nil"/>
              <w:left w:val="nil"/>
              <w:bottom w:val="single" w:sz="4" w:space="0" w:color="auto"/>
              <w:right w:val="single" w:sz="4" w:space="0" w:color="auto"/>
            </w:tcBorders>
            <w:shd w:val="clear" w:color="auto" w:fill="auto"/>
            <w:noWrap/>
            <w:vAlign w:val="bottom"/>
            <w:hideMark/>
          </w:tcPr>
          <w:p w14:paraId="1906AD3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11,94</w:t>
            </w:r>
          </w:p>
        </w:tc>
        <w:tc>
          <w:tcPr>
            <w:tcW w:w="1151" w:type="dxa"/>
            <w:tcBorders>
              <w:top w:val="nil"/>
              <w:left w:val="nil"/>
              <w:bottom w:val="single" w:sz="4" w:space="0" w:color="auto"/>
              <w:right w:val="single" w:sz="4" w:space="0" w:color="auto"/>
            </w:tcBorders>
            <w:shd w:val="clear" w:color="auto" w:fill="auto"/>
            <w:noWrap/>
            <w:vAlign w:val="bottom"/>
            <w:hideMark/>
          </w:tcPr>
          <w:p w14:paraId="302FA7D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73,08</w:t>
            </w:r>
          </w:p>
        </w:tc>
        <w:tc>
          <w:tcPr>
            <w:tcW w:w="992" w:type="dxa"/>
            <w:tcBorders>
              <w:top w:val="nil"/>
              <w:left w:val="nil"/>
              <w:bottom w:val="single" w:sz="4" w:space="0" w:color="auto"/>
              <w:right w:val="single" w:sz="4" w:space="0" w:color="auto"/>
            </w:tcBorders>
            <w:shd w:val="clear" w:color="auto" w:fill="auto"/>
            <w:noWrap/>
            <w:vAlign w:val="bottom"/>
            <w:hideMark/>
          </w:tcPr>
          <w:p w14:paraId="2F46B7E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64,42</w:t>
            </w:r>
          </w:p>
        </w:tc>
        <w:tc>
          <w:tcPr>
            <w:tcW w:w="993" w:type="dxa"/>
            <w:tcBorders>
              <w:top w:val="nil"/>
              <w:left w:val="nil"/>
              <w:bottom w:val="single" w:sz="4" w:space="0" w:color="auto"/>
              <w:right w:val="single" w:sz="4" w:space="0" w:color="auto"/>
            </w:tcBorders>
            <w:shd w:val="clear" w:color="auto" w:fill="auto"/>
            <w:noWrap/>
            <w:vAlign w:val="bottom"/>
            <w:hideMark/>
          </w:tcPr>
          <w:p w14:paraId="470ACA4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14,30</w:t>
            </w:r>
          </w:p>
        </w:tc>
        <w:tc>
          <w:tcPr>
            <w:tcW w:w="992" w:type="dxa"/>
            <w:tcBorders>
              <w:top w:val="nil"/>
              <w:left w:val="nil"/>
              <w:bottom w:val="single" w:sz="4" w:space="0" w:color="auto"/>
              <w:right w:val="single" w:sz="4" w:space="0" w:color="auto"/>
            </w:tcBorders>
            <w:shd w:val="clear" w:color="auto" w:fill="auto"/>
            <w:noWrap/>
            <w:vAlign w:val="bottom"/>
            <w:hideMark/>
          </w:tcPr>
          <w:p w14:paraId="03FDDA3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23,63</w:t>
            </w:r>
          </w:p>
        </w:tc>
        <w:tc>
          <w:tcPr>
            <w:tcW w:w="992" w:type="dxa"/>
            <w:tcBorders>
              <w:top w:val="nil"/>
              <w:left w:val="nil"/>
              <w:bottom w:val="single" w:sz="4" w:space="0" w:color="auto"/>
              <w:right w:val="single" w:sz="4" w:space="0" w:color="auto"/>
            </w:tcBorders>
            <w:shd w:val="clear" w:color="auto" w:fill="auto"/>
            <w:noWrap/>
            <w:vAlign w:val="bottom"/>
            <w:hideMark/>
          </w:tcPr>
          <w:p w14:paraId="3CA8FEB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49,42</w:t>
            </w:r>
          </w:p>
        </w:tc>
        <w:tc>
          <w:tcPr>
            <w:tcW w:w="992" w:type="dxa"/>
            <w:tcBorders>
              <w:top w:val="nil"/>
              <w:left w:val="nil"/>
              <w:bottom w:val="single" w:sz="4" w:space="0" w:color="auto"/>
              <w:right w:val="single" w:sz="4" w:space="0" w:color="auto"/>
            </w:tcBorders>
            <w:shd w:val="clear" w:color="auto" w:fill="auto"/>
            <w:noWrap/>
            <w:vAlign w:val="bottom"/>
            <w:hideMark/>
          </w:tcPr>
          <w:p w14:paraId="3A41908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50,58</w:t>
            </w:r>
          </w:p>
        </w:tc>
      </w:tr>
      <w:tr w:rsidR="00813A25" w:rsidRPr="002A6CFD" w14:paraId="3B1B761F"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E8BD188"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Myjava</w:t>
            </w:r>
          </w:p>
        </w:tc>
        <w:tc>
          <w:tcPr>
            <w:tcW w:w="903" w:type="dxa"/>
            <w:tcBorders>
              <w:top w:val="nil"/>
              <w:left w:val="nil"/>
              <w:bottom w:val="single" w:sz="4" w:space="0" w:color="auto"/>
              <w:right w:val="single" w:sz="4" w:space="0" w:color="auto"/>
            </w:tcBorders>
            <w:shd w:val="clear" w:color="auto" w:fill="auto"/>
            <w:noWrap/>
            <w:vAlign w:val="bottom"/>
            <w:hideMark/>
          </w:tcPr>
          <w:p w14:paraId="24F2196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12,28</w:t>
            </w:r>
          </w:p>
        </w:tc>
        <w:tc>
          <w:tcPr>
            <w:tcW w:w="992" w:type="dxa"/>
            <w:tcBorders>
              <w:top w:val="nil"/>
              <w:left w:val="nil"/>
              <w:bottom w:val="single" w:sz="4" w:space="0" w:color="auto"/>
              <w:right w:val="single" w:sz="4" w:space="0" w:color="auto"/>
            </w:tcBorders>
            <w:shd w:val="clear" w:color="auto" w:fill="auto"/>
            <w:noWrap/>
            <w:vAlign w:val="bottom"/>
            <w:hideMark/>
          </w:tcPr>
          <w:p w14:paraId="76C5B28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12,00</w:t>
            </w:r>
          </w:p>
        </w:tc>
        <w:tc>
          <w:tcPr>
            <w:tcW w:w="1151" w:type="dxa"/>
            <w:tcBorders>
              <w:top w:val="nil"/>
              <w:left w:val="nil"/>
              <w:bottom w:val="single" w:sz="4" w:space="0" w:color="auto"/>
              <w:right w:val="single" w:sz="4" w:space="0" w:color="auto"/>
            </w:tcBorders>
            <w:shd w:val="clear" w:color="auto" w:fill="auto"/>
            <w:noWrap/>
            <w:vAlign w:val="bottom"/>
            <w:hideMark/>
          </w:tcPr>
          <w:p w14:paraId="195EF23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73,52</w:t>
            </w:r>
          </w:p>
        </w:tc>
        <w:tc>
          <w:tcPr>
            <w:tcW w:w="992" w:type="dxa"/>
            <w:tcBorders>
              <w:top w:val="nil"/>
              <w:left w:val="nil"/>
              <w:bottom w:val="single" w:sz="4" w:space="0" w:color="auto"/>
              <w:right w:val="single" w:sz="4" w:space="0" w:color="auto"/>
            </w:tcBorders>
            <w:shd w:val="clear" w:color="auto" w:fill="auto"/>
            <w:noWrap/>
            <w:vAlign w:val="bottom"/>
            <w:hideMark/>
          </w:tcPr>
          <w:p w14:paraId="6A7EBD2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68,38</w:t>
            </w:r>
          </w:p>
        </w:tc>
        <w:tc>
          <w:tcPr>
            <w:tcW w:w="993" w:type="dxa"/>
            <w:tcBorders>
              <w:top w:val="nil"/>
              <w:left w:val="nil"/>
              <w:bottom w:val="single" w:sz="4" w:space="0" w:color="auto"/>
              <w:right w:val="single" w:sz="4" w:space="0" w:color="auto"/>
            </w:tcBorders>
            <w:shd w:val="clear" w:color="auto" w:fill="auto"/>
            <w:noWrap/>
            <w:vAlign w:val="bottom"/>
            <w:hideMark/>
          </w:tcPr>
          <w:p w14:paraId="1B2C9D6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14,21</w:t>
            </w:r>
          </w:p>
        </w:tc>
        <w:tc>
          <w:tcPr>
            <w:tcW w:w="992" w:type="dxa"/>
            <w:tcBorders>
              <w:top w:val="nil"/>
              <w:left w:val="nil"/>
              <w:bottom w:val="single" w:sz="4" w:space="0" w:color="auto"/>
              <w:right w:val="single" w:sz="4" w:space="0" w:color="auto"/>
            </w:tcBorders>
            <w:shd w:val="clear" w:color="auto" w:fill="auto"/>
            <w:noWrap/>
            <w:vAlign w:val="bottom"/>
            <w:hideMark/>
          </w:tcPr>
          <w:p w14:paraId="19A020E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19,62</w:t>
            </w:r>
          </w:p>
        </w:tc>
        <w:tc>
          <w:tcPr>
            <w:tcW w:w="992" w:type="dxa"/>
            <w:tcBorders>
              <w:top w:val="nil"/>
              <w:left w:val="nil"/>
              <w:bottom w:val="single" w:sz="4" w:space="0" w:color="auto"/>
              <w:right w:val="single" w:sz="4" w:space="0" w:color="auto"/>
            </w:tcBorders>
            <w:shd w:val="clear" w:color="auto" w:fill="auto"/>
            <w:noWrap/>
            <w:vAlign w:val="bottom"/>
            <w:hideMark/>
          </w:tcPr>
          <w:p w14:paraId="2F1B5AF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48,10</w:t>
            </w:r>
          </w:p>
        </w:tc>
        <w:tc>
          <w:tcPr>
            <w:tcW w:w="992" w:type="dxa"/>
            <w:tcBorders>
              <w:top w:val="nil"/>
              <w:left w:val="nil"/>
              <w:bottom w:val="single" w:sz="4" w:space="0" w:color="auto"/>
              <w:right w:val="single" w:sz="4" w:space="0" w:color="auto"/>
            </w:tcBorders>
            <w:shd w:val="clear" w:color="auto" w:fill="auto"/>
            <w:noWrap/>
            <w:vAlign w:val="bottom"/>
            <w:hideMark/>
          </w:tcPr>
          <w:p w14:paraId="477DAB2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51,90</w:t>
            </w:r>
          </w:p>
        </w:tc>
      </w:tr>
      <w:tr w:rsidR="00813A25" w:rsidRPr="002A6CFD" w14:paraId="62C18B63"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278F4846"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Podkylava</w:t>
            </w:r>
          </w:p>
        </w:tc>
        <w:tc>
          <w:tcPr>
            <w:tcW w:w="903" w:type="dxa"/>
            <w:tcBorders>
              <w:top w:val="nil"/>
              <w:left w:val="nil"/>
              <w:bottom w:val="single" w:sz="4" w:space="0" w:color="auto"/>
              <w:right w:val="single" w:sz="4" w:space="0" w:color="auto"/>
            </w:tcBorders>
            <w:shd w:val="clear" w:color="auto" w:fill="auto"/>
            <w:noWrap/>
            <w:vAlign w:val="bottom"/>
            <w:hideMark/>
          </w:tcPr>
          <w:p w14:paraId="3ED4641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7,48</w:t>
            </w:r>
          </w:p>
        </w:tc>
        <w:tc>
          <w:tcPr>
            <w:tcW w:w="992" w:type="dxa"/>
            <w:tcBorders>
              <w:top w:val="nil"/>
              <w:left w:val="nil"/>
              <w:bottom w:val="single" w:sz="4" w:space="0" w:color="auto"/>
              <w:right w:val="single" w:sz="4" w:space="0" w:color="auto"/>
            </w:tcBorders>
            <w:shd w:val="clear" w:color="auto" w:fill="auto"/>
            <w:noWrap/>
            <w:vAlign w:val="bottom"/>
            <w:hideMark/>
          </w:tcPr>
          <w:p w14:paraId="750FDAA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8,40</w:t>
            </w:r>
          </w:p>
        </w:tc>
        <w:tc>
          <w:tcPr>
            <w:tcW w:w="1151" w:type="dxa"/>
            <w:tcBorders>
              <w:top w:val="nil"/>
              <w:left w:val="nil"/>
              <w:bottom w:val="single" w:sz="4" w:space="0" w:color="auto"/>
              <w:right w:val="single" w:sz="4" w:space="0" w:color="auto"/>
            </w:tcBorders>
            <w:shd w:val="clear" w:color="auto" w:fill="auto"/>
            <w:noWrap/>
            <w:vAlign w:val="bottom"/>
            <w:hideMark/>
          </w:tcPr>
          <w:p w14:paraId="7C4544B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71,96</w:t>
            </w:r>
          </w:p>
        </w:tc>
        <w:tc>
          <w:tcPr>
            <w:tcW w:w="992" w:type="dxa"/>
            <w:tcBorders>
              <w:top w:val="nil"/>
              <w:left w:val="nil"/>
              <w:bottom w:val="single" w:sz="4" w:space="0" w:color="auto"/>
              <w:right w:val="single" w:sz="4" w:space="0" w:color="auto"/>
            </w:tcBorders>
            <w:shd w:val="clear" w:color="auto" w:fill="auto"/>
            <w:noWrap/>
            <w:vAlign w:val="bottom"/>
            <w:hideMark/>
          </w:tcPr>
          <w:p w14:paraId="086AE67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61,34</w:t>
            </w:r>
          </w:p>
        </w:tc>
        <w:tc>
          <w:tcPr>
            <w:tcW w:w="993" w:type="dxa"/>
            <w:tcBorders>
              <w:top w:val="nil"/>
              <w:left w:val="nil"/>
              <w:bottom w:val="single" w:sz="4" w:space="0" w:color="auto"/>
              <w:right w:val="single" w:sz="4" w:space="0" w:color="auto"/>
            </w:tcBorders>
            <w:shd w:val="clear" w:color="auto" w:fill="auto"/>
            <w:noWrap/>
            <w:vAlign w:val="bottom"/>
            <w:hideMark/>
          </w:tcPr>
          <w:p w14:paraId="081955E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20,56</w:t>
            </w:r>
          </w:p>
        </w:tc>
        <w:tc>
          <w:tcPr>
            <w:tcW w:w="992" w:type="dxa"/>
            <w:tcBorders>
              <w:top w:val="nil"/>
              <w:left w:val="nil"/>
              <w:bottom w:val="single" w:sz="4" w:space="0" w:color="auto"/>
              <w:right w:val="single" w:sz="4" w:space="0" w:color="auto"/>
            </w:tcBorders>
            <w:shd w:val="clear" w:color="auto" w:fill="auto"/>
            <w:noWrap/>
            <w:vAlign w:val="bottom"/>
            <w:hideMark/>
          </w:tcPr>
          <w:p w14:paraId="4F01487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30,25</w:t>
            </w:r>
          </w:p>
        </w:tc>
        <w:tc>
          <w:tcPr>
            <w:tcW w:w="992" w:type="dxa"/>
            <w:tcBorders>
              <w:top w:val="nil"/>
              <w:left w:val="nil"/>
              <w:bottom w:val="single" w:sz="4" w:space="0" w:color="auto"/>
              <w:right w:val="single" w:sz="4" w:space="0" w:color="auto"/>
            </w:tcBorders>
            <w:shd w:val="clear" w:color="auto" w:fill="auto"/>
            <w:noWrap/>
            <w:vAlign w:val="bottom"/>
            <w:hideMark/>
          </w:tcPr>
          <w:p w14:paraId="7F47183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47,35</w:t>
            </w:r>
          </w:p>
        </w:tc>
        <w:tc>
          <w:tcPr>
            <w:tcW w:w="992" w:type="dxa"/>
            <w:tcBorders>
              <w:top w:val="nil"/>
              <w:left w:val="nil"/>
              <w:bottom w:val="single" w:sz="4" w:space="0" w:color="auto"/>
              <w:right w:val="single" w:sz="4" w:space="0" w:color="auto"/>
            </w:tcBorders>
            <w:shd w:val="clear" w:color="auto" w:fill="auto"/>
            <w:noWrap/>
            <w:vAlign w:val="bottom"/>
            <w:hideMark/>
          </w:tcPr>
          <w:p w14:paraId="6578B4E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52,65</w:t>
            </w:r>
          </w:p>
        </w:tc>
      </w:tr>
      <w:tr w:rsidR="00813A25" w:rsidRPr="002A6CFD" w14:paraId="08F9DA02"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360D4402"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Polianka</w:t>
            </w:r>
          </w:p>
        </w:tc>
        <w:tc>
          <w:tcPr>
            <w:tcW w:w="903" w:type="dxa"/>
            <w:tcBorders>
              <w:top w:val="nil"/>
              <w:left w:val="nil"/>
              <w:bottom w:val="single" w:sz="4" w:space="0" w:color="auto"/>
              <w:right w:val="single" w:sz="4" w:space="0" w:color="auto"/>
            </w:tcBorders>
            <w:shd w:val="clear" w:color="auto" w:fill="auto"/>
            <w:noWrap/>
            <w:vAlign w:val="bottom"/>
            <w:hideMark/>
          </w:tcPr>
          <w:p w14:paraId="35F6E1E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13,16</w:t>
            </w:r>
          </w:p>
        </w:tc>
        <w:tc>
          <w:tcPr>
            <w:tcW w:w="992" w:type="dxa"/>
            <w:tcBorders>
              <w:top w:val="nil"/>
              <w:left w:val="nil"/>
              <w:bottom w:val="single" w:sz="4" w:space="0" w:color="auto"/>
              <w:right w:val="single" w:sz="4" w:space="0" w:color="auto"/>
            </w:tcBorders>
            <w:shd w:val="clear" w:color="auto" w:fill="auto"/>
            <w:noWrap/>
            <w:vAlign w:val="bottom"/>
            <w:hideMark/>
          </w:tcPr>
          <w:p w14:paraId="5B4571A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10,31</w:t>
            </w:r>
          </w:p>
        </w:tc>
        <w:tc>
          <w:tcPr>
            <w:tcW w:w="1151" w:type="dxa"/>
            <w:tcBorders>
              <w:top w:val="nil"/>
              <w:left w:val="nil"/>
              <w:bottom w:val="single" w:sz="4" w:space="0" w:color="auto"/>
              <w:right w:val="single" w:sz="4" w:space="0" w:color="auto"/>
            </w:tcBorders>
            <w:shd w:val="clear" w:color="auto" w:fill="auto"/>
            <w:noWrap/>
            <w:vAlign w:val="bottom"/>
            <w:hideMark/>
          </w:tcPr>
          <w:p w14:paraId="1226BF0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70,53</w:t>
            </w:r>
          </w:p>
        </w:tc>
        <w:tc>
          <w:tcPr>
            <w:tcW w:w="992" w:type="dxa"/>
            <w:tcBorders>
              <w:top w:val="nil"/>
              <w:left w:val="nil"/>
              <w:bottom w:val="single" w:sz="4" w:space="0" w:color="auto"/>
              <w:right w:val="single" w:sz="4" w:space="0" w:color="auto"/>
            </w:tcBorders>
            <w:shd w:val="clear" w:color="auto" w:fill="auto"/>
            <w:noWrap/>
            <w:vAlign w:val="bottom"/>
            <w:hideMark/>
          </w:tcPr>
          <w:p w14:paraId="737A7C4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69,59</w:t>
            </w:r>
          </w:p>
        </w:tc>
        <w:tc>
          <w:tcPr>
            <w:tcW w:w="993" w:type="dxa"/>
            <w:tcBorders>
              <w:top w:val="nil"/>
              <w:left w:val="nil"/>
              <w:bottom w:val="single" w:sz="4" w:space="0" w:color="auto"/>
              <w:right w:val="single" w:sz="4" w:space="0" w:color="auto"/>
            </w:tcBorders>
            <w:shd w:val="clear" w:color="auto" w:fill="auto"/>
            <w:noWrap/>
            <w:vAlign w:val="bottom"/>
            <w:hideMark/>
          </w:tcPr>
          <w:p w14:paraId="3CFF883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16,32</w:t>
            </w:r>
          </w:p>
        </w:tc>
        <w:tc>
          <w:tcPr>
            <w:tcW w:w="992" w:type="dxa"/>
            <w:tcBorders>
              <w:top w:val="nil"/>
              <w:left w:val="nil"/>
              <w:bottom w:val="single" w:sz="4" w:space="0" w:color="auto"/>
              <w:right w:val="single" w:sz="4" w:space="0" w:color="auto"/>
            </w:tcBorders>
            <w:shd w:val="clear" w:color="auto" w:fill="auto"/>
            <w:noWrap/>
            <w:vAlign w:val="bottom"/>
            <w:hideMark/>
          </w:tcPr>
          <w:p w14:paraId="321A662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20,10</w:t>
            </w:r>
          </w:p>
        </w:tc>
        <w:tc>
          <w:tcPr>
            <w:tcW w:w="992" w:type="dxa"/>
            <w:tcBorders>
              <w:top w:val="nil"/>
              <w:left w:val="nil"/>
              <w:bottom w:val="single" w:sz="4" w:space="0" w:color="auto"/>
              <w:right w:val="single" w:sz="4" w:space="0" w:color="auto"/>
            </w:tcBorders>
            <w:shd w:val="clear" w:color="auto" w:fill="auto"/>
            <w:noWrap/>
            <w:vAlign w:val="bottom"/>
            <w:hideMark/>
          </w:tcPr>
          <w:p w14:paraId="39CD9F6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49,48</w:t>
            </w:r>
          </w:p>
        </w:tc>
        <w:tc>
          <w:tcPr>
            <w:tcW w:w="992" w:type="dxa"/>
            <w:tcBorders>
              <w:top w:val="nil"/>
              <w:left w:val="nil"/>
              <w:bottom w:val="single" w:sz="4" w:space="0" w:color="auto"/>
              <w:right w:val="single" w:sz="4" w:space="0" w:color="auto"/>
            </w:tcBorders>
            <w:shd w:val="clear" w:color="auto" w:fill="auto"/>
            <w:noWrap/>
            <w:vAlign w:val="bottom"/>
            <w:hideMark/>
          </w:tcPr>
          <w:p w14:paraId="206976A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50,52</w:t>
            </w:r>
          </w:p>
        </w:tc>
      </w:tr>
      <w:tr w:rsidR="00813A25" w:rsidRPr="002A6CFD" w14:paraId="57C75D1D"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742D436F"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Poriadie</w:t>
            </w:r>
          </w:p>
        </w:tc>
        <w:tc>
          <w:tcPr>
            <w:tcW w:w="903" w:type="dxa"/>
            <w:tcBorders>
              <w:top w:val="nil"/>
              <w:left w:val="nil"/>
              <w:bottom w:val="single" w:sz="4" w:space="0" w:color="auto"/>
              <w:right w:val="single" w:sz="4" w:space="0" w:color="auto"/>
            </w:tcBorders>
            <w:shd w:val="clear" w:color="auto" w:fill="auto"/>
            <w:noWrap/>
            <w:vAlign w:val="bottom"/>
            <w:hideMark/>
          </w:tcPr>
          <w:p w14:paraId="0780E8D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12,22</w:t>
            </w:r>
          </w:p>
        </w:tc>
        <w:tc>
          <w:tcPr>
            <w:tcW w:w="992" w:type="dxa"/>
            <w:tcBorders>
              <w:top w:val="nil"/>
              <w:left w:val="nil"/>
              <w:bottom w:val="single" w:sz="4" w:space="0" w:color="auto"/>
              <w:right w:val="single" w:sz="4" w:space="0" w:color="auto"/>
            </w:tcBorders>
            <w:shd w:val="clear" w:color="auto" w:fill="auto"/>
            <w:noWrap/>
            <w:vAlign w:val="bottom"/>
            <w:hideMark/>
          </w:tcPr>
          <w:p w14:paraId="77707E8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10,20</w:t>
            </w:r>
          </w:p>
        </w:tc>
        <w:tc>
          <w:tcPr>
            <w:tcW w:w="1151" w:type="dxa"/>
            <w:tcBorders>
              <w:top w:val="nil"/>
              <w:left w:val="nil"/>
              <w:bottom w:val="single" w:sz="4" w:space="0" w:color="auto"/>
              <w:right w:val="single" w:sz="4" w:space="0" w:color="auto"/>
            </w:tcBorders>
            <w:shd w:val="clear" w:color="auto" w:fill="auto"/>
            <w:noWrap/>
            <w:vAlign w:val="bottom"/>
            <w:hideMark/>
          </w:tcPr>
          <w:p w14:paraId="31B3E54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73,86</w:t>
            </w:r>
          </w:p>
        </w:tc>
        <w:tc>
          <w:tcPr>
            <w:tcW w:w="992" w:type="dxa"/>
            <w:tcBorders>
              <w:top w:val="nil"/>
              <w:left w:val="nil"/>
              <w:bottom w:val="single" w:sz="4" w:space="0" w:color="auto"/>
              <w:right w:val="single" w:sz="4" w:space="0" w:color="auto"/>
            </w:tcBorders>
            <w:shd w:val="clear" w:color="auto" w:fill="auto"/>
            <w:noWrap/>
            <w:vAlign w:val="bottom"/>
            <w:hideMark/>
          </w:tcPr>
          <w:p w14:paraId="5D6EB62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72,52</w:t>
            </w:r>
          </w:p>
        </w:tc>
        <w:tc>
          <w:tcPr>
            <w:tcW w:w="993" w:type="dxa"/>
            <w:tcBorders>
              <w:top w:val="nil"/>
              <w:left w:val="nil"/>
              <w:bottom w:val="single" w:sz="4" w:space="0" w:color="auto"/>
              <w:right w:val="single" w:sz="4" w:space="0" w:color="auto"/>
            </w:tcBorders>
            <w:shd w:val="clear" w:color="auto" w:fill="auto"/>
            <w:noWrap/>
            <w:vAlign w:val="bottom"/>
            <w:hideMark/>
          </w:tcPr>
          <w:p w14:paraId="7B4F7B5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13,92</w:t>
            </w:r>
          </w:p>
        </w:tc>
        <w:tc>
          <w:tcPr>
            <w:tcW w:w="992" w:type="dxa"/>
            <w:tcBorders>
              <w:top w:val="nil"/>
              <w:left w:val="nil"/>
              <w:bottom w:val="single" w:sz="4" w:space="0" w:color="auto"/>
              <w:right w:val="single" w:sz="4" w:space="0" w:color="auto"/>
            </w:tcBorders>
            <w:shd w:val="clear" w:color="auto" w:fill="auto"/>
            <w:noWrap/>
            <w:vAlign w:val="bottom"/>
            <w:hideMark/>
          </w:tcPr>
          <w:p w14:paraId="333CA6A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17,28</w:t>
            </w:r>
          </w:p>
        </w:tc>
        <w:tc>
          <w:tcPr>
            <w:tcW w:w="992" w:type="dxa"/>
            <w:tcBorders>
              <w:top w:val="nil"/>
              <w:left w:val="nil"/>
              <w:bottom w:val="single" w:sz="4" w:space="0" w:color="auto"/>
              <w:right w:val="single" w:sz="4" w:space="0" w:color="auto"/>
            </w:tcBorders>
            <w:shd w:val="clear" w:color="auto" w:fill="auto"/>
            <w:noWrap/>
            <w:vAlign w:val="bottom"/>
            <w:hideMark/>
          </w:tcPr>
          <w:p w14:paraId="38D1547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49,93</w:t>
            </w:r>
          </w:p>
        </w:tc>
        <w:tc>
          <w:tcPr>
            <w:tcW w:w="992" w:type="dxa"/>
            <w:tcBorders>
              <w:top w:val="nil"/>
              <w:left w:val="nil"/>
              <w:bottom w:val="single" w:sz="4" w:space="0" w:color="auto"/>
              <w:right w:val="single" w:sz="4" w:space="0" w:color="auto"/>
            </w:tcBorders>
            <w:shd w:val="clear" w:color="auto" w:fill="auto"/>
            <w:noWrap/>
            <w:vAlign w:val="bottom"/>
            <w:hideMark/>
          </w:tcPr>
          <w:p w14:paraId="51A23B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50,07</w:t>
            </w:r>
          </w:p>
        </w:tc>
      </w:tr>
      <w:tr w:rsidR="00813A25" w:rsidRPr="002A6CFD" w14:paraId="220CF755"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164C061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Priepasné</w:t>
            </w:r>
          </w:p>
        </w:tc>
        <w:tc>
          <w:tcPr>
            <w:tcW w:w="903" w:type="dxa"/>
            <w:tcBorders>
              <w:top w:val="nil"/>
              <w:left w:val="nil"/>
              <w:bottom w:val="single" w:sz="4" w:space="0" w:color="auto"/>
              <w:right w:val="single" w:sz="4" w:space="0" w:color="auto"/>
            </w:tcBorders>
            <w:shd w:val="clear" w:color="auto" w:fill="auto"/>
            <w:noWrap/>
            <w:vAlign w:val="bottom"/>
            <w:hideMark/>
          </w:tcPr>
          <w:p w14:paraId="7D92710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18,13</w:t>
            </w:r>
          </w:p>
        </w:tc>
        <w:tc>
          <w:tcPr>
            <w:tcW w:w="992" w:type="dxa"/>
            <w:tcBorders>
              <w:top w:val="nil"/>
              <w:left w:val="nil"/>
              <w:bottom w:val="single" w:sz="4" w:space="0" w:color="auto"/>
              <w:right w:val="single" w:sz="4" w:space="0" w:color="auto"/>
            </w:tcBorders>
            <w:shd w:val="clear" w:color="auto" w:fill="auto"/>
            <w:noWrap/>
            <w:vAlign w:val="bottom"/>
            <w:hideMark/>
          </w:tcPr>
          <w:p w14:paraId="7607F19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11,11</w:t>
            </w:r>
          </w:p>
        </w:tc>
        <w:tc>
          <w:tcPr>
            <w:tcW w:w="1151" w:type="dxa"/>
            <w:tcBorders>
              <w:top w:val="nil"/>
              <w:left w:val="nil"/>
              <w:bottom w:val="single" w:sz="4" w:space="0" w:color="auto"/>
              <w:right w:val="single" w:sz="4" w:space="0" w:color="auto"/>
            </w:tcBorders>
            <w:shd w:val="clear" w:color="auto" w:fill="auto"/>
            <w:noWrap/>
            <w:vAlign w:val="bottom"/>
            <w:hideMark/>
          </w:tcPr>
          <w:p w14:paraId="29CCF17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68,91</w:t>
            </w:r>
          </w:p>
        </w:tc>
        <w:tc>
          <w:tcPr>
            <w:tcW w:w="992" w:type="dxa"/>
            <w:tcBorders>
              <w:top w:val="nil"/>
              <w:left w:val="nil"/>
              <w:bottom w:val="single" w:sz="4" w:space="0" w:color="auto"/>
              <w:right w:val="single" w:sz="4" w:space="0" w:color="auto"/>
            </w:tcBorders>
            <w:shd w:val="clear" w:color="auto" w:fill="auto"/>
            <w:noWrap/>
            <w:vAlign w:val="bottom"/>
            <w:hideMark/>
          </w:tcPr>
          <w:p w14:paraId="365875E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66,11</w:t>
            </w:r>
          </w:p>
        </w:tc>
        <w:tc>
          <w:tcPr>
            <w:tcW w:w="993" w:type="dxa"/>
            <w:tcBorders>
              <w:top w:val="nil"/>
              <w:left w:val="nil"/>
              <w:bottom w:val="single" w:sz="4" w:space="0" w:color="auto"/>
              <w:right w:val="single" w:sz="4" w:space="0" w:color="auto"/>
            </w:tcBorders>
            <w:shd w:val="clear" w:color="auto" w:fill="auto"/>
            <w:noWrap/>
            <w:vAlign w:val="bottom"/>
            <w:hideMark/>
          </w:tcPr>
          <w:p w14:paraId="7AB06C5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12,95</w:t>
            </w:r>
          </w:p>
        </w:tc>
        <w:tc>
          <w:tcPr>
            <w:tcW w:w="992" w:type="dxa"/>
            <w:tcBorders>
              <w:top w:val="nil"/>
              <w:left w:val="nil"/>
              <w:bottom w:val="single" w:sz="4" w:space="0" w:color="auto"/>
              <w:right w:val="single" w:sz="4" w:space="0" w:color="auto"/>
            </w:tcBorders>
            <w:shd w:val="clear" w:color="auto" w:fill="auto"/>
            <w:noWrap/>
            <w:vAlign w:val="bottom"/>
            <w:hideMark/>
          </w:tcPr>
          <w:p w14:paraId="5D3A549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22,78</w:t>
            </w:r>
          </w:p>
        </w:tc>
        <w:tc>
          <w:tcPr>
            <w:tcW w:w="992" w:type="dxa"/>
            <w:tcBorders>
              <w:top w:val="nil"/>
              <w:left w:val="nil"/>
              <w:bottom w:val="single" w:sz="4" w:space="0" w:color="auto"/>
              <w:right w:val="single" w:sz="4" w:space="0" w:color="auto"/>
            </w:tcBorders>
            <w:shd w:val="clear" w:color="auto" w:fill="auto"/>
            <w:noWrap/>
            <w:vAlign w:val="bottom"/>
            <w:hideMark/>
          </w:tcPr>
          <w:p w14:paraId="21CC549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51,74</w:t>
            </w:r>
          </w:p>
        </w:tc>
        <w:tc>
          <w:tcPr>
            <w:tcW w:w="992" w:type="dxa"/>
            <w:tcBorders>
              <w:top w:val="nil"/>
              <w:left w:val="nil"/>
              <w:bottom w:val="single" w:sz="4" w:space="0" w:color="auto"/>
              <w:right w:val="single" w:sz="4" w:space="0" w:color="auto"/>
            </w:tcBorders>
            <w:shd w:val="clear" w:color="auto" w:fill="auto"/>
            <w:noWrap/>
            <w:vAlign w:val="bottom"/>
            <w:hideMark/>
          </w:tcPr>
          <w:p w14:paraId="36D4F02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48,26</w:t>
            </w:r>
          </w:p>
        </w:tc>
      </w:tr>
      <w:tr w:rsidR="00813A25" w:rsidRPr="002A6CFD" w14:paraId="7A6D8E62"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66794D72"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Rudník</w:t>
            </w:r>
          </w:p>
        </w:tc>
        <w:tc>
          <w:tcPr>
            <w:tcW w:w="903" w:type="dxa"/>
            <w:tcBorders>
              <w:top w:val="nil"/>
              <w:left w:val="nil"/>
              <w:bottom w:val="single" w:sz="4" w:space="0" w:color="auto"/>
              <w:right w:val="single" w:sz="4" w:space="0" w:color="auto"/>
            </w:tcBorders>
            <w:shd w:val="clear" w:color="auto" w:fill="auto"/>
            <w:noWrap/>
            <w:vAlign w:val="bottom"/>
            <w:hideMark/>
          </w:tcPr>
          <w:p w14:paraId="569CF8E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17,03</w:t>
            </w:r>
          </w:p>
        </w:tc>
        <w:tc>
          <w:tcPr>
            <w:tcW w:w="992" w:type="dxa"/>
            <w:tcBorders>
              <w:top w:val="nil"/>
              <w:left w:val="nil"/>
              <w:bottom w:val="single" w:sz="4" w:space="0" w:color="auto"/>
              <w:right w:val="single" w:sz="4" w:space="0" w:color="auto"/>
            </w:tcBorders>
            <w:shd w:val="clear" w:color="auto" w:fill="auto"/>
            <w:noWrap/>
            <w:vAlign w:val="bottom"/>
            <w:hideMark/>
          </w:tcPr>
          <w:p w14:paraId="5F04FA9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12,66</w:t>
            </w:r>
          </w:p>
        </w:tc>
        <w:tc>
          <w:tcPr>
            <w:tcW w:w="1151" w:type="dxa"/>
            <w:tcBorders>
              <w:top w:val="nil"/>
              <w:left w:val="nil"/>
              <w:bottom w:val="single" w:sz="4" w:space="0" w:color="auto"/>
              <w:right w:val="single" w:sz="4" w:space="0" w:color="auto"/>
            </w:tcBorders>
            <w:shd w:val="clear" w:color="auto" w:fill="auto"/>
            <w:noWrap/>
            <w:vAlign w:val="bottom"/>
            <w:hideMark/>
          </w:tcPr>
          <w:p w14:paraId="5D0DB8A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69,10</w:t>
            </w:r>
          </w:p>
        </w:tc>
        <w:tc>
          <w:tcPr>
            <w:tcW w:w="992" w:type="dxa"/>
            <w:tcBorders>
              <w:top w:val="nil"/>
              <w:left w:val="nil"/>
              <w:bottom w:val="single" w:sz="4" w:space="0" w:color="auto"/>
              <w:right w:val="single" w:sz="4" w:space="0" w:color="auto"/>
            </w:tcBorders>
            <w:shd w:val="clear" w:color="auto" w:fill="auto"/>
            <w:noWrap/>
            <w:vAlign w:val="bottom"/>
            <w:hideMark/>
          </w:tcPr>
          <w:p w14:paraId="727119E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66,15</w:t>
            </w:r>
          </w:p>
        </w:tc>
        <w:tc>
          <w:tcPr>
            <w:tcW w:w="993" w:type="dxa"/>
            <w:tcBorders>
              <w:top w:val="nil"/>
              <w:left w:val="nil"/>
              <w:bottom w:val="single" w:sz="4" w:space="0" w:color="auto"/>
              <w:right w:val="single" w:sz="4" w:space="0" w:color="auto"/>
            </w:tcBorders>
            <w:shd w:val="clear" w:color="auto" w:fill="auto"/>
            <w:noWrap/>
            <w:vAlign w:val="bottom"/>
            <w:hideMark/>
          </w:tcPr>
          <w:p w14:paraId="77FAD6A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13,87</w:t>
            </w:r>
          </w:p>
        </w:tc>
        <w:tc>
          <w:tcPr>
            <w:tcW w:w="992" w:type="dxa"/>
            <w:tcBorders>
              <w:top w:val="nil"/>
              <w:left w:val="nil"/>
              <w:bottom w:val="single" w:sz="4" w:space="0" w:color="auto"/>
              <w:right w:val="single" w:sz="4" w:space="0" w:color="auto"/>
            </w:tcBorders>
            <w:shd w:val="clear" w:color="auto" w:fill="auto"/>
            <w:noWrap/>
            <w:vAlign w:val="bottom"/>
            <w:hideMark/>
          </w:tcPr>
          <w:p w14:paraId="6D0ABA7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21,19</w:t>
            </w:r>
          </w:p>
        </w:tc>
        <w:tc>
          <w:tcPr>
            <w:tcW w:w="992" w:type="dxa"/>
            <w:tcBorders>
              <w:top w:val="nil"/>
              <w:left w:val="nil"/>
              <w:bottom w:val="single" w:sz="4" w:space="0" w:color="auto"/>
              <w:right w:val="single" w:sz="4" w:space="0" w:color="auto"/>
            </w:tcBorders>
            <w:shd w:val="clear" w:color="auto" w:fill="auto"/>
            <w:noWrap/>
            <w:vAlign w:val="bottom"/>
            <w:hideMark/>
          </w:tcPr>
          <w:p w14:paraId="4FA108D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51,50</w:t>
            </w:r>
          </w:p>
        </w:tc>
        <w:tc>
          <w:tcPr>
            <w:tcW w:w="992" w:type="dxa"/>
            <w:tcBorders>
              <w:top w:val="nil"/>
              <w:left w:val="nil"/>
              <w:bottom w:val="single" w:sz="4" w:space="0" w:color="auto"/>
              <w:right w:val="single" w:sz="4" w:space="0" w:color="auto"/>
            </w:tcBorders>
            <w:shd w:val="clear" w:color="auto" w:fill="auto"/>
            <w:noWrap/>
            <w:vAlign w:val="bottom"/>
            <w:hideMark/>
          </w:tcPr>
          <w:p w14:paraId="6FDC888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48,50</w:t>
            </w:r>
          </w:p>
        </w:tc>
      </w:tr>
      <w:tr w:rsidR="00813A25" w:rsidRPr="002A6CFD" w14:paraId="32D7218A"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57FC376B"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Stará Myjava</w:t>
            </w:r>
          </w:p>
        </w:tc>
        <w:tc>
          <w:tcPr>
            <w:tcW w:w="903" w:type="dxa"/>
            <w:tcBorders>
              <w:top w:val="nil"/>
              <w:left w:val="nil"/>
              <w:bottom w:val="single" w:sz="4" w:space="0" w:color="auto"/>
              <w:right w:val="single" w:sz="4" w:space="0" w:color="auto"/>
            </w:tcBorders>
            <w:shd w:val="clear" w:color="auto" w:fill="auto"/>
            <w:noWrap/>
            <w:vAlign w:val="bottom"/>
            <w:hideMark/>
          </w:tcPr>
          <w:p w14:paraId="01E6DA6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12,40</w:t>
            </w:r>
          </w:p>
        </w:tc>
        <w:tc>
          <w:tcPr>
            <w:tcW w:w="992" w:type="dxa"/>
            <w:tcBorders>
              <w:top w:val="nil"/>
              <w:left w:val="nil"/>
              <w:bottom w:val="single" w:sz="4" w:space="0" w:color="auto"/>
              <w:right w:val="single" w:sz="4" w:space="0" w:color="auto"/>
            </w:tcBorders>
            <w:shd w:val="clear" w:color="auto" w:fill="auto"/>
            <w:noWrap/>
            <w:vAlign w:val="bottom"/>
            <w:hideMark/>
          </w:tcPr>
          <w:p w14:paraId="1055E67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11,05</w:t>
            </w:r>
          </w:p>
        </w:tc>
        <w:tc>
          <w:tcPr>
            <w:tcW w:w="1151" w:type="dxa"/>
            <w:tcBorders>
              <w:top w:val="nil"/>
              <w:left w:val="nil"/>
              <w:bottom w:val="single" w:sz="4" w:space="0" w:color="auto"/>
              <w:right w:val="single" w:sz="4" w:space="0" w:color="auto"/>
            </w:tcBorders>
            <w:shd w:val="clear" w:color="auto" w:fill="auto"/>
            <w:noWrap/>
            <w:vAlign w:val="bottom"/>
            <w:hideMark/>
          </w:tcPr>
          <w:p w14:paraId="4A77CB9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69,54</w:t>
            </w:r>
          </w:p>
        </w:tc>
        <w:tc>
          <w:tcPr>
            <w:tcW w:w="992" w:type="dxa"/>
            <w:tcBorders>
              <w:top w:val="nil"/>
              <w:left w:val="nil"/>
              <w:bottom w:val="single" w:sz="4" w:space="0" w:color="auto"/>
              <w:right w:val="single" w:sz="4" w:space="0" w:color="auto"/>
            </w:tcBorders>
            <w:shd w:val="clear" w:color="auto" w:fill="auto"/>
            <w:noWrap/>
            <w:vAlign w:val="bottom"/>
            <w:hideMark/>
          </w:tcPr>
          <w:p w14:paraId="70CA0E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65,75</w:t>
            </w:r>
          </w:p>
        </w:tc>
        <w:tc>
          <w:tcPr>
            <w:tcW w:w="993" w:type="dxa"/>
            <w:tcBorders>
              <w:top w:val="nil"/>
              <w:left w:val="nil"/>
              <w:bottom w:val="single" w:sz="4" w:space="0" w:color="auto"/>
              <w:right w:val="single" w:sz="4" w:space="0" w:color="auto"/>
            </w:tcBorders>
            <w:shd w:val="clear" w:color="auto" w:fill="auto"/>
            <w:noWrap/>
            <w:vAlign w:val="bottom"/>
            <w:hideMark/>
          </w:tcPr>
          <w:p w14:paraId="1290FE5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18,06</w:t>
            </w:r>
          </w:p>
        </w:tc>
        <w:tc>
          <w:tcPr>
            <w:tcW w:w="992" w:type="dxa"/>
            <w:tcBorders>
              <w:top w:val="nil"/>
              <w:left w:val="nil"/>
              <w:bottom w:val="single" w:sz="4" w:space="0" w:color="auto"/>
              <w:right w:val="single" w:sz="4" w:space="0" w:color="auto"/>
            </w:tcBorders>
            <w:shd w:val="clear" w:color="auto" w:fill="auto"/>
            <w:noWrap/>
            <w:vAlign w:val="bottom"/>
            <w:hideMark/>
          </w:tcPr>
          <w:p w14:paraId="5F7A5B3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23,20</w:t>
            </w:r>
          </w:p>
        </w:tc>
        <w:tc>
          <w:tcPr>
            <w:tcW w:w="992" w:type="dxa"/>
            <w:tcBorders>
              <w:top w:val="nil"/>
              <w:left w:val="nil"/>
              <w:bottom w:val="single" w:sz="4" w:space="0" w:color="auto"/>
              <w:right w:val="single" w:sz="4" w:space="0" w:color="auto"/>
            </w:tcBorders>
            <w:shd w:val="clear" w:color="auto" w:fill="auto"/>
            <w:noWrap/>
            <w:vAlign w:val="bottom"/>
            <w:hideMark/>
          </w:tcPr>
          <w:p w14:paraId="7409763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50,61</w:t>
            </w:r>
          </w:p>
        </w:tc>
        <w:tc>
          <w:tcPr>
            <w:tcW w:w="992" w:type="dxa"/>
            <w:tcBorders>
              <w:top w:val="nil"/>
              <w:left w:val="nil"/>
              <w:bottom w:val="single" w:sz="4" w:space="0" w:color="auto"/>
              <w:right w:val="single" w:sz="4" w:space="0" w:color="auto"/>
            </w:tcBorders>
            <w:shd w:val="clear" w:color="auto" w:fill="auto"/>
            <w:noWrap/>
            <w:vAlign w:val="bottom"/>
            <w:hideMark/>
          </w:tcPr>
          <w:p w14:paraId="2A08E8C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49,39</w:t>
            </w:r>
          </w:p>
        </w:tc>
      </w:tr>
      <w:tr w:rsidR="00813A25" w:rsidRPr="002A6CFD" w14:paraId="6828DF62"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22E7FA8"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Vrbovce</w:t>
            </w:r>
          </w:p>
        </w:tc>
        <w:tc>
          <w:tcPr>
            <w:tcW w:w="903" w:type="dxa"/>
            <w:tcBorders>
              <w:top w:val="nil"/>
              <w:left w:val="nil"/>
              <w:bottom w:val="single" w:sz="4" w:space="0" w:color="auto"/>
              <w:right w:val="single" w:sz="4" w:space="0" w:color="auto"/>
            </w:tcBorders>
            <w:shd w:val="clear" w:color="auto" w:fill="auto"/>
            <w:noWrap/>
            <w:vAlign w:val="bottom"/>
            <w:hideMark/>
          </w:tcPr>
          <w:p w14:paraId="4CE3FF4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13,69</w:t>
            </w:r>
          </w:p>
        </w:tc>
        <w:tc>
          <w:tcPr>
            <w:tcW w:w="992" w:type="dxa"/>
            <w:tcBorders>
              <w:top w:val="nil"/>
              <w:left w:val="nil"/>
              <w:bottom w:val="single" w:sz="4" w:space="0" w:color="auto"/>
              <w:right w:val="single" w:sz="4" w:space="0" w:color="auto"/>
            </w:tcBorders>
            <w:shd w:val="clear" w:color="auto" w:fill="auto"/>
            <w:noWrap/>
            <w:vAlign w:val="bottom"/>
            <w:hideMark/>
          </w:tcPr>
          <w:p w14:paraId="61C66B2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11,92</w:t>
            </w:r>
          </w:p>
        </w:tc>
        <w:tc>
          <w:tcPr>
            <w:tcW w:w="1151" w:type="dxa"/>
            <w:tcBorders>
              <w:top w:val="nil"/>
              <w:left w:val="nil"/>
              <w:bottom w:val="single" w:sz="4" w:space="0" w:color="auto"/>
              <w:right w:val="single" w:sz="4" w:space="0" w:color="auto"/>
            </w:tcBorders>
            <w:shd w:val="clear" w:color="auto" w:fill="auto"/>
            <w:noWrap/>
            <w:vAlign w:val="bottom"/>
            <w:hideMark/>
          </w:tcPr>
          <w:p w14:paraId="1409351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71,45</w:t>
            </w:r>
          </w:p>
        </w:tc>
        <w:tc>
          <w:tcPr>
            <w:tcW w:w="992" w:type="dxa"/>
            <w:tcBorders>
              <w:top w:val="nil"/>
              <w:left w:val="nil"/>
              <w:bottom w:val="single" w:sz="4" w:space="0" w:color="auto"/>
              <w:right w:val="single" w:sz="4" w:space="0" w:color="auto"/>
            </w:tcBorders>
            <w:shd w:val="clear" w:color="auto" w:fill="auto"/>
            <w:noWrap/>
            <w:vAlign w:val="bottom"/>
            <w:hideMark/>
          </w:tcPr>
          <w:p w14:paraId="4045CA1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62,95</w:t>
            </w:r>
          </w:p>
        </w:tc>
        <w:tc>
          <w:tcPr>
            <w:tcW w:w="993" w:type="dxa"/>
            <w:tcBorders>
              <w:top w:val="nil"/>
              <w:left w:val="nil"/>
              <w:bottom w:val="single" w:sz="4" w:space="0" w:color="auto"/>
              <w:right w:val="single" w:sz="4" w:space="0" w:color="auto"/>
            </w:tcBorders>
            <w:shd w:val="clear" w:color="auto" w:fill="auto"/>
            <w:noWrap/>
            <w:vAlign w:val="bottom"/>
            <w:hideMark/>
          </w:tcPr>
          <w:p w14:paraId="5066599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14,86</w:t>
            </w:r>
          </w:p>
        </w:tc>
        <w:tc>
          <w:tcPr>
            <w:tcW w:w="992" w:type="dxa"/>
            <w:tcBorders>
              <w:top w:val="nil"/>
              <w:left w:val="nil"/>
              <w:bottom w:val="single" w:sz="4" w:space="0" w:color="auto"/>
              <w:right w:val="single" w:sz="4" w:space="0" w:color="auto"/>
            </w:tcBorders>
            <w:shd w:val="clear" w:color="auto" w:fill="auto"/>
            <w:noWrap/>
            <w:vAlign w:val="bottom"/>
            <w:hideMark/>
          </w:tcPr>
          <w:p w14:paraId="018837D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25,13</w:t>
            </w:r>
          </w:p>
        </w:tc>
        <w:tc>
          <w:tcPr>
            <w:tcW w:w="992" w:type="dxa"/>
            <w:tcBorders>
              <w:top w:val="nil"/>
              <w:left w:val="nil"/>
              <w:bottom w:val="single" w:sz="4" w:space="0" w:color="auto"/>
              <w:right w:val="single" w:sz="4" w:space="0" w:color="auto"/>
            </w:tcBorders>
            <w:shd w:val="clear" w:color="auto" w:fill="auto"/>
            <w:noWrap/>
            <w:vAlign w:val="bottom"/>
            <w:hideMark/>
          </w:tcPr>
          <w:p w14:paraId="61D33D9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49,84</w:t>
            </w:r>
          </w:p>
        </w:tc>
        <w:tc>
          <w:tcPr>
            <w:tcW w:w="992" w:type="dxa"/>
            <w:tcBorders>
              <w:top w:val="nil"/>
              <w:left w:val="nil"/>
              <w:bottom w:val="single" w:sz="4" w:space="0" w:color="auto"/>
              <w:right w:val="single" w:sz="4" w:space="0" w:color="auto"/>
            </w:tcBorders>
            <w:shd w:val="clear" w:color="auto" w:fill="auto"/>
            <w:noWrap/>
            <w:vAlign w:val="bottom"/>
            <w:hideMark/>
          </w:tcPr>
          <w:p w14:paraId="7FEDFDA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50,16</w:t>
            </w:r>
          </w:p>
        </w:tc>
      </w:tr>
      <w:tr w:rsidR="00813A25" w:rsidRPr="002A6CFD" w14:paraId="542418D8"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30EAC3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Bzince pod Javorinou</w:t>
            </w:r>
          </w:p>
        </w:tc>
        <w:tc>
          <w:tcPr>
            <w:tcW w:w="903" w:type="dxa"/>
            <w:tcBorders>
              <w:top w:val="nil"/>
              <w:left w:val="nil"/>
              <w:bottom w:val="single" w:sz="4" w:space="0" w:color="auto"/>
              <w:right w:val="single" w:sz="4" w:space="0" w:color="auto"/>
            </w:tcBorders>
            <w:shd w:val="clear" w:color="auto" w:fill="auto"/>
            <w:noWrap/>
            <w:vAlign w:val="center"/>
            <w:hideMark/>
          </w:tcPr>
          <w:p w14:paraId="64F165E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12,90</w:t>
            </w:r>
          </w:p>
        </w:tc>
        <w:tc>
          <w:tcPr>
            <w:tcW w:w="992" w:type="dxa"/>
            <w:tcBorders>
              <w:top w:val="nil"/>
              <w:left w:val="nil"/>
              <w:bottom w:val="single" w:sz="4" w:space="0" w:color="auto"/>
              <w:right w:val="single" w:sz="4" w:space="0" w:color="auto"/>
            </w:tcBorders>
            <w:shd w:val="clear" w:color="auto" w:fill="auto"/>
            <w:noWrap/>
            <w:vAlign w:val="center"/>
            <w:hideMark/>
          </w:tcPr>
          <w:p w14:paraId="1BDEA03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12,57</w:t>
            </w:r>
          </w:p>
        </w:tc>
        <w:tc>
          <w:tcPr>
            <w:tcW w:w="1151" w:type="dxa"/>
            <w:tcBorders>
              <w:top w:val="nil"/>
              <w:left w:val="nil"/>
              <w:bottom w:val="single" w:sz="4" w:space="0" w:color="auto"/>
              <w:right w:val="single" w:sz="4" w:space="0" w:color="auto"/>
            </w:tcBorders>
            <w:shd w:val="clear" w:color="auto" w:fill="auto"/>
            <w:noWrap/>
            <w:vAlign w:val="center"/>
            <w:hideMark/>
          </w:tcPr>
          <w:p w14:paraId="46B62EC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71,48</w:t>
            </w:r>
          </w:p>
        </w:tc>
        <w:tc>
          <w:tcPr>
            <w:tcW w:w="992" w:type="dxa"/>
            <w:tcBorders>
              <w:top w:val="nil"/>
              <w:left w:val="nil"/>
              <w:bottom w:val="single" w:sz="4" w:space="0" w:color="auto"/>
              <w:right w:val="single" w:sz="4" w:space="0" w:color="auto"/>
            </w:tcBorders>
            <w:shd w:val="clear" w:color="auto" w:fill="auto"/>
            <w:noWrap/>
            <w:vAlign w:val="center"/>
            <w:hideMark/>
          </w:tcPr>
          <w:p w14:paraId="562D9AB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65,76</w:t>
            </w:r>
          </w:p>
        </w:tc>
        <w:tc>
          <w:tcPr>
            <w:tcW w:w="993" w:type="dxa"/>
            <w:tcBorders>
              <w:top w:val="nil"/>
              <w:left w:val="nil"/>
              <w:bottom w:val="single" w:sz="4" w:space="0" w:color="auto"/>
              <w:right w:val="single" w:sz="4" w:space="0" w:color="auto"/>
            </w:tcBorders>
            <w:shd w:val="clear" w:color="auto" w:fill="auto"/>
            <w:noWrap/>
            <w:vAlign w:val="center"/>
            <w:hideMark/>
          </w:tcPr>
          <w:p w14:paraId="2E94C26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15,62</w:t>
            </w:r>
          </w:p>
        </w:tc>
        <w:tc>
          <w:tcPr>
            <w:tcW w:w="992" w:type="dxa"/>
            <w:tcBorders>
              <w:top w:val="nil"/>
              <w:left w:val="nil"/>
              <w:bottom w:val="single" w:sz="4" w:space="0" w:color="auto"/>
              <w:right w:val="single" w:sz="4" w:space="0" w:color="auto"/>
            </w:tcBorders>
            <w:shd w:val="clear" w:color="auto" w:fill="auto"/>
            <w:noWrap/>
            <w:vAlign w:val="center"/>
            <w:hideMark/>
          </w:tcPr>
          <w:p w14:paraId="1BF1FF0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21,67</w:t>
            </w:r>
          </w:p>
        </w:tc>
        <w:tc>
          <w:tcPr>
            <w:tcW w:w="992" w:type="dxa"/>
            <w:tcBorders>
              <w:top w:val="nil"/>
              <w:left w:val="nil"/>
              <w:bottom w:val="single" w:sz="4" w:space="0" w:color="auto"/>
              <w:right w:val="single" w:sz="4" w:space="0" w:color="auto"/>
            </w:tcBorders>
            <w:shd w:val="clear" w:color="auto" w:fill="auto"/>
            <w:noWrap/>
            <w:vAlign w:val="center"/>
            <w:hideMark/>
          </w:tcPr>
          <w:p w14:paraId="2DD13F5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49,17</w:t>
            </w:r>
          </w:p>
        </w:tc>
        <w:tc>
          <w:tcPr>
            <w:tcW w:w="992" w:type="dxa"/>
            <w:tcBorders>
              <w:top w:val="nil"/>
              <w:left w:val="nil"/>
              <w:bottom w:val="single" w:sz="4" w:space="0" w:color="auto"/>
              <w:right w:val="single" w:sz="4" w:space="0" w:color="auto"/>
            </w:tcBorders>
            <w:shd w:val="clear" w:color="auto" w:fill="auto"/>
            <w:noWrap/>
            <w:vAlign w:val="center"/>
            <w:hideMark/>
          </w:tcPr>
          <w:p w14:paraId="4F78460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50,83</w:t>
            </w:r>
          </w:p>
        </w:tc>
      </w:tr>
      <w:tr w:rsidR="00813A25" w:rsidRPr="002A6CFD" w14:paraId="06744298"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07D9F22F"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Hrachovište</w:t>
            </w:r>
          </w:p>
        </w:tc>
        <w:tc>
          <w:tcPr>
            <w:tcW w:w="903" w:type="dxa"/>
            <w:tcBorders>
              <w:top w:val="nil"/>
              <w:left w:val="nil"/>
              <w:bottom w:val="single" w:sz="4" w:space="0" w:color="auto"/>
              <w:right w:val="single" w:sz="4" w:space="0" w:color="auto"/>
            </w:tcBorders>
            <w:shd w:val="clear" w:color="auto" w:fill="auto"/>
            <w:noWrap/>
            <w:vAlign w:val="center"/>
            <w:hideMark/>
          </w:tcPr>
          <w:p w14:paraId="4F2CB52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16,43</w:t>
            </w:r>
          </w:p>
        </w:tc>
        <w:tc>
          <w:tcPr>
            <w:tcW w:w="992" w:type="dxa"/>
            <w:tcBorders>
              <w:top w:val="nil"/>
              <w:left w:val="nil"/>
              <w:bottom w:val="single" w:sz="4" w:space="0" w:color="auto"/>
              <w:right w:val="single" w:sz="4" w:space="0" w:color="auto"/>
            </w:tcBorders>
            <w:shd w:val="clear" w:color="auto" w:fill="auto"/>
            <w:noWrap/>
            <w:vAlign w:val="center"/>
            <w:hideMark/>
          </w:tcPr>
          <w:p w14:paraId="012DE52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18,01</w:t>
            </w:r>
          </w:p>
        </w:tc>
        <w:tc>
          <w:tcPr>
            <w:tcW w:w="1151" w:type="dxa"/>
            <w:tcBorders>
              <w:top w:val="nil"/>
              <w:left w:val="nil"/>
              <w:bottom w:val="single" w:sz="4" w:space="0" w:color="auto"/>
              <w:right w:val="single" w:sz="4" w:space="0" w:color="auto"/>
            </w:tcBorders>
            <w:shd w:val="clear" w:color="auto" w:fill="auto"/>
            <w:noWrap/>
            <w:vAlign w:val="center"/>
            <w:hideMark/>
          </w:tcPr>
          <w:p w14:paraId="58BD7A3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69,08</w:t>
            </w:r>
          </w:p>
        </w:tc>
        <w:tc>
          <w:tcPr>
            <w:tcW w:w="992" w:type="dxa"/>
            <w:tcBorders>
              <w:top w:val="nil"/>
              <w:left w:val="nil"/>
              <w:bottom w:val="single" w:sz="4" w:space="0" w:color="auto"/>
              <w:right w:val="single" w:sz="4" w:space="0" w:color="auto"/>
            </w:tcBorders>
            <w:shd w:val="clear" w:color="auto" w:fill="auto"/>
            <w:noWrap/>
            <w:vAlign w:val="center"/>
            <w:hideMark/>
          </w:tcPr>
          <w:p w14:paraId="7806506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60,11</w:t>
            </w:r>
          </w:p>
        </w:tc>
        <w:tc>
          <w:tcPr>
            <w:tcW w:w="993" w:type="dxa"/>
            <w:tcBorders>
              <w:top w:val="nil"/>
              <w:left w:val="nil"/>
              <w:bottom w:val="single" w:sz="4" w:space="0" w:color="auto"/>
              <w:right w:val="single" w:sz="4" w:space="0" w:color="auto"/>
            </w:tcBorders>
            <w:shd w:val="clear" w:color="auto" w:fill="auto"/>
            <w:noWrap/>
            <w:vAlign w:val="center"/>
            <w:hideMark/>
          </w:tcPr>
          <w:p w14:paraId="2548064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14,48</w:t>
            </w:r>
          </w:p>
        </w:tc>
        <w:tc>
          <w:tcPr>
            <w:tcW w:w="992" w:type="dxa"/>
            <w:tcBorders>
              <w:top w:val="nil"/>
              <w:left w:val="nil"/>
              <w:bottom w:val="single" w:sz="4" w:space="0" w:color="auto"/>
              <w:right w:val="single" w:sz="4" w:space="0" w:color="auto"/>
            </w:tcBorders>
            <w:shd w:val="clear" w:color="auto" w:fill="auto"/>
            <w:noWrap/>
            <w:vAlign w:val="center"/>
            <w:hideMark/>
          </w:tcPr>
          <w:p w14:paraId="5725400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21,88</w:t>
            </w:r>
          </w:p>
        </w:tc>
        <w:tc>
          <w:tcPr>
            <w:tcW w:w="992" w:type="dxa"/>
            <w:tcBorders>
              <w:top w:val="nil"/>
              <w:left w:val="nil"/>
              <w:bottom w:val="single" w:sz="4" w:space="0" w:color="auto"/>
              <w:right w:val="single" w:sz="4" w:space="0" w:color="auto"/>
            </w:tcBorders>
            <w:shd w:val="clear" w:color="auto" w:fill="auto"/>
            <w:noWrap/>
            <w:vAlign w:val="center"/>
            <w:hideMark/>
          </w:tcPr>
          <w:p w14:paraId="4B1671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49,86</w:t>
            </w:r>
          </w:p>
        </w:tc>
        <w:tc>
          <w:tcPr>
            <w:tcW w:w="992" w:type="dxa"/>
            <w:tcBorders>
              <w:top w:val="nil"/>
              <w:left w:val="nil"/>
              <w:bottom w:val="single" w:sz="4" w:space="0" w:color="auto"/>
              <w:right w:val="single" w:sz="4" w:space="0" w:color="auto"/>
            </w:tcBorders>
            <w:shd w:val="clear" w:color="auto" w:fill="auto"/>
            <w:noWrap/>
            <w:vAlign w:val="center"/>
            <w:hideMark/>
          </w:tcPr>
          <w:p w14:paraId="3702EE1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50,14</w:t>
            </w:r>
          </w:p>
        </w:tc>
      </w:tr>
      <w:tr w:rsidR="00813A25" w:rsidRPr="002A6CFD" w14:paraId="1BF74DE4"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352B8614"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Lubina</w:t>
            </w:r>
          </w:p>
        </w:tc>
        <w:tc>
          <w:tcPr>
            <w:tcW w:w="903" w:type="dxa"/>
            <w:tcBorders>
              <w:top w:val="nil"/>
              <w:left w:val="nil"/>
              <w:bottom w:val="single" w:sz="4" w:space="0" w:color="auto"/>
              <w:right w:val="single" w:sz="4" w:space="0" w:color="auto"/>
            </w:tcBorders>
            <w:shd w:val="clear" w:color="auto" w:fill="auto"/>
            <w:noWrap/>
            <w:vAlign w:val="center"/>
            <w:hideMark/>
          </w:tcPr>
          <w:p w14:paraId="61C3845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12,59</w:t>
            </w:r>
          </w:p>
        </w:tc>
        <w:tc>
          <w:tcPr>
            <w:tcW w:w="992" w:type="dxa"/>
            <w:tcBorders>
              <w:top w:val="nil"/>
              <w:left w:val="nil"/>
              <w:bottom w:val="single" w:sz="4" w:space="0" w:color="auto"/>
              <w:right w:val="single" w:sz="4" w:space="0" w:color="auto"/>
            </w:tcBorders>
            <w:shd w:val="clear" w:color="auto" w:fill="auto"/>
            <w:noWrap/>
            <w:vAlign w:val="center"/>
            <w:hideMark/>
          </w:tcPr>
          <w:p w14:paraId="24B88D4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12,25</w:t>
            </w:r>
          </w:p>
        </w:tc>
        <w:tc>
          <w:tcPr>
            <w:tcW w:w="1151" w:type="dxa"/>
            <w:tcBorders>
              <w:top w:val="nil"/>
              <w:left w:val="nil"/>
              <w:bottom w:val="single" w:sz="4" w:space="0" w:color="auto"/>
              <w:right w:val="single" w:sz="4" w:space="0" w:color="auto"/>
            </w:tcBorders>
            <w:shd w:val="clear" w:color="auto" w:fill="auto"/>
            <w:noWrap/>
            <w:vAlign w:val="center"/>
            <w:hideMark/>
          </w:tcPr>
          <w:p w14:paraId="5710421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72,50</w:t>
            </w:r>
          </w:p>
        </w:tc>
        <w:tc>
          <w:tcPr>
            <w:tcW w:w="992" w:type="dxa"/>
            <w:tcBorders>
              <w:top w:val="nil"/>
              <w:left w:val="nil"/>
              <w:bottom w:val="single" w:sz="4" w:space="0" w:color="auto"/>
              <w:right w:val="single" w:sz="4" w:space="0" w:color="auto"/>
            </w:tcBorders>
            <w:shd w:val="clear" w:color="auto" w:fill="auto"/>
            <w:noWrap/>
            <w:vAlign w:val="center"/>
            <w:hideMark/>
          </w:tcPr>
          <w:p w14:paraId="25C55FA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66,71</w:t>
            </w:r>
          </w:p>
        </w:tc>
        <w:tc>
          <w:tcPr>
            <w:tcW w:w="993" w:type="dxa"/>
            <w:tcBorders>
              <w:top w:val="nil"/>
              <w:left w:val="nil"/>
              <w:bottom w:val="single" w:sz="4" w:space="0" w:color="auto"/>
              <w:right w:val="single" w:sz="4" w:space="0" w:color="auto"/>
            </w:tcBorders>
            <w:shd w:val="clear" w:color="auto" w:fill="auto"/>
            <w:noWrap/>
            <w:vAlign w:val="center"/>
            <w:hideMark/>
          </w:tcPr>
          <w:p w14:paraId="1FF2581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14,91</w:t>
            </w:r>
          </w:p>
        </w:tc>
        <w:tc>
          <w:tcPr>
            <w:tcW w:w="992" w:type="dxa"/>
            <w:tcBorders>
              <w:top w:val="nil"/>
              <w:left w:val="nil"/>
              <w:bottom w:val="single" w:sz="4" w:space="0" w:color="auto"/>
              <w:right w:val="single" w:sz="4" w:space="0" w:color="auto"/>
            </w:tcBorders>
            <w:shd w:val="clear" w:color="auto" w:fill="auto"/>
            <w:noWrap/>
            <w:vAlign w:val="center"/>
            <w:hideMark/>
          </w:tcPr>
          <w:p w14:paraId="2F2A317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21,04</w:t>
            </w:r>
          </w:p>
        </w:tc>
        <w:tc>
          <w:tcPr>
            <w:tcW w:w="992" w:type="dxa"/>
            <w:tcBorders>
              <w:top w:val="nil"/>
              <w:left w:val="nil"/>
              <w:bottom w:val="single" w:sz="4" w:space="0" w:color="auto"/>
              <w:right w:val="single" w:sz="4" w:space="0" w:color="auto"/>
            </w:tcBorders>
            <w:shd w:val="clear" w:color="auto" w:fill="auto"/>
            <w:noWrap/>
            <w:vAlign w:val="center"/>
            <w:hideMark/>
          </w:tcPr>
          <w:p w14:paraId="00B8642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49,89</w:t>
            </w:r>
          </w:p>
        </w:tc>
        <w:tc>
          <w:tcPr>
            <w:tcW w:w="992" w:type="dxa"/>
            <w:tcBorders>
              <w:top w:val="nil"/>
              <w:left w:val="nil"/>
              <w:bottom w:val="single" w:sz="4" w:space="0" w:color="auto"/>
              <w:right w:val="single" w:sz="4" w:space="0" w:color="auto"/>
            </w:tcBorders>
            <w:shd w:val="clear" w:color="auto" w:fill="auto"/>
            <w:noWrap/>
            <w:vAlign w:val="center"/>
            <w:hideMark/>
          </w:tcPr>
          <w:p w14:paraId="3CE7997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50,11</w:t>
            </w:r>
          </w:p>
        </w:tc>
      </w:tr>
      <w:tr w:rsidR="00813A25" w:rsidRPr="002A6CFD" w14:paraId="172379D8"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7973D2BB"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Stará Turá</w:t>
            </w:r>
          </w:p>
        </w:tc>
        <w:tc>
          <w:tcPr>
            <w:tcW w:w="903" w:type="dxa"/>
            <w:tcBorders>
              <w:top w:val="nil"/>
              <w:left w:val="nil"/>
              <w:bottom w:val="single" w:sz="4" w:space="0" w:color="auto"/>
              <w:right w:val="single" w:sz="4" w:space="0" w:color="auto"/>
            </w:tcBorders>
            <w:shd w:val="clear" w:color="auto" w:fill="auto"/>
            <w:noWrap/>
            <w:vAlign w:val="center"/>
            <w:hideMark/>
          </w:tcPr>
          <w:p w14:paraId="6B6844E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12,52</w:t>
            </w:r>
          </w:p>
        </w:tc>
        <w:tc>
          <w:tcPr>
            <w:tcW w:w="992" w:type="dxa"/>
            <w:tcBorders>
              <w:top w:val="nil"/>
              <w:left w:val="nil"/>
              <w:bottom w:val="single" w:sz="4" w:space="0" w:color="auto"/>
              <w:right w:val="single" w:sz="4" w:space="0" w:color="auto"/>
            </w:tcBorders>
            <w:shd w:val="clear" w:color="auto" w:fill="auto"/>
            <w:noWrap/>
            <w:vAlign w:val="center"/>
            <w:hideMark/>
          </w:tcPr>
          <w:p w14:paraId="1A27F3D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11,25</w:t>
            </w:r>
          </w:p>
        </w:tc>
        <w:tc>
          <w:tcPr>
            <w:tcW w:w="1151" w:type="dxa"/>
            <w:tcBorders>
              <w:top w:val="nil"/>
              <w:left w:val="nil"/>
              <w:bottom w:val="single" w:sz="4" w:space="0" w:color="auto"/>
              <w:right w:val="single" w:sz="4" w:space="0" w:color="auto"/>
            </w:tcBorders>
            <w:shd w:val="clear" w:color="auto" w:fill="auto"/>
            <w:noWrap/>
            <w:vAlign w:val="center"/>
            <w:hideMark/>
          </w:tcPr>
          <w:p w14:paraId="09C323B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73,51</w:t>
            </w:r>
          </w:p>
        </w:tc>
        <w:tc>
          <w:tcPr>
            <w:tcW w:w="992" w:type="dxa"/>
            <w:tcBorders>
              <w:top w:val="nil"/>
              <w:left w:val="nil"/>
              <w:bottom w:val="single" w:sz="4" w:space="0" w:color="auto"/>
              <w:right w:val="single" w:sz="4" w:space="0" w:color="auto"/>
            </w:tcBorders>
            <w:shd w:val="clear" w:color="auto" w:fill="auto"/>
            <w:noWrap/>
            <w:vAlign w:val="center"/>
            <w:hideMark/>
          </w:tcPr>
          <w:p w14:paraId="1E3D6FA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70,24</w:t>
            </w:r>
          </w:p>
        </w:tc>
        <w:tc>
          <w:tcPr>
            <w:tcW w:w="993" w:type="dxa"/>
            <w:tcBorders>
              <w:top w:val="nil"/>
              <w:left w:val="nil"/>
              <w:bottom w:val="single" w:sz="4" w:space="0" w:color="auto"/>
              <w:right w:val="single" w:sz="4" w:space="0" w:color="auto"/>
            </w:tcBorders>
            <w:shd w:val="clear" w:color="auto" w:fill="auto"/>
            <w:noWrap/>
            <w:vAlign w:val="center"/>
            <w:hideMark/>
          </w:tcPr>
          <w:p w14:paraId="35F0590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13,97</w:t>
            </w:r>
          </w:p>
        </w:tc>
        <w:tc>
          <w:tcPr>
            <w:tcW w:w="992" w:type="dxa"/>
            <w:tcBorders>
              <w:top w:val="nil"/>
              <w:left w:val="nil"/>
              <w:bottom w:val="single" w:sz="4" w:space="0" w:color="auto"/>
              <w:right w:val="single" w:sz="4" w:space="0" w:color="auto"/>
            </w:tcBorders>
            <w:shd w:val="clear" w:color="auto" w:fill="auto"/>
            <w:noWrap/>
            <w:vAlign w:val="center"/>
            <w:hideMark/>
          </w:tcPr>
          <w:p w14:paraId="6093CD0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18,51</w:t>
            </w:r>
          </w:p>
        </w:tc>
        <w:tc>
          <w:tcPr>
            <w:tcW w:w="992" w:type="dxa"/>
            <w:tcBorders>
              <w:top w:val="nil"/>
              <w:left w:val="nil"/>
              <w:bottom w:val="single" w:sz="4" w:space="0" w:color="auto"/>
              <w:right w:val="single" w:sz="4" w:space="0" w:color="auto"/>
            </w:tcBorders>
            <w:shd w:val="clear" w:color="auto" w:fill="auto"/>
            <w:noWrap/>
            <w:vAlign w:val="center"/>
            <w:hideMark/>
          </w:tcPr>
          <w:p w14:paraId="212CCEC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48,23</w:t>
            </w:r>
          </w:p>
        </w:tc>
        <w:tc>
          <w:tcPr>
            <w:tcW w:w="992" w:type="dxa"/>
            <w:tcBorders>
              <w:top w:val="nil"/>
              <w:left w:val="nil"/>
              <w:bottom w:val="single" w:sz="4" w:space="0" w:color="auto"/>
              <w:right w:val="single" w:sz="4" w:space="0" w:color="auto"/>
            </w:tcBorders>
            <w:shd w:val="clear" w:color="auto" w:fill="auto"/>
            <w:noWrap/>
            <w:vAlign w:val="center"/>
            <w:hideMark/>
          </w:tcPr>
          <w:p w14:paraId="4F053DD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51,77</w:t>
            </w:r>
          </w:p>
        </w:tc>
      </w:tr>
      <w:tr w:rsidR="00813A25" w:rsidRPr="002A6CFD" w14:paraId="6DC6603E" w14:textId="77777777" w:rsidTr="00157E40">
        <w:trPr>
          <w:trHeight w:val="315"/>
        </w:trPr>
        <w:tc>
          <w:tcPr>
            <w:tcW w:w="15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06012D"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Vaďovce</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4C67ED8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10D14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14,59</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023A4EB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EA90D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EC3FB3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8AA0F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4EE28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56109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49,74</w:t>
            </w:r>
          </w:p>
        </w:tc>
      </w:tr>
      <w:tr w:rsidR="00813A25" w:rsidRPr="002A6CFD" w14:paraId="67C99259"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6E6714FE"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Višňové</w:t>
            </w:r>
          </w:p>
        </w:tc>
        <w:tc>
          <w:tcPr>
            <w:tcW w:w="903" w:type="dxa"/>
            <w:tcBorders>
              <w:top w:val="nil"/>
              <w:left w:val="nil"/>
              <w:bottom w:val="single" w:sz="4" w:space="0" w:color="auto"/>
              <w:right w:val="single" w:sz="4" w:space="0" w:color="auto"/>
            </w:tcBorders>
            <w:shd w:val="clear" w:color="auto" w:fill="auto"/>
            <w:noWrap/>
            <w:vAlign w:val="center"/>
            <w:hideMark/>
          </w:tcPr>
          <w:p w14:paraId="039D58D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14,46</w:t>
            </w:r>
          </w:p>
        </w:tc>
        <w:tc>
          <w:tcPr>
            <w:tcW w:w="992" w:type="dxa"/>
            <w:tcBorders>
              <w:top w:val="nil"/>
              <w:left w:val="nil"/>
              <w:bottom w:val="single" w:sz="4" w:space="0" w:color="auto"/>
              <w:right w:val="single" w:sz="4" w:space="0" w:color="auto"/>
            </w:tcBorders>
            <w:shd w:val="clear" w:color="auto" w:fill="auto"/>
            <w:noWrap/>
            <w:vAlign w:val="center"/>
            <w:hideMark/>
          </w:tcPr>
          <w:p w14:paraId="4665569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13,64</w:t>
            </w:r>
          </w:p>
        </w:tc>
        <w:tc>
          <w:tcPr>
            <w:tcW w:w="1151" w:type="dxa"/>
            <w:tcBorders>
              <w:top w:val="nil"/>
              <w:left w:val="nil"/>
              <w:bottom w:val="single" w:sz="4" w:space="0" w:color="auto"/>
              <w:right w:val="single" w:sz="4" w:space="0" w:color="auto"/>
            </w:tcBorders>
            <w:shd w:val="clear" w:color="auto" w:fill="auto"/>
            <w:noWrap/>
            <w:vAlign w:val="center"/>
            <w:hideMark/>
          </w:tcPr>
          <w:p w14:paraId="38B6D03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69,88</w:t>
            </w:r>
          </w:p>
        </w:tc>
        <w:tc>
          <w:tcPr>
            <w:tcW w:w="992" w:type="dxa"/>
            <w:tcBorders>
              <w:top w:val="nil"/>
              <w:left w:val="nil"/>
              <w:bottom w:val="single" w:sz="4" w:space="0" w:color="auto"/>
              <w:right w:val="single" w:sz="4" w:space="0" w:color="auto"/>
            </w:tcBorders>
            <w:shd w:val="clear" w:color="auto" w:fill="auto"/>
            <w:noWrap/>
            <w:vAlign w:val="center"/>
            <w:hideMark/>
          </w:tcPr>
          <w:p w14:paraId="585DC7A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56,82</w:t>
            </w:r>
          </w:p>
        </w:tc>
        <w:tc>
          <w:tcPr>
            <w:tcW w:w="993" w:type="dxa"/>
            <w:tcBorders>
              <w:top w:val="nil"/>
              <w:left w:val="nil"/>
              <w:bottom w:val="single" w:sz="4" w:space="0" w:color="auto"/>
              <w:right w:val="single" w:sz="4" w:space="0" w:color="auto"/>
            </w:tcBorders>
            <w:shd w:val="clear" w:color="auto" w:fill="auto"/>
            <w:noWrap/>
            <w:vAlign w:val="center"/>
            <w:hideMark/>
          </w:tcPr>
          <w:p w14:paraId="20C077E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15,66</w:t>
            </w:r>
          </w:p>
        </w:tc>
        <w:tc>
          <w:tcPr>
            <w:tcW w:w="992" w:type="dxa"/>
            <w:tcBorders>
              <w:top w:val="nil"/>
              <w:left w:val="nil"/>
              <w:bottom w:val="single" w:sz="4" w:space="0" w:color="auto"/>
              <w:right w:val="single" w:sz="4" w:space="0" w:color="auto"/>
            </w:tcBorders>
            <w:shd w:val="clear" w:color="auto" w:fill="auto"/>
            <w:noWrap/>
            <w:vAlign w:val="center"/>
            <w:hideMark/>
          </w:tcPr>
          <w:p w14:paraId="12C4C1E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29,55</w:t>
            </w:r>
          </w:p>
        </w:tc>
        <w:tc>
          <w:tcPr>
            <w:tcW w:w="992" w:type="dxa"/>
            <w:tcBorders>
              <w:top w:val="nil"/>
              <w:left w:val="nil"/>
              <w:bottom w:val="single" w:sz="4" w:space="0" w:color="auto"/>
              <w:right w:val="single" w:sz="4" w:space="0" w:color="auto"/>
            </w:tcBorders>
            <w:shd w:val="clear" w:color="auto" w:fill="auto"/>
            <w:noWrap/>
            <w:vAlign w:val="center"/>
            <w:hideMark/>
          </w:tcPr>
          <w:p w14:paraId="214F340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48,54</w:t>
            </w:r>
          </w:p>
        </w:tc>
        <w:tc>
          <w:tcPr>
            <w:tcW w:w="992" w:type="dxa"/>
            <w:tcBorders>
              <w:top w:val="nil"/>
              <w:left w:val="nil"/>
              <w:bottom w:val="single" w:sz="4" w:space="0" w:color="auto"/>
              <w:right w:val="single" w:sz="4" w:space="0" w:color="auto"/>
            </w:tcBorders>
            <w:shd w:val="clear" w:color="auto" w:fill="auto"/>
            <w:noWrap/>
            <w:vAlign w:val="center"/>
            <w:hideMark/>
          </w:tcPr>
          <w:p w14:paraId="768BAF1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51,46</w:t>
            </w:r>
          </w:p>
        </w:tc>
      </w:tr>
      <w:tr w:rsidR="00813A25" w:rsidRPr="002A6CFD" w14:paraId="34287CD1"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3B003DC5"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Podbranč</w:t>
            </w:r>
          </w:p>
        </w:tc>
        <w:tc>
          <w:tcPr>
            <w:tcW w:w="903" w:type="dxa"/>
            <w:tcBorders>
              <w:top w:val="nil"/>
              <w:left w:val="nil"/>
              <w:bottom w:val="single" w:sz="4" w:space="0" w:color="auto"/>
              <w:right w:val="single" w:sz="4" w:space="0" w:color="auto"/>
            </w:tcBorders>
            <w:shd w:val="clear" w:color="auto" w:fill="auto"/>
            <w:noWrap/>
            <w:vAlign w:val="center"/>
            <w:hideMark/>
          </w:tcPr>
          <w:p w14:paraId="134E757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9,59</w:t>
            </w:r>
          </w:p>
        </w:tc>
        <w:tc>
          <w:tcPr>
            <w:tcW w:w="992" w:type="dxa"/>
            <w:tcBorders>
              <w:top w:val="nil"/>
              <w:left w:val="nil"/>
              <w:bottom w:val="single" w:sz="4" w:space="0" w:color="auto"/>
              <w:right w:val="single" w:sz="4" w:space="0" w:color="auto"/>
            </w:tcBorders>
            <w:shd w:val="clear" w:color="auto" w:fill="auto"/>
            <w:noWrap/>
            <w:vAlign w:val="center"/>
            <w:hideMark/>
          </w:tcPr>
          <w:p w14:paraId="43FC902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10,71</w:t>
            </w:r>
          </w:p>
        </w:tc>
        <w:tc>
          <w:tcPr>
            <w:tcW w:w="1151" w:type="dxa"/>
            <w:tcBorders>
              <w:top w:val="nil"/>
              <w:left w:val="nil"/>
              <w:bottom w:val="single" w:sz="4" w:space="0" w:color="auto"/>
              <w:right w:val="single" w:sz="4" w:space="0" w:color="auto"/>
            </w:tcBorders>
            <w:shd w:val="clear" w:color="auto" w:fill="auto"/>
            <w:noWrap/>
            <w:vAlign w:val="center"/>
            <w:hideMark/>
          </w:tcPr>
          <w:p w14:paraId="4B33C83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77,74</w:t>
            </w:r>
          </w:p>
        </w:tc>
        <w:tc>
          <w:tcPr>
            <w:tcW w:w="992" w:type="dxa"/>
            <w:tcBorders>
              <w:top w:val="nil"/>
              <w:left w:val="nil"/>
              <w:bottom w:val="single" w:sz="4" w:space="0" w:color="auto"/>
              <w:right w:val="single" w:sz="4" w:space="0" w:color="auto"/>
            </w:tcBorders>
            <w:shd w:val="clear" w:color="auto" w:fill="auto"/>
            <w:noWrap/>
            <w:vAlign w:val="center"/>
            <w:hideMark/>
          </w:tcPr>
          <w:p w14:paraId="1C93E25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67,53</w:t>
            </w:r>
          </w:p>
        </w:tc>
        <w:tc>
          <w:tcPr>
            <w:tcW w:w="993" w:type="dxa"/>
            <w:tcBorders>
              <w:top w:val="nil"/>
              <w:left w:val="nil"/>
              <w:bottom w:val="single" w:sz="4" w:space="0" w:color="auto"/>
              <w:right w:val="single" w:sz="4" w:space="0" w:color="auto"/>
            </w:tcBorders>
            <w:shd w:val="clear" w:color="auto" w:fill="auto"/>
            <w:noWrap/>
            <w:vAlign w:val="center"/>
            <w:hideMark/>
          </w:tcPr>
          <w:p w14:paraId="705EAB3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12,67</w:t>
            </w:r>
          </w:p>
        </w:tc>
        <w:tc>
          <w:tcPr>
            <w:tcW w:w="992" w:type="dxa"/>
            <w:tcBorders>
              <w:top w:val="nil"/>
              <w:left w:val="nil"/>
              <w:bottom w:val="single" w:sz="4" w:space="0" w:color="auto"/>
              <w:right w:val="single" w:sz="4" w:space="0" w:color="auto"/>
            </w:tcBorders>
            <w:shd w:val="clear" w:color="auto" w:fill="auto"/>
            <w:noWrap/>
            <w:vAlign w:val="center"/>
            <w:hideMark/>
          </w:tcPr>
          <w:p w14:paraId="7ADC7DF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21,75</w:t>
            </w:r>
          </w:p>
        </w:tc>
        <w:tc>
          <w:tcPr>
            <w:tcW w:w="992" w:type="dxa"/>
            <w:tcBorders>
              <w:top w:val="nil"/>
              <w:left w:val="nil"/>
              <w:bottom w:val="single" w:sz="4" w:space="0" w:color="auto"/>
              <w:right w:val="single" w:sz="4" w:space="0" w:color="auto"/>
            </w:tcBorders>
            <w:shd w:val="clear" w:color="auto" w:fill="auto"/>
            <w:noWrap/>
            <w:vAlign w:val="center"/>
            <w:hideMark/>
          </w:tcPr>
          <w:p w14:paraId="77D8F36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48,67</w:t>
            </w:r>
          </w:p>
        </w:tc>
        <w:tc>
          <w:tcPr>
            <w:tcW w:w="992" w:type="dxa"/>
            <w:tcBorders>
              <w:top w:val="nil"/>
              <w:left w:val="nil"/>
              <w:bottom w:val="single" w:sz="4" w:space="0" w:color="auto"/>
              <w:right w:val="single" w:sz="4" w:space="0" w:color="auto"/>
            </w:tcBorders>
            <w:shd w:val="clear" w:color="auto" w:fill="auto"/>
            <w:noWrap/>
            <w:vAlign w:val="center"/>
            <w:hideMark/>
          </w:tcPr>
          <w:p w14:paraId="58FE705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51,33</w:t>
            </w:r>
          </w:p>
        </w:tc>
      </w:tr>
      <w:tr w:rsidR="00813A25" w:rsidRPr="002A6CFD" w14:paraId="6CE6CE85"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10493525"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Sobotište</w:t>
            </w:r>
          </w:p>
        </w:tc>
        <w:tc>
          <w:tcPr>
            <w:tcW w:w="903" w:type="dxa"/>
            <w:tcBorders>
              <w:top w:val="nil"/>
              <w:left w:val="nil"/>
              <w:bottom w:val="single" w:sz="4" w:space="0" w:color="auto"/>
              <w:right w:val="single" w:sz="4" w:space="0" w:color="auto"/>
            </w:tcBorders>
            <w:shd w:val="clear" w:color="auto" w:fill="auto"/>
            <w:noWrap/>
            <w:vAlign w:val="center"/>
            <w:hideMark/>
          </w:tcPr>
          <w:p w14:paraId="6388906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14,13</w:t>
            </w:r>
          </w:p>
        </w:tc>
        <w:tc>
          <w:tcPr>
            <w:tcW w:w="992" w:type="dxa"/>
            <w:tcBorders>
              <w:top w:val="nil"/>
              <w:left w:val="nil"/>
              <w:bottom w:val="single" w:sz="4" w:space="0" w:color="auto"/>
              <w:right w:val="single" w:sz="4" w:space="0" w:color="auto"/>
            </w:tcBorders>
            <w:shd w:val="clear" w:color="auto" w:fill="auto"/>
            <w:noWrap/>
            <w:vAlign w:val="center"/>
            <w:hideMark/>
          </w:tcPr>
          <w:p w14:paraId="09188F9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13,34</w:t>
            </w:r>
          </w:p>
        </w:tc>
        <w:tc>
          <w:tcPr>
            <w:tcW w:w="1151" w:type="dxa"/>
            <w:tcBorders>
              <w:top w:val="nil"/>
              <w:left w:val="nil"/>
              <w:bottom w:val="single" w:sz="4" w:space="0" w:color="auto"/>
              <w:right w:val="single" w:sz="4" w:space="0" w:color="auto"/>
            </w:tcBorders>
            <w:shd w:val="clear" w:color="auto" w:fill="auto"/>
            <w:noWrap/>
            <w:vAlign w:val="center"/>
            <w:hideMark/>
          </w:tcPr>
          <w:p w14:paraId="0E497B5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72,27</w:t>
            </w:r>
          </w:p>
        </w:tc>
        <w:tc>
          <w:tcPr>
            <w:tcW w:w="992" w:type="dxa"/>
            <w:tcBorders>
              <w:top w:val="nil"/>
              <w:left w:val="nil"/>
              <w:bottom w:val="single" w:sz="4" w:space="0" w:color="auto"/>
              <w:right w:val="single" w:sz="4" w:space="0" w:color="auto"/>
            </w:tcBorders>
            <w:shd w:val="clear" w:color="auto" w:fill="auto"/>
            <w:noWrap/>
            <w:vAlign w:val="center"/>
            <w:hideMark/>
          </w:tcPr>
          <w:p w14:paraId="340D3FC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66,71</w:t>
            </w:r>
          </w:p>
        </w:tc>
        <w:tc>
          <w:tcPr>
            <w:tcW w:w="993" w:type="dxa"/>
            <w:tcBorders>
              <w:top w:val="nil"/>
              <w:left w:val="nil"/>
              <w:bottom w:val="single" w:sz="4" w:space="0" w:color="auto"/>
              <w:right w:val="single" w:sz="4" w:space="0" w:color="auto"/>
            </w:tcBorders>
            <w:shd w:val="clear" w:color="auto" w:fill="auto"/>
            <w:noWrap/>
            <w:vAlign w:val="center"/>
            <w:hideMark/>
          </w:tcPr>
          <w:p w14:paraId="7B555FB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13,59</w:t>
            </w:r>
          </w:p>
        </w:tc>
        <w:tc>
          <w:tcPr>
            <w:tcW w:w="992" w:type="dxa"/>
            <w:tcBorders>
              <w:top w:val="nil"/>
              <w:left w:val="nil"/>
              <w:bottom w:val="single" w:sz="4" w:space="0" w:color="auto"/>
              <w:right w:val="single" w:sz="4" w:space="0" w:color="auto"/>
            </w:tcBorders>
            <w:shd w:val="clear" w:color="auto" w:fill="auto"/>
            <w:noWrap/>
            <w:vAlign w:val="center"/>
            <w:hideMark/>
          </w:tcPr>
          <w:p w14:paraId="154674F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19,95</w:t>
            </w:r>
          </w:p>
        </w:tc>
        <w:tc>
          <w:tcPr>
            <w:tcW w:w="992" w:type="dxa"/>
            <w:tcBorders>
              <w:top w:val="nil"/>
              <w:left w:val="nil"/>
              <w:bottom w:val="single" w:sz="4" w:space="0" w:color="auto"/>
              <w:right w:val="single" w:sz="4" w:space="0" w:color="auto"/>
            </w:tcBorders>
            <w:shd w:val="clear" w:color="auto" w:fill="auto"/>
            <w:noWrap/>
            <w:vAlign w:val="center"/>
            <w:hideMark/>
          </w:tcPr>
          <w:p w14:paraId="4B02985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50,03</w:t>
            </w:r>
          </w:p>
        </w:tc>
        <w:tc>
          <w:tcPr>
            <w:tcW w:w="992" w:type="dxa"/>
            <w:tcBorders>
              <w:top w:val="nil"/>
              <w:left w:val="nil"/>
              <w:bottom w:val="single" w:sz="4" w:space="0" w:color="auto"/>
              <w:right w:val="single" w:sz="4" w:space="0" w:color="auto"/>
            </w:tcBorders>
            <w:shd w:val="clear" w:color="auto" w:fill="auto"/>
            <w:noWrap/>
            <w:vAlign w:val="center"/>
            <w:hideMark/>
          </w:tcPr>
          <w:p w14:paraId="3D9A8B8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49,97</w:t>
            </w:r>
          </w:p>
        </w:tc>
      </w:tr>
      <w:tr w:rsidR="00813A25" w:rsidRPr="002A6CFD" w14:paraId="5BADC83A"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6D8DAB6A"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Prašník</w:t>
            </w:r>
          </w:p>
        </w:tc>
        <w:tc>
          <w:tcPr>
            <w:tcW w:w="903" w:type="dxa"/>
            <w:tcBorders>
              <w:top w:val="nil"/>
              <w:left w:val="nil"/>
              <w:bottom w:val="single" w:sz="4" w:space="0" w:color="auto"/>
              <w:right w:val="single" w:sz="4" w:space="0" w:color="auto"/>
            </w:tcBorders>
            <w:shd w:val="clear" w:color="auto" w:fill="auto"/>
            <w:noWrap/>
            <w:vAlign w:val="center"/>
            <w:hideMark/>
          </w:tcPr>
          <w:p w14:paraId="6EF5FF4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13,54</w:t>
            </w:r>
          </w:p>
        </w:tc>
        <w:tc>
          <w:tcPr>
            <w:tcW w:w="992" w:type="dxa"/>
            <w:tcBorders>
              <w:top w:val="nil"/>
              <w:left w:val="nil"/>
              <w:bottom w:val="single" w:sz="4" w:space="0" w:color="auto"/>
              <w:right w:val="single" w:sz="4" w:space="0" w:color="auto"/>
            </w:tcBorders>
            <w:shd w:val="clear" w:color="auto" w:fill="auto"/>
            <w:noWrap/>
            <w:vAlign w:val="center"/>
            <w:hideMark/>
          </w:tcPr>
          <w:p w14:paraId="6E50790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11,78</w:t>
            </w:r>
          </w:p>
        </w:tc>
        <w:tc>
          <w:tcPr>
            <w:tcW w:w="1151" w:type="dxa"/>
            <w:tcBorders>
              <w:top w:val="nil"/>
              <w:left w:val="nil"/>
              <w:bottom w:val="single" w:sz="4" w:space="0" w:color="auto"/>
              <w:right w:val="single" w:sz="4" w:space="0" w:color="auto"/>
            </w:tcBorders>
            <w:shd w:val="clear" w:color="auto" w:fill="auto"/>
            <w:noWrap/>
            <w:vAlign w:val="center"/>
            <w:hideMark/>
          </w:tcPr>
          <w:p w14:paraId="203EE63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75,30</w:t>
            </w:r>
          </w:p>
        </w:tc>
        <w:tc>
          <w:tcPr>
            <w:tcW w:w="992" w:type="dxa"/>
            <w:tcBorders>
              <w:top w:val="nil"/>
              <w:left w:val="nil"/>
              <w:bottom w:val="single" w:sz="4" w:space="0" w:color="auto"/>
              <w:right w:val="single" w:sz="4" w:space="0" w:color="auto"/>
            </w:tcBorders>
            <w:shd w:val="clear" w:color="auto" w:fill="auto"/>
            <w:noWrap/>
            <w:vAlign w:val="center"/>
            <w:hideMark/>
          </w:tcPr>
          <w:p w14:paraId="2812B78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70,21</w:t>
            </w:r>
          </w:p>
        </w:tc>
        <w:tc>
          <w:tcPr>
            <w:tcW w:w="993" w:type="dxa"/>
            <w:tcBorders>
              <w:top w:val="nil"/>
              <w:left w:val="nil"/>
              <w:bottom w:val="single" w:sz="4" w:space="0" w:color="auto"/>
              <w:right w:val="single" w:sz="4" w:space="0" w:color="auto"/>
            </w:tcBorders>
            <w:shd w:val="clear" w:color="auto" w:fill="auto"/>
            <w:noWrap/>
            <w:vAlign w:val="center"/>
            <w:hideMark/>
          </w:tcPr>
          <w:p w14:paraId="71169C7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11,16</w:t>
            </w:r>
          </w:p>
        </w:tc>
        <w:tc>
          <w:tcPr>
            <w:tcW w:w="992" w:type="dxa"/>
            <w:tcBorders>
              <w:top w:val="nil"/>
              <w:left w:val="nil"/>
              <w:bottom w:val="single" w:sz="4" w:space="0" w:color="auto"/>
              <w:right w:val="single" w:sz="4" w:space="0" w:color="auto"/>
            </w:tcBorders>
            <w:shd w:val="clear" w:color="auto" w:fill="auto"/>
            <w:noWrap/>
            <w:vAlign w:val="center"/>
            <w:hideMark/>
          </w:tcPr>
          <w:p w14:paraId="0B7C66F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18,01</w:t>
            </w:r>
          </w:p>
        </w:tc>
        <w:tc>
          <w:tcPr>
            <w:tcW w:w="992" w:type="dxa"/>
            <w:tcBorders>
              <w:top w:val="nil"/>
              <w:left w:val="nil"/>
              <w:bottom w:val="single" w:sz="4" w:space="0" w:color="auto"/>
              <w:right w:val="single" w:sz="4" w:space="0" w:color="auto"/>
            </w:tcBorders>
            <w:shd w:val="clear" w:color="auto" w:fill="auto"/>
            <w:noWrap/>
            <w:vAlign w:val="center"/>
            <w:hideMark/>
          </w:tcPr>
          <w:p w14:paraId="3E8678A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49,30</w:t>
            </w:r>
          </w:p>
        </w:tc>
        <w:tc>
          <w:tcPr>
            <w:tcW w:w="992" w:type="dxa"/>
            <w:tcBorders>
              <w:top w:val="nil"/>
              <w:left w:val="nil"/>
              <w:bottom w:val="single" w:sz="4" w:space="0" w:color="auto"/>
              <w:right w:val="single" w:sz="4" w:space="0" w:color="auto"/>
            </w:tcBorders>
            <w:shd w:val="clear" w:color="auto" w:fill="auto"/>
            <w:noWrap/>
            <w:vAlign w:val="center"/>
            <w:hideMark/>
          </w:tcPr>
          <w:p w14:paraId="47CE981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50,70</w:t>
            </w:r>
          </w:p>
        </w:tc>
      </w:tr>
      <w:tr w:rsidR="00813A25" w:rsidRPr="002A6CFD" w14:paraId="10539914" w14:textId="77777777" w:rsidTr="00157E40">
        <w:trPr>
          <w:trHeight w:val="315"/>
        </w:trPr>
        <w:tc>
          <w:tcPr>
            <w:tcW w:w="1522" w:type="dxa"/>
            <w:tcBorders>
              <w:top w:val="nil"/>
              <w:left w:val="single" w:sz="4" w:space="0" w:color="auto"/>
              <w:bottom w:val="single" w:sz="4" w:space="0" w:color="auto"/>
              <w:right w:val="single" w:sz="4" w:space="0" w:color="auto"/>
            </w:tcBorders>
            <w:shd w:val="clear" w:color="000000" w:fill="D9D9D9"/>
            <w:noWrap/>
            <w:vAlign w:val="bottom"/>
            <w:hideMark/>
          </w:tcPr>
          <w:p w14:paraId="34E74E69"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Kopaničiarsky región</w:t>
            </w:r>
          </w:p>
        </w:tc>
        <w:tc>
          <w:tcPr>
            <w:tcW w:w="903" w:type="dxa"/>
            <w:tcBorders>
              <w:top w:val="nil"/>
              <w:left w:val="nil"/>
              <w:bottom w:val="single" w:sz="4" w:space="0" w:color="auto"/>
              <w:right w:val="single" w:sz="4" w:space="0" w:color="auto"/>
            </w:tcBorders>
            <w:shd w:val="clear" w:color="auto" w:fill="auto"/>
            <w:noWrap/>
            <w:vAlign w:val="center"/>
            <w:hideMark/>
          </w:tcPr>
          <w:p w14:paraId="28B7D6DB"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12,65</w:t>
            </w:r>
          </w:p>
        </w:tc>
        <w:tc>
          <w:tcPr>
            <w:tcW w:w="992" w:type="dxa"/>
            <w:tcBorders>
              <w:top w:val="nil"/>
              <w:left w:val="nil"/>
              <w:bottom w:val="single" w:sz="4" w:space="0" w:color="auto"/>
              <w:right w:val="single" w:sz="4" w:space="0" w:color="auto"/>
            </w:tcBorders>
            <w:shd w:val="clear" w:color="auto" w:fill="auto"/>
            <w:noWrap/>
            <w:vAlign w:val="center"/>
            <w:hideMark/>
          </w:tcPr>
          <w:p w14:paraId="2FBA58B1"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11,89</w:t>
            </w:r>
          </w:p>
        </w:tc>
        <w:tc>
          <w:tcPr>
            <w:tcW w:w="1151" w:type="dxa"/>
            <w:tcBorders>
              <w:top w:val="nil"/>
              <w:left w:val="nil"/>
              <w:bottom w:val="single" w:sz="4" w:space="0" w:color="auto"/>
              <w:right w:val="single" w:sz="4" w:space="0" w:color="auto"/>
            </w:tcBorders>
            <w:shd w:val="clear" w:color="auto" w:fill="auto"/>
            <w:noWrap/>
            <w:vAlign w:val="center"/>
            <w:hideMark/>
          </w:tcPr>
          <w:p w14:paraId="1AE93C92"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73,02</w:t>
            </w:r>
          </w:p>
        </w:tc>
        <w:tc>
          <w:tcPr>
            <w:tcW w:w="992" w:type="dxa"/>
            <w:tcBorders>
              <w:top w:val="nil"/>
              <w:left w:val="nil"/>
              <w:bottom w:val="single" w:sz="4" w:space="0" w:color="auto"/>
              <w:right w:val="single" w:sz="4" w:space="0" w:color="auto"/>
            </w:tcBorders>
            <w:shd w:val="clear" w:color="auto" w:fill="auto"/>
            <w:noWrap/>
            <w:vAlign w:val="center"/>
            <w:hideMark/>
          </w:tcPr>
          <w:p w14:paraId="00C55E59"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67,81</w:t>
            </w:r>
          </w:p>
        </w:tc>
        <w:tc>
          <w:tcPr>
            <w:tcW w:w="993" w:type="dxa"/>
            <w:tcBorders>
              <w:top w:val="nil"/>
              <w:left w:val="nil"/>
              <w:bottom w:val="single" w:sz="4" w:space="0" w:color="auto"/>
              <w:right w:val="single" w:sz="4" w:space="0" w:color="auto"/>
            </w:tcBorders>
            <w:shd w:val="clear" w:color="auto" w:fill="auto"/>
            <w:noWrap/>
            <w:vAlign w:val="center"/>
            <w:hideMark/>
          </w:tcPr>
          <w:p w14:paraId="2EC11D60"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14,33</w:t>
            </w:r>
          </w:p>
        </w:tc>
        <w:tc>
          <w:tcPr>
            <w:tcW w:w="992" w:type="dxa"/>
            <w:tcBorders>
              <w:top w:val="nil"/>
              <w:left w:val="nil"/>
              <w:bottom w:val="single" w:sz="4" w:space="0" w:color="auto"/>
              <w:right w:val="single" w:sz="4" w:space="0" w:color="auto"/>
            </w:tcBorders>
            <w:shd w:val="clear" w:color="auto" w:fill="auto"/>
            <w:noWrap/>
            <w:vAlign w:val="center"/>
            <w:hideMark/>
          </w:tcPr>
          <w:p w14:paraId="4190C9B0"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20,30</w:t>
            </w:r>
          </w:p>
        </w:tc>
        <w:tc>
          <w:tcPr>
            <w:tcW w:w="992" w:type="dxa"/>
            <w:tcBorders>
              <w:top w:val="nil"/>
              <w:left w:val="nil"/>
              <w:bottom w:val="single" w:sz="4" w:space="0" w:color="auto"/>
              <w:right w:val="single" w:sz="4" w:space="0" w:color="auto"/>
            </w:tcBorders>
            <w:shd w:val="clear" w:color="auto" w:fill="auto"/>
            <w:noWrap/>
            <w:vAlign w:val="center"/>
            <w:hideMark/>
          </w:tcPr>
          <w:p w14:paraId="6A9633CC"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48,89</w:t>
            </w:r>
          </w:p>
        </w:tc>
        <w:tc>
          <w:tcPr>
            <w:tcW w:w="992" w:type="dxa"/>
            <w:tcBorders>
              <w:top w:val="nil"/>
              <w:left w:val="nil"/>
              <w:bottom w:val="single" w:sz="4" w:space="0" w:color="auto"/>
              <w:right w:val="single" w:sz="4" w:space="0" w:color="auto"/>
            </w:tcBorders>
            <w:shd w:val="clear" w:color="auto" w:fill="auto"/>
            <w:noWrap/>
            <w:vAlign w:val="center"/>
            <w:hideMark/>
          </w:tcPr>
          <w:p w14:paraId="1F4E0CF3"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51,11</w:t>
            </w:r>
          </w:p>
        </w:tc>
      </w:tr>
    </w:tbl>
    <w:p w14:paraId="72243CB9" w14:textId="77777777" w:rsidR="002A6CFD" w:rsidRPr="00F1538F" w:rsidDel="009C38D1" w:rsidRDefault="00D001C4" w:rsidP="002A6CFD">
      <w:pPr>
        <w:keepNext/>
        <w:spacing w:before="120" w:after="0" w:line="360" w:lineRule="auto"/>
        <w:jc w:val="both"/>
        <w:rPr>
          <w:b/>
          <w:sz w:val="20"/>
          <w:szCs w:val="20"/>
        </w:rPr>
      </w:pPr>
      <w:r w:rsidRPr="00F1538F" w:rsidDel="009C38D1">
        <w:rPr>
          <w:b/>
          <w:sz w:val="20"/>
          <w:szCs w:val="20"/>
        </w:rPr>
        <w:lastRenderedPageBreak/>
        <w:t xml:space="preserve"> </w:t>
      </w:r>
      <w:r w:rsidR="002A6CFD" w:rsidRPr="00F1538F">
        <w:rPr>
          <w:rFonts w:ascii="Times New Roman" w:hAnsi="Times New Roman" w:cs="Times New Roman"/>
          <w:b/>
          <w:sz w:val="20"/>
          <w:szCs w:val="20"/>
        </w:rPr>
        <w:t>Tabuľka 3.1.6 Štruktúra populácie podľa produktívnosti v roku 2014</w:t>
      </w:r>
    </w:p>
    <w:tbl>
      <w:tblPr>
        <w:tblW w:w="9654" w:type="dxa"/>
        <w:tblInd w:w="55" w:type="dxa"/>
        <w:tblLayout w:type="fixed"/>
        <w:tblCellMar>
          <w:left w:w="70" w:type="dxa"/>
          <w:right w:w="70" w:type="dxa"/>
        </w:tblCellMar>
        <w:tblLook w:val="04A0" w:firstRow="1" w:lastRow="0" w:firstColumn="1" w:lastColumn="0" w:noHBand="0" w:noVBand="1"/>
      </w:tblPr>
      <w:tblGrid>
        <w:gridCol w:w="1575"/>
        <w:gridCol w:w="1276"/>
        <w:gridCol w:w="850"/>
        <w:gridCol w:w="1134"/>
        <w:gridCol w:w="992"/>
        <w:gridCol w:w="1001"/>
        <w:gridCol w:w="883"/>
        <w:gridCol w:w="859"/>
        <w:gridCol w:w="1084"/>
      </w:tblGrid>
      <w:tr w:rsidR="00813A25" w:rsidRPr="00813A25" w14:paraId="56613AAA" w14:textId="77777777" w:rsidTr="00B91A9B">
        <w:trPr>
          <w:trHeight w:val="315"/>
        </w:trPr>
        <w:tc>
          <w:tcPr>
            <w:tcW w:w="157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3A88B4"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Obec</w:t>
            </w:r>
          </w:p>
        </w:tc>
        <w:tc>
          <w:tcPr>
            <w:tcW w:w="1276" w:type="dxa"/>
            <w:vMerge w:val="restart"/>
            <w:tcBorders>
              <w:top w:val="single" w:sz="4" w:space="0" w:color="auto"/>
              <w:left w:val="single" w:sz="4" w:space="0" w:color="auto"/>
              <w:bottom w:val="nil"/>
              <w:right w:val="single" w:sz="4" w:space="0" w:color="auto"/>
            </w:tcBorders>
            <w:shd w:val="clear" w:color="000000" w:fill="D9D9D9"/>
            <w:vAlign w:val="center"/>
            <w:hideMark/>
          </w:tcPr>
          <w:p w14:paraId="279B5934"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Počet obyvateľov spolu</w:t>
            </w:r>
          </w:p>
        </w:tc>
        <w:tc>
          <w:tcPr>
            <w:tcW w:w="2976"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0DB9E474"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Počet obyvateľov</w:t>
            </w:r>
          </w:p>
        </w:tc>
        <w:tc>
          <w:tcPr>
            <w:tcW w:w="2743" w:type="dxa"/>
            <w:gridSpan w:val="3"/>
            <w:tcBorders>
              <w:top w:val="single" w:sz="4" w:space="0" w:color="auto"/>
              <w:left w:val="single" w:sz="4" w:space="0" w:color="auto"/>
              <w:bottom w:val="single" w:sz="4" w:space="0" w:color="auto"/>
              <w:right w:val="nil"/>
            </w:tcBorders>
            <w:shd w:val="clear" w:color="000000" w:fill="D9D9D9"/>
            <w:noWrap/>
            <w:vAlign w:val="bottom"/>
            <w:hideMark/>
          </w:tcPr>
          <w:p w14:paraId="2F7DF156"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Podiel obyvateľov (%)</w:t>
            </w:r>
          </w:p>
        </w:tc>
        <w:tc>
          <w:tcPr>
            <w:tcW w:w="1084" w:type="dxa"/>
            <w:vMerge w:val="restart"/>
            <w:tcBorders>
              <w:top w:val="single" w:sz="4" w:space="0" w:color="auto"/>
              <w:left w:val="single" w:sz="4" w:space="0" w:color="auto"/>
              <w:bottom w:val="nil"/>
              <w:right w:val="single" w:sz="4" w:space="0" w:color="auto"/>
            </w:tcBorders>
            <w:shd w:val="clear" w:color="000000" w:fill="D9D9D9"/>
            <w:vAlign w:val="center"/>
            <w:hideMark/>
          </w:tcPr>
          <w:p w14:paraId="0DA036C1"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Index starnutia</w:t>
            </w:r>
          </w:p>
        </w:tc>
      </w:tr>
      <w:tr w:rsidR="00813A25" w:rsidRPr="00813A25" w14:paraId="37F0AD61" w14:textId="77777777" w:rsidTr="00B91A9B">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6B148092"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c>
          <w:tcPr>
            <w:tcW w:w="1276" w:type="dxa"/>
            <w:vMerge/>
            <w:tcBorders>
              <w:top w:val="single" w:sz="4" w:space="0" w:color="auto"/>
              <w:left w:val="single" w:sz="4" w:space="0" w:color="auto"/>
              <w:bottom w:val="nil"/>
              <w:right w:val="single" w:sz="4" w:space="0" w:color="auto"/>
            </w:tcBorders>
            <w:vAlign w:val="center"/>
            <w:hideMark/>
          </w:tcPr>
          <w:p w14:paraId="0C9541B3"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c>
          <w:tcPr>
            <w:tcW w:w="850" w:type="dxa"/>
            <w:tcBorders>
              <w:top w:val="nil"/>
              <w:left w:val="nil"/>
              <w:bottom w:val="single" w:sz="4" w:space="0" w:color="auto"/>
              <w:right w:val="nil"/>
            </w:tcBorders>
            <w:shd w:val="clear" w:color="000000" w:fill="D9D9D9"/>
            <w:noWrap/>
            <w:vAlign w:val="bottom"/>
            <w:hideMark/>
          </w:tcPr>
          <w:p w14:paraId="55062FCA"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0 - 14</w:t>
            </w:r>
          </w:p>
        </w:tc>
        <w:tc>
          <w:tcPr>
            <w:tcW w:w="1134" w:type="dxa"/>
            <w:tcBorders>
              <w:top w:val="nil"/>
              <w:left w:val="single" w:sz="4" w:space="0" w:color="auto"/>
              <w:bottom w:val="single" w:sz="4" w:space="0" w:color="auto"/>
              <w:right w:val="nil"/>
            </w:tcBorders>
            <w:shd w:val="clear" w:color="000000" w:fill="D9D9D9"/>
            <w:noWrap/>
            <w:vAlign w:val="bottom"/>
            <w:hideMark/>
          </w:tcPr>
          <w:p w14:paraId="69644853"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15 - 64</w:t>
            </w:r>
          </w:p>
        </w:tc>
        <w:tc>
          <w:tcPr>
            <w:tcW w:w="992" w:type="dxa"/>
            <w:tcBorders>
              <w:top w:val="nil"/>
              <w:left w:val="single" w:sz="4" w:space="0" w:color="auto"/>
              <w:bottom w:val="single" w:sz="4" w:space="0" w:color="auto"/>
              <w:right w:val="nil"/>
            </w:tcBorders>
            <w:shd w:val="clear" w:color="000000" w:fill="D9D9D9"/>
            <w:noWrap/>
            <w:vAlign w:val="bottom"/>
            <w:hideMark/>
          </w:tcPr>
          <w:p w14:paraId="4737803A"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65 +</w:t>
            </w:r>
          </w:p>
        </w:tc>
        <w:tc>
          <w:tcPr>
            <w:tcW w:w="100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3F1660"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0 - 14</w:t>
            </w:r>
          </w:p>
        </w:tc>
        <w:tc>
          <w:tcPr>
            <w:tcW w:w="8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4A2A88"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15 - 64</w:t>
            </w:r>
          </w:p>
        </w:tc>
        <w:tc>
          <w:tcPr>
            <w:tcW w:w="859" w:type="dxa"/>
            <w:tcBorders>
              <w:top w:val="single" w:sz="4" w:space="0" w:color="auto"/>
              <w:left w:val="single" w:sz="4" w:space="0" w:color="auto"/>
              <w:bottom w:val="single" w:sz="4" w:space="0" w:color="auto"/>
              <w:right w:val="nil"/>
            </w:tcBorders>
            <w:shd w:val="clear" w:color="000000" w:fill="D9D9D9"/>
            <w:noWrap/>
            <w:vAlign w:val="bottom"/>
            <w:hideMark/>
          </w:tcPr>
          <w:p w14:paraId="5A4E6C16" w14:textId="77777777" w:rsidR="00813A25" w:rsidRPr="002A6CFD" w:rsidRDefault="00813A25" w:rsidP="00813A25">
            <w:pPr>
              <w:spacing w:after="0" w:line="240" w:lineRule="auto"/>
              <w:jc w:val="center"/>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65 +</w:t>
            </w:r>
          </w:p>
        </w:tc>
        <w:tc>
          <w:tcPr>
            <w:tcW w:w="1084" w:type="dxa"/>
            <w:vMerge/>
            <w:tcBorders>
              <w:top w:val="single" w:sz="4" w:space="0" w:color="auto"/>
              <w:left w:val="single" w:sz="4" w:space="0" w:color="auto"/>
              <w:bottom w:val="nil"/>
              <w:right w:val="single" w:sz="4" w:space="0" w:color="auto"/>
            </w:tcBorders>
            <w:vAlign w:val="center"/>
            <w:hideMark/>
          </w:tcPr>
          <w:p w14:paraId="0D95692D"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p>
        </w:tc>
      </w:tr>
      <w:tr w:rsidR="00813A25" w:rsidRPr="00813A25" w14:paraId="2DC3EE99"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7382766"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Brestovec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4C40A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945</w:t>
            </w:r>
          </w:p>
        </w:tc>
        <w:tc>
          <w:tcPr>
            <w:tcW w:w="850" w:type="dxa"/>
            <w:tcBorders>
              <w:top w:val="nil"/>
              <w:left w:val="nil"/>
              <w:bottom w:val="single" w:sz="4" w:space="0" w:color="auto"/>
              <w:right w:val="single" w:sz="4" w:space="0" w:color="auto"/>
            </w:tcBorders>
            <w:shd w:val="clear" w:color="auto" w:fill="auto"/>
            <w:noWrap/>
            <w:vAlign w:val="center"/>
            <w:hideMark/>
          </w:tcPr>
          <w:p w14:paraId="785852C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124</w:t>
            </w:r>
          </w:p>
        </w:tc>
        <w:tc>
          <w:tcPr>
            <w:tcW w:w="1134" w:type="dxa"/>
            <w:tcBorders>
              <w:top w:val="nil"/>
              <w:left w:val="nil"/>
              <w:bottom w:val="single" w:sz="4" w:space="0" w:color="auto"/>
              <w:right w:val="single" w:sz="4" w:space="0" w:color="auto"/>
            </w:tcBorders>
            <w:shd w:val="clear" w:color="auto" w:fill="auto"/>
            <w:noWrap/>
            <w:vAlign w:val="center"/>
            <w:hideMark/>
          </w:tcPr>
          <w:p w14:paraId="6F6B900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629</w:t>
            </w:r>
          </w:p>
        </w:tc>
        <w:tc>
          <w:tcPr>
            <w:tcW w:w="992" w:type="dxa"/>
            <w:tcBorders>
              <w:top w:val="nil"/>
              <w:left w:val="nil"/>
              <w:bottom w:val="single" w:sz="4" w:space="0" w:color="auto"/>
              <w:right w:val="single" w:sz="4" w:space="0" w:color="auto"/>
            </w:tcBorders>
            <w:shd w:val="clear" w:color="auto" w:fill="auto"/>
            <w:noWrap/>
            <w:vAlign w:val="center"/>
            <w:hideMark/>
          </w:tcPr>
          <w:p w14:paraId="0C813530" w14:textId="77777777" w:rsidR="00813A25" w:rsidRPr="002A6CFD" w:rsidRDefault="00B91A9B" w:rsidP="00B91A9B">
            <w:pPr>
              <w:spacing w:after="0" w:line="240" w:lineRule="auto"/>
              <w:ind w:firstLineChars="200" w:firstLine="440"/>
              <w:jc w:val="right"/>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192</w:t>
            </w:r>
          </w:p>
        </w:tc>
        <w:tc>
          <w:tcPr>
            <w:tcW w:w="1001" w:type="dxa"/>
            <w:tcBorders>
              <w:top w:val="nil"/>
              <w:left w:val="nil"/>
              <w:bottom w:val="single" w:sz="4" w:space="0" w:color="auto"/>
              <w:right w:val="single" w:sz="4" w:space="0" w:color="auto"/>
            </w:tcBorders>
            <w:shd w:val="clear" w:color="auto" w:fill="auto"/>
            <w:noWrap/>
            <w:vAlign w:val="center"/>
            <w:hideMark/>
          </w:tcPr>
          <w:p w14:paraId="53E2216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13,12</w:t>
            </w:r>
          </w:p>
        </w:tc>
        <w:tc>
          <w:tcPr>
            <w:tcW w:w="883" w:type="dxa"/>
            <w:tcBorders>
              <w:top w:val="nil"/>
              <w:left w:val="nil"/>
              <w:bottom w:val="single" w:sz="4" w:space="0" w:color="auto"/>
              <w:right w:val="single" w:sz="4" w:space="0" w:color="auto"/>
            </w:tcBorders>
            <w:shd w:val="clear" w:color="auto" w:fill="auto"/>
            <w:noWrap/>
            <w:vAlign w:val="center"/>
            <w:hideMark/>
          </w:tcPr>
          <w:p w14:paraId="2528DB7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66,56</w:t>
            </w:r>
          </w:p>
        </w:tc>
        <w:tc>
          <w:tcPr>
            <w:tcW w:w="859" w:type="dxa"/>
            <w:tcBorders>
              <w:top w:val="nil"/>
              <w:left w:val="nil"/>
              <w:bottom w:val="single" w:sz="4" w:space="0" w:color="auto"/>
              <w:right w:val="single" w:sz="4" w:space="0" w:color="auto"/>
            </w:tcBorders>
            <w:shd w:val="clear" w:color="auto" w:fill="auto"/>
            <w:noWrap/>
            <w:vAlign w:val="center"/>
            <w:hideMark/>
          </w:tcPr>
          <w:p w14:paraId="2B77422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20,32</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1931FD0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154,84</w:t>
            </w:r>
          </w:p>
        </w:tc>
      </w:tr>
      <w:tr w:rsidR="00813A25" w:rsidRPr="00813A25" w14:paraId="41AB559B"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50A53840"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Brezová pod Bradlom</w:t>
            </w:r>
          </w:p>
        </w:tc>
        <w:tc>
          <w:tcPr>
            <w:tcW w:w="1276" w:type="dxa"/>
            <w:tcBorders>
              <w:top w:val="nil"/>
              <w:left w:val="nil"/>
              <w:bottom w:val="single" w:sz="4" w:space="0" w:color="auto"/>
              <w:right w:val="single" w:sz="4" w:space="0" w:color="auto"/>
            </w:tcBorders>
            <w:shd w:val="clear" w:color="auto" w:fill="auto"/>
            <w:noWrap/>
            <w:vAlign w:val="center"/>
            <w:hideMark/>
          </w:tcPr>
          <w:p w14:paraId="6D6BD2D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4 996</w:t>
            </w:r>
          </w:p>
        </w:tc>
        <w:tc>
          <w:tcPr>
            <w:tcW w:w="850" w:type="dxa"/>
            <w:tcBorders>
              <w:top w:val="nil"/>
              <w:left w:val="nil"/>
              <w:bottom w:val="single" w:sz="4" w:space="0" w:color="auto"/>
              <w:right w:val="single" w:sz="4" w:space="0" w:color="auto"/>
            </w:tcBorders>
            <w:shd w:val="clear" w:color="auto" w:fill="auto"/>
            <w:noWrap/>
            <w:vAlign w:val="center"/>
            <w:hideMark/>
          </w:tcPr>
          <w:p w14:paraId="5C83F837"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561</w:t>
            </w:r>
          </w:p>
        </w:tc>
        <w:tc>
          <w:tcPr>
            <w:tcW w:w="1134" w:type="dxa"/>
            <w:tcBorders>
              <w:top w:val="nil"/>
              <w:left w:val="nil"/>
              <w:bottom w:val="single" w:sz="4" w:space="0" w:color="auto"/>
              <w:right w:val="single" w:sz="4" w:space="0" w:color="auto"/>
            </w:tcBorders>
            <w:shd w:val="clear" w:color="auto" w:fill="auto"/>
            <w:noWrap/>
            <w:vAlign w:val="center"/>
            <w:hideMark/>
          </w:tcPr>
          <w:p w14:paraId="4DD630B8"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3 699</w:t>
            </w:r>
          </w:p>
        </w:tc>
        <w:tc>
          <w:tcPr>
            <w:tcW w:w="992" w:type="dxa"/>
            <w:tcBorders>
              <w:top w:val="nil"/>
              <w:left w:val="nil"/>
              <w:bottom w:val="single" w:sz="4" w:space="0" w:color="auto"/>
              <w:right w:val="single" w:sz="4" w:space="0" w:color="auto"/>
            </w:tcBorders>
            <w:shd w:val="clear" w:color="auto" w:fill="auto"/>
            <w:noWrap/>
            <w:vAlign w:val="center"/>
            <w:hideMark/>
          </w:tcPr>
          <w:p w14:paraId="2D17DB6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736</w:t>
            </w:r>
          </w:p>
        </w:tc>
        <w:tc>
          <w:tcPr>
            <w:tcW w:w="1001" w:type="dxa"/>
            <w:tcBorders>
              <w:top w:val="nil"/>
              <w:left w:val="nil"/>
              <w:bottom w:val="single" w:sz="4" w:space="0" w:color="auto"/>
              <w:right w:val="single" w:sz="4" w:space="0" w:color="auto"/>
            </w:tcBorders>
            <w:shd w:val="clear" w:color="auto" w:fill="auto"/>
            <w:noWrap/>
            <w:vAlign w:val="center"/>
            <w:hideMark/>
          </w:tcPr>
          <w:p w14:paraId="0749197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11,23</w:t>
            </w:r>
          </w:p>
        </w:tc>
        <w:tc>
          <w:tcPr>
            <w:tcW w:w="883" w:type="dxa"/>
            <w:tcBorders>
              <w:top w:val="nil"/>
              <w:left w:val="nil"/>
              <w:bottom w:val="single" w:sz="4" w:space="0" w:color="auto"/>
              <w:right w:val="single" w:sz="4" w:space="0" w:color="auto"/>
            </w:tcBorders>
            <w:shd w:val="clear" w:color="auto" w:fill="auto"/>
            <w:noWrap/>
            <w:vAlign w:val="center"/>
            <w:hideMark/>
          </w:tcPr>
          <w:p w14:paraId="1A61FD2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74,04</w:t>
            </w:r>
          </w:p>
        </w:tc>
        <w:tc>
          <w:tcPr>
            <w:tcW w:w="859" w:type="dxa"/>
            <w:tcBorders>
              <w:top w:val="nil"/>
              <w:left w:val="nil"/>
              <w:bottom w:val="single" w:sz="4" w:space="0" w:color="auto"/>
              <w:right w:val="single" w:sz="4" w:space="0" w:color="auto"/>
            </w:tcBorders>
            <w:shd w:val="clear" w:color="auto" w:fill="auto"/>
            <w:noWrap/>
            <w:vAlign w:val="center"/>
            <w:hideMark/>
          </w:tcPr>
          <w:p w14:paraId="3C38EF9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14,73</w:t>
            </w:r>
          </w:p>
        </w:tc>
        <w:tc>
          <w:tcPr>
            <w:tcW w:w="1084" w:type="dxa"/>
            <w:tcBorders>
              <w:top w:val="nil"/>
              <w:left w:val="nil"/>
              <w:bottom w:val="single" w:sz="4" w:space="0" w:color="auto"/>
              <w:right w:val="single" w:sz="4" w:space="0" w:color="auto"/>
            </w:tcBorders>
            <w:shd w:val="clear" w:color="auto" w:fill="auto"/>
            <w:noWrap/>
            <w:vAlign w:val="center"/>
            <w:hideMark/>
          </w:tcPr>
          <w:p w14:paraId="6F4B954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131,19</w:t>
            </w:r>
          </w:p>
        </w:tc>
      </w:tr>
      <w:tr w:rsidR="00813A25" w:rsidRPr="00813A25" w14:paraId="58ADCE1F"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50002C8"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Bukovec</w:t>
            </w:r>
          </w:p>
        </w:tc>
        <w:tc>
          <w:tcPr>
            <w:tcW w:w="1276" w:type="dxa"/>
            <w:tcBorders>
              <w:top w:val="nil"/>
              <w:left w:val="nil"/>
              <w:bottom w:val="single" w:sz="4" w:space="0" w:color="auto"/>
              <w:right w:val="single" w:sz="4" w:space="0" w:color="auto"/>
            </w:tcBorders>
            <w:shd w:val="clear" w:color="auto" w:fill="auto"/>
            <w:noWrap/>
            <w:vAlign w:val="center"/>
            <w:hideMark/>
          </w:tcPr>
          <w:p w14:paraId="4C77ACF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421</w:t>
            </w:r>
          </w:p>
        </w:tc>
        <w:tc>
          <w:tcPr>
            <w:tcW w:w="850" w:type="dxa"/>
            <w:tcBorders>
              <w:top w:val="nil"/>
              <w:left w:val="nil"/>
              <w:bottom w:val="single" w:sz="4" w:space="0" w:color="auto"/>
              <w:right w:val="single" w:sz="4" w:space="0" w:color="auto"/>
            </w:tcBorders>
            <w:shd w:val="clear" w:color="auto" w:fill="auto"/>
            <w:noWrap/>
            <w:vAlign w:val="center"/>
            <w:hideMark/>
          </w:tcPr>
          <w:p w14:paraId="26325DD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55</w:t>
            </w:r>
          </w:p>
        </w:tc>
        <w:tc>
          <w:tcPr>
            <w:tcW w:w="1134" w:type="dxa"/>
            <w:tcBorders>
              <w:top w:val="nil"/>
              <w:left w:val="nil"/>
              <w:bottom w:val="single" w:sz="4" w:space="0" w:color="auto"/>
              <w:right w:val="single" w:sz="4" w:space="0" w:color="auto"/>
            </w:tcBorders>
            <w:shd w:val="clear" w:color="auto" w:fill="auto"/>
            <w:noWrap/>
            <w:vAlign w:val="center"/>
            <w:hideMark/>
          </w:tcPr>
          <w:p w14:paraId="7545BA3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276</w:t>
            </w:r>
          </w:p>
        </w:tc>
        <w:tc>
          <w:tcPr>
            <w:tcW w:w="992" w:type="dxa"/>
            <w:tcBorders>
              <w:top w:val="nil"/>
              <w:left w:val="nil"/>
              <w:bottom w:val="single" w:sz="4" w:space="0" w:color="auto"/>
              <w:right w:val="single" w:sz="4" w:space="0" w:color="auto"/>
            </w:tcBorders>
            <w:shd w:val="clear" w:color="auto" w:fill="auto"/>
            <w:noWrap/>
            <w:vAlign w:val="center"/>
            <w:hideMark/>
          </w:tcPr>
          <w:p w14:paraId="0F06D9E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90</w:t>
            </w:r>
          </w:p>
        </w:tc>
        <w:tc>
          <w:tcPr>
            <w:tcW w:w="1001" w:type="dxa"/>
            <w:tcBorders>
              <w:top w:val="nil"/>
              <w:left w:val="nil"/>
              <w:bottom w:val="single" w:sz="4" w:space="0" w:color="auto"/>
              <w:right w:val="single" w:sz="4" w:space="0" w:color="auto"/>
            </w:tcBorders>
            <w:shd w:val="clear" w:color="auto" w:fill="auto"/>
            <w:noWrap/>
            <w:vAlign w:val="center"/>
            <w:hideMark/>
          </w:tcPr>
          <w:p w14:paraId="14E162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13,06</w:t>
            </w:r>
          </w:p>
        </w:tc>
        <w:tc>
          <w:tcPr>
            <w:tcW w:w="883" w:type="dxa"/>
            <w:tcBorders>
              <w:top w:val="nil"/>
              <w:left w:val="nil"/>
              <w:bottom w:val="single" w:sz="4" w:space="0" w:color="auto"/>
              <w:right w:val="single" w:sz="4" w:space="0" w:color="auto"/>
            </w:tcBorders>
            <w:shd w:val="clear" w:color="auto" w:fill="auto"/>
            <w:noWrap/>
            <w:vAlign w:val="center"/>
            <w:hideMark/>
          </w:tcPr>
          <w:p w14:paraId="258254F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65,56</w:t>
            </w:r>
          </w:p>
        </w:tc>
        <w:tc>
          <w:tcPr>
            <w:tcW w:w="859" w:type="dxa"/>
            <w:tcBorders>
              <w:top w:val="nil"/>
              <w:left w:val="nil"/>
              <w:bottom w:val="single" w:sz="4" w:space="0" w:color="auto"/>
              <w:right w:val="single" w:sz="4" w:space="0" w:color="auto"/>
            </w:tcBorders>
            <w:shd w:val="clear" w:color="auto" w:fill="auto"/>
            <w:noWrap/>
            <w:vAlign w:val="center"/>
            <w:hideMark/>
          </w:tcPr>
          <w:p w14:paraId="14015D6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21,38</w:t>
            </w:r>
          </w:p>
        </w:tc>
        <w:tc>
          <w:tcPr>
            <w:tcW w:w="1084" w:type="dxa"/>
            <w:tcBorders>
              <w:top w:val="nil"/>
              <w:left w:val="nil"/>
              <w:bottom w:val="single" w:sz="4" w:space="0" w:color="auto"/>
              <w:right w:val="single" w:sz="4" w:space="0" w:color="auto"/>
            </w:tcBorders>
            <w:shd w:val="clear" w:color="auto" w:fill="auto"/>
            <w:noWrap/>
            <w:vAlign w:val="center"/>
            <w:hideMark/>
          </w:tcPr>
          <w:p w14:paraId="1369B0B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163,64</w:t>
            </w:r>
          </w:p>
        </w:tc>
      </w:tr>
      <w:tr w:rsidR="00813A25" w:rsidRPr="00813A25" w14:paraId="414CCEEA"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1EC97373"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Hrašné</w:t>
            </w:r>
          </w:p>
        </w:tc>
        <w:tc>
          <w:tcPr>
            <w:tcW w:w="1276" w:type="dxa"/>
            <w:tcBorders>
              <w:top w:val="nil"/>
              <w:left w:val="nil"/>
              <w:bottom w:val="single" w:sz="4" w:space="0" w:color="auto"/>
              <w:right w:val="single" w:sz="4" w:space="0" w:color="auto"/>
            </w:tcBorders>
            <w:shd w:val="clear" w:color="auto" w:fill="auto"/>
            <w:noWrap/>
            <w:vAlign w:val="center"/>
            <w:hideMark/>
          </w:tcPr>
          <w:p w14:paraId="315EC3B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485</w:t>
            </w:r>
          </w:p>
        </w:tc>
        <w:tc>
          <w:tcPr>
            <w:tcW w:w="850" w:type="dxa"/>
            <w:tcBorders>
              <w:top w:val="nil"/>
              <w:left w:val="nil"/>
              <w:bottom w:val="single" w:sz="4" w:space="0" w:color="auto"/>
              <w:right w:val="single" w:sz="4" w:space="0" w:color="auto"/>
            </w:tcBorders>
            <w:shd w:val="clear" w:color="auto" w:fill="auto"/>
            <w:noWrap/>
            <w:vAlign w:val="center"/>
            <w:hideMark/>
          </w:tcPr>
          <w:p w14:paraId="1B88160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46</w:t>
            </w:r>
          </w:p>
        </w:tc>
        <w:tc>
          <w:tcPr>
            <w:tcW w:w="1134" w:type="dxa"/>
            <w:tcBorders>
              <w:top w:val="nil"/>
              <w:left w:val="nil"/>
              <w:bottom w:val="single" w:sz="4" w:space="0" w:color="auto"/>
              <w:right w:val="single" w:sz="4" w:space="0" w:color="auto"/>
            </w:tcBorders>
            <w:shd w:val="clear" w:color="auto" w:fill="auto"/>
            <w:noWrap/>
            <w:vAlign w:val="center"/>
            <w:hideMark/>
          </w:tcPr>
          <w:p w14:paraId="4EC1173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313</w:t>
            </w:r>
          </w:p>
        </w:tc>
        <w:tc>
          <w:tcPr>
            <w:tcW w:w="992" w:type="dxa"/>
            <w:tcBorders>
              <w:top w:val="nil"/>
              <w:left w:val="nil"/>
              <w:bottom w:val="single" w:sz="4" w:space="0" w:color="auto"/>
              <w:right w:val="single" w:sz="4" w:space="0" w:color="auto"/>
            </w:tcBorders>
            <w:shd w:val="clear" w:color="auto" w:fill="auto"/>
            <w:noWrap/>
            <w:vAlign w:val="center"/>
            <w:hideMark/>
          </w:tcPr>
          <w:p w14:paraId="60A4F75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w:t>
            </w:r>
          </w:p>
        </w:tc>
        <w:tc>
          <w:tcPr>
            <w:tcW w:w="1001" w:type="dxa"/>
            <w:tcBorders>
              <w:top w:val="nil"/>
              <w:left w:val="nil"/>
              <w:bottom w:val="single" w:sz="4" w:space="0" w:color="auto"/>
              <w:right w:val="single" w:sz="4" w:space="0" w:color="auto"/>
            </w:tcBorders>
            <w:shd w:val="clear" w:color="auto" w:fill="auto"/>
            <w:noWrap/>
            <w:vAlign w:val="center"/>
            <w:hideMark/>
          </w:tcPr>
          <w:p w14:paraId="33B2AF2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9,48</w:t>
            </w:r>
          </w:p>
        </w:tc>
        <w:tc>
          <w:tcPr>
            <w:tcW w:w="883" w:type="dxa"/>
            <w:tcBorders>
              <w:top w:val="nil"/>
              <w:left w:val="nil"/>
              <w:bottom w:val="single" w:sz="4" w:space="0" w:color="auto"/>
              <w:right w:val="single" w:sz="4" w:space="0" w:color="auto"/>
            </w:tcBorders>
            <w:shd w:val="clear" w:color="auto" w:fill="auto"/>
            <w:noWrap/>
            <w:vAlign w:val="center"/>
            <w:hideMark/>
          </w:tcPr>
          <w:p w14:paraId="68F7765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64,54</w:t>
            </w:r>
          </w:p>
        </w:tc>
        <w:tc>
          <w:tcPr>
            <w:tcW w:w="859" w:type="dxa"/>
            <w:tcBorders>
              <w:top w:val="nil"/>
              <w:left w:val="nil"/>
              <w:bottom w:val="single" w:sz="4" w:space="0" w:color="auto"/>
              <w:right w:val="single" w:sz="4" w:space="0" w:color="auto"/>
            </w:tcBorders>
            <w:shd w:val="clear" w:color="auto" w:fill="auto"/>
            <w:noWrap/>
            <w:vAlign w:val="center"/>
            <w:hideMark/>
          </w:tcPr>
          <w:p w14:paraId="7883C06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25,98</w:t>
            </w:r>
          </w:p>
        </w:tc>
        <w:tc>
          <w:tcPr>
            <w:tcW w:w="1084" w:type="dxa"/>
            <w:tcBorders>
              <w:top w:val="nil"/>
              <w:left w:val="nil"/>
              <w:bottom w:val="single" w:sz="4" w:space="0" w:color="auto"/>
              <w:right w:val="single" w:sz="4" w:space="0" w:color="auto"/>
            </w:tcBorders>
            <w:shd w:val="clear" w:color="auto" w:fill="auto"/>
            <w:noWrap/>
            <w:vAlign w:val="center"/>
            <w:hideMark/>
          </w:tcPr>
          <w:p w14:paraId="7178C5E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273,91</w:t>
            </w:r>
          </w:p>
        </w:tc>
      </w:tr>
      <w:tr w:rsidR="00813A25" w:rsidRPr="00813A25" w14:paraId="12BF6C25"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3AAAB010"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Chvojnica</w:t>
            </w:r>
          </w:p>
        </w:tc>
        <w:tc>
          <w:tcPr>
            <w:tcW w:w="1276" w:type="dxa"/>
            <w:tcBorders>
              <w:top w:val="nil"/>
              <w:left w:val="nil"/>
              <w:bottom w:val="single" w:sz="4" w:space="0" w:color="auto"/>
              <w:right w:val="single" w:sz="4" w:space="0" w:color="auto"/>
            </w:tcBorders>
            <w:shd w:val="clear" w:color="auto" w:fill="auto"/>
            <w:noWrap/>
            <w:vAlign w:val="center"/>
            <w:hideMark/>
          </w:tcPr>
          <w:p w14:paraId="4131337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362</w:t>
            </w:r>
          </w:p>
        </w:tc>
        <w:tc>
          <w:tcPr>
            <w:tcW w:w="850" w:type="dxa"/>
            <w:tcBorders>
              <w:top w:val="nil"/>
              <w:left w:val="nil"/>
              <w:bottom w:val="single" w:sz="4" w:space="0" w:color="auto"/>
              <w:right w:val="single" w:sz="4" w:space="0" w:color="auto"/>
            </w:tcBorders>
            <w:shd w:val="clear" w:color="auto" w:fill="auto"/>
            <w:noWrap/>
            <w:vAlign w:val="center"/>
            <w:hideMark/>
          </w:tcPr>
          <w:p w14:paraId="179084BF"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43</w:t>
            </w:r>
          </w:p>
        </w:tc>
        <w:tc>
          <w:tcPr>
            <w:tcW w:w="1134" w:type="dxa"/>
            <w:tcBorders>
              <w:top w:val="nil"/>
              <w:left w:val="nil"/>
              <w:bottom w:val="single" w:sz="4" w:space="0" w:color="auto"/>
              <w:right w:val="single" w:sz="4" w:space="0" w:color="auto"/>
            </w:tcBorders>
            <w:shd w:val="clear" w:color="auto" w:fill="auto"/>
            <w:noWrap/>
            <w:vAlign w:val="center"/>
            <w:hideMark/>
          </w:tcPr>
          <w:p w14:paraId="1E415A6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247</w:t>
            </w:r>
          </w:p>
        </w:tc>
        <w:tc>
          <w:tcPr>
            <w:tcW w:w="992" w:type="dxa"/>
            <w:tcBorders>
              <w:top w:val="nil"/>
              <w:left w:val="nil"/>
              <w:bottom w:val="single" w:sz="4" w:space="0" w:color="auto"/>
              <w:right w:val="single" w:sz="4" w:space="0" w:color="auto"/>
            </w:tcBorders>
            <w:shd w:val="clear" w:color="auto" w:fill="auto"/>
            <w:noWrap/>
            <w:vAlign w:val="center"/>
            <w:hideMark/>
          </w:tcPr>
          <w:p w14:paraId="4C369C3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w:t>
            </w:r>
          </w:p>
        </w:tc>
        <w:tc>
          <w:tcPr>
            <w:tcW w:w="1001" w:type="dxa"/>
            <w:tcBorders>
              <w:top w:val="nil"/>
              <w:left w:val="nil"/>
              <w:bottom w:val="single" w:sz="4" w:space="0" w:color="auto"/>
              <w:right w:val="single" w:sz="4" w:space="0" w:color="auto"/>
            </w:tcBorders>
            <w:shd w:val="clear" w:color="auto" w:fill="auto"/>
            <w:noWrap/>
            <w:vAlign w:val="center"/>
            <w:hideMark/>
          </w:tcPr>
          <w:p w14:paraId="66134ED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11,88</w:t>
            </w:r>
          </w:p>
        </w:tc>
        <w:tc>
          <w:tcPr>
            <w:tcW w:w="883" w:type="dxa"/>
            <w:tcBorders>
              <w:top w:val="nil"/>
              <w:left w:val="nil"/>
              <w:bottom w:val="single" w:sz="4" w:space="0" w:color="auto"/>
              <w:right w:val="single" w:sz="4" w:space="0" w:color="auto"/>
            </w:tcBorders>
            <w:shd w:val="clear" w:color="auto" w:fill="auto"/>
            <w:noWrap/>
            <w:vAlign w:val="center"/>
            <w:hideMark/>
          </w:tcPr>
          <w:p w14:paraId="0DC50AD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68,23</w:t>
            </w:r>
          </w:p>
        </w:tc>
        <w:tc>
          <w:tcPr>
            <w:tcW w:w="859" w:type="dxa"/>
            <w:tcBorders>
              <w:top w:val="nil"/>
              <w:left w:val="nil"/>
              <w:bottom w:val="single" w:sz="4" w:space="0" w:color="auto"/>
              <w:right w:val="single" w:sz="4" w:space="0" w:color="auto"/>
            </w:tcBorders>
            <w:shd w:val="clear" w:color="auto" w:fill="auto"/>
            <w:noWrap/>
            <w:vAlign w:val="center"/>
            <w:hideMark/>
          </w:tcPr>
          <w:p w14:paraId="5B3DA76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19,89</w:t>
            </w:r>
          </w:p>
        </w:tc>
        <w:tc>
          <w:tcPr>
            <w:tcW w:w="1084" w:type="dxa"/>
            <w:tcBorders>
              <w:top w:val="nil"/>
              <w:left w:val="nil"/>
              <w:bottom w:val="single" w:sz="4" w:space="0" w:color="auto"/>
              <w:right w:val="single" w:sz="4" w:space="0" w:color="auto"/>
            </w:tcBorders>
            <w:shd w:val="clear" w:color="auto" w:fill="auto"/>
            <w:noWrap/>
            <w:vAlign w:val="center"/>
            <w:hideMark/>
          </w:tcPr>
          <w:p w14:paraId="674D122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167,44</w:t>
            </w:r>
          </w:p>
        </w:tc>
      </w:tr>
      <w:tr w:rsidR="00813A25" w:rsidRPr="00813A25" w14:paraId="39F40996"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54A47D7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Jablonka</w:t>
            </w:r>
          </w:p>
        </w:tc>
        <w:tc>
          <w:tcPr>
            <w:tcW w:w="1276" w:type="dxa"/>
            <w:tcBorders>
              <w:top w:val="nil"/>
              <w:left w:val="nil"/>
              <w:bottom w:val="single" w:sz="4" w:space="0" w:color="auto"/>
              <w:right w:val="single" w:sz="4" w:space="0" w:color="auto"/>
            </w:tcBorders>
            <w:shd w:val="clear" w:color="auto" w:fill="auto"/>
            <w:noWrap/>
            <w:vAlign w:val="center"/>
            <w:hideMark/>
          </w:tcPr>
          <w:p w14:paraId="456E16A5"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482</w:t>
            </w:r>
          </w:p>
        </w:tc>
        <w:tc>
          <w:tcPr>
            <w:tcW w:w="850" w:type="dxa"/>
            <w:tcBorders>
              <w:top w:val="nil"/>
              <w:left w:val="nil"/>
              <w:bottom w:val="single" w:sz="4" w:space="0" w:color="auto"/>
              <w:right w:val="single" w:sz="4" w:space="0" w:color="auto"/>
            </w:tcBorders>
            <w:shd w:val="clear" w:color="auto" w:fill="auto"/>
            <w:noWrap/>
            <w:vAlign w:val="center"/>
            <w:hideMark/>
          </w:tcPr>
          <w:p w14:paraId="2B679EA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52</w:t>
            </w:r>
          </w:p>
        </w:tc>
        <w:tc>
          <w:tcPr>
            <w:tcW w:w="1134" w:type="dxa"/>
            <w:tcBorders>
              <w:top w:val="nil"/>
              <w:left w:val="nil"/>
              <w:bottom w:val="single" w:sz="4" w:space="0" w:color="auto"/>
              <w:right w:val="single" w:sz="4" w:space="0" w:color="auto"/>
            </w:tcBorders>
            <w:shd w:val="clear" w:color="auto" w:fill="auto"/>
            <w:noWrap/>
            <w:vAlign w:val="center"/>
            <w:hideMark/>
          </w:tcPr>
          <w:p w14:paraId="413EE11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322</w:t>
            </w:r>
          </w:p>
        </w:tc>
        <w:tc>
          <w:tcPr>
            <w:tcW w:w="992" w:type="dxa"/>
            <w:tcBorders>
              <w:top w:val="nil"/>
              <w:left w:val="nil"/>
              <w:bottom w:val="single" w:sz="4" w:space="0" w:color="auto"/>
              <w:right w:val="single" w:sz="4" w:space="0" w:color="auto"/>
            </w:tcBorders>
            <w:shd w:val="clear" w:color="auto" w:fill="auto"/>
            <w:noWrap/>
            <w:vAlign w:val="center"/>
            <w:hideMark/>
          </w:tcPr>
          <w:p w14:paraId="244DD01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108</w:t>
            </w:r>
          </w:p>
        </w:tc>
        <w:tc>
          <w:tcPr>
            <w:tcW w:w="1001" w:type="dxa"/>
            <w:tcBorders>
              <w:top w:val="nil"/>
              <w:left w:val="nil"/>
              <w:bottom w:val="single" w:sz="4" w:space="0" w:color="auto"/>
              <w:right w:val="single" w:sz="4" w:space="0" w:color="auto"/>
            </w:tcBorders>
            <w:shd w:val="clear" w:color="auto" w:fill="auto"/>
            <w:noWrap/>
            <w:vAlign w:val="center"/>
            <w:hideMark/>
          </w:tcPr>
          <w:p w14:paraId="5835376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10,79</w:t>
            </w:r>
          </w:p>
        </w:tc>
        <w:tc>
          <w:tcPr>
            <w:tcW w:w="883" w:type="dxa"/>
            <w:tcBorders>
              <w:top w:val="nil"/>
              <w:left w:val="nil"/>
              <w:bottom w:val="single" w:sz="4" w:space="0" w:color="auto"/>
              <w:right w:val="single" w:sz="4" w:space="0" w:color="auto"/>
            </w:tcBorders>
            <w:shd w:val="clear" w:color="auto" w:fill="auto"/>
            <w:noWrap/>
            <w:vAlign w:val="center"/>
            <w:hideMark/>
          </w:tcPr>
          <w:p w14:paraId="0C9A7E7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66,80</w:t>
            </w:r>
          </w:p>
        </w:tc>
        <w:tc>
          <w:tcPr>
            <w:tcW w:w="859" w:type="dxa"/>
            <w:tcBorders>
              <w:top w:val="nil"/>
              <w:left w:val="nil"/>
              <w:bottom w:val="single" w:sz="4" w:space="0" w:color="auto"/>
              <w:right w:val="single" w:sz="4" w:space="0" w:color="auto"/>
            </w:tcBorders>
            <w:shd w:val="clear" w:color="auto" w:fill="auto"/>
            <w:noWrap/>
            <w:vAlign w:val="center"/>
            <w:hideMark/>
          </w:tcPr>
          <w:p w14:paraId="1DF1BF1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22,41</w:t>
            </w:r>
          </w:p>
        </w:tc>
        <w:tc>
          <w:tcPr>
            <w:tcW w:w="1084" w:type="dxa"/>
            <w:tcBorders>
              <w:top w:val="nil"/>
              <w:left w:val="nil"/>
              <w:bottom w:val="single" w:sz="4" w:space="0" w:color="auto"/>
              <w:right w:val="single" w:sz="4" w:space="0" w:color="auto"/>
            </w:tcBorders>
            <w:shd w:val="clear" w:color="auto" w:fill="auto"/>
            <w:noWrap/>
            <w:vAlign w:val="center"/>
            <w:hideMark/>
          </w:tcPr>
          <w:p w14:paraId="5E3BDF5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207,69</w:t>
            </w:r>
          </w:p>
        </w:tc>
      </w:tr>
      <w:tr w:rsidR="00813A25" w:rsidRPr="00813A25" w14:paraId="4ECDECD8"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220986E"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Kostolné</w:t>
            </w:r>
          </w:p>
        </w:tc>
        <w:tc>
          <w:tcPr>
            <w:tcW w:w="1276" w:type="dxa"/>
            <w:tcBorders>
              <w:top w:val="nil"/>
              <w:left w:val="nil"/>
              <w:bottom w:val="single" w:sz="4" w:space="0" w:color="auto"/>
              <w:right w:val="single" w:sz="4" w:space="0" w:color="auto"/>
            </w:tcBorders>
            <w:shd w:val="clear" w:color="auto" w:fill="auto"/>
            <w:noWrap/>
            <w:vAlign w:val="center"/>
            <w:hideMark/>
          </w:tcPr>
          <w:p w14:paraId="1784A51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601</w:t>
            </w:r>
          </w:p>
        </w:tc>
        <w:tc>
          <w:tcPr>
            <w:tcW w:w="850" w:type="dxa"/>
            <w:tcBorders>
              <w:top w:val="nil"/>
              <w:left w:val="nil"/>
              <w:bottom w:val="single" w:sz="4" w:space="0" w:color="auto"/>
              <w:right w:val="single" w:sz="4" w:space="0" w:color="auto"/>
            </w:tcBorders>
            <w:shd w:val="clear" w:color="auto" w:fill="auto"/>
            <w:noWrap/>
            <w:vAlign w:val="center"/>
            <w:hideMark/>
          </w:tcPr>
          <w:p w14:paraId="56BEBAE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15DFD3"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385</w:t>
            </w:r>
          </w:p>
        </w:tc>
        <w:tc>
          <w:tcPr>
            <w:tcW w:w="992" w:type="dxa"/>
            <w:tcBorders>
              <w:top w:val="nil"/>
              <w:left w:val="nil"/>
              <w:bottom w:val="single" w:sz="4" w:space="0" w:color="auto"/>
              <w:right w:val="single" w:sz="4" w:space="0" w:color="auto"/>
            </w:tcBorders>
            <w:shd w:val="clear" w:color="auto" w:fill="auto"/>
            <w:noWrap/>
            <w:vAlign w:val="center"/>
            <w:hideMark/>
          </w:tcPr>
          <w:p w14:paraId="583897A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124</w:t>
            </w:r>
          </w:p>
        </w:tc>
        <w:tc>
          <w:tcPr>
            <w:tcW w:w="1001" w:type="dxa"/>
            <w:tcBorders>
              <w:top w:val="nil"/>
              <w:left w:val="nil"/>
              <w:bottom w:val="single" w:sz="4" w:space="0" w:color="auto"/>
              <w:right w:val="single" w:sz="4" w:space="0" w:color="auto"/>
            </w:tcBorders>
            <w:shd w:val="clear" w:color="auto" w:fill="auto"/>
            <w:noWrap/>
            <w:vAlign w:val="center"/>
            <w:hideMark/>
          </w:tcPr>
          <w:p w14:paraId="0E1F31E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15,31</w:t>
            </w:r>
          </w:p>
        </w:tc>
        <w:tc>
          <w:tcPr>
            <w:tcW w:w="883" w:type="dxa"/>
            <w:tcBorders>
              <w:top w:val="nil"/>
              <w:left w:val="nil"/>
              <w:bottom w:val="single" w:sz="4" w:space="0" w:color="auto"/>
              <w:right w:val="single" w:sz="4" w:space="0" w:color="auto"/>
            </w:tcBorders>
            <w:shd w:val="clear" w:color="auto" w:fill="auto"/>
            <w:noWrap/>
            <w:vAlign w:val="center"/>
            <w:hideMark/>
          </w:tcPr>
          <w:p w14:paraId="5DC9EF9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64,06</w:t>
            </w:r>
          </w:p>
        </w:tc>
        <w:tc>
          <w:tcPr>
            <w:tcW w:w="859" w:type="dxa"/>
            <w:tcBorders>
              <w:top w:val="nil"/>
              <w:left w:val="nil"/>
              <w:bottom w:val="single" w:sz="4" w:space="0" w:color="auto"/>
              <w:right w:val="single" w:sz="4" w:space="0" w:color="auto"/>
            </w:tcBorders>
            <w:shd w:val="clear" w:color="auto" w:fill="auto"/>
            <w:noWrap/>
            <w:vAlign w:val="center"/>
            <w:hideMark/>
          </w:tcPr>
          <w:p w14:paraId="26F84B3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20,63</w:t>
            </w:r>
          </w:p>
        </w:tc>
        <w:tc>
          <w:tcPr>
            <w:tcW w:w="1084" w:type="dxa"/>
            <w:tcBorders>
              <w:top w:val="nil"/>
              <w:left w:val="nil"/>
              <w:bottom w:val="single" w:sz="4" w:space="0" w:color="auto"/>
              <w:right w:val="single" w:sz="4" w:space="0" w:color="auto"/>
            </w:tcBorders>
            <w:shd w:val="clear" w:color="auto" w:fill="auto"/>
            <w:noWrap/>
            <w:vAlign w:val="center"/>
            <w:hideMark/>
          </w:tcPr>
          <w:p w14:paraId="1E69758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134,78</w:t>
            </w:r>
          </w:p>
        </w:tc>
      </w:tr>
      <w:tr w:rsidR="00813A25" w:rsidRPr="00813A25" w14:paraId="5F53ECAD"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4D03F488"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Košariská</w:t>
            </w:r>
          </w:p>
        </w:tc>
        <w:tc>
          <w:tcPr>
            <w:tcW w:w="1276" w:type="dxa"/>
            <w:tcBorders>
              <w:top w:val="nil"/>
              <w:left w:val="nil"/>
              <w:bottom w:val="single" w:sz="4" w:space="0" w:color="auto"/>
              <w:right w:val="single" w:sz="4" w:space="0" w:color="auto"/>
            </w:tcBorders>
            <w:shd w:val="clear" w:color="auto" w:fill="auto"/>
            <w:noWrap/>
            <w:vAlign w:val="center"/>
            <w:hideMark/>
          </w:tcPr>
          <w:p w14:paraId="2BC8EBF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435</w:t>
            </w:r>
          </w:p>
        </w:tc>
        <w:tc>
          <w:tcPr>
            <w:tcW w:w="850" w:type="dxa"/>
            <w:tcBorders>
              <w:top w:val="nil"/>
              <w:left w:val="nil"/>
              <w:bottom w:val="single" w:sz="4" w:space="0" w:color="auto"/>
              <w:right w:val="single" w:sz="4" w:space="0" w:color="auto"/>
            </w:tcBorders>
            <w:shd w:val="clear" w:color="auto" w:fill="auto"/>
            <w:noWrap/>
            <w:vAlign w:val="center"/>
            <w:hideMark/>
          </w:tcPr>
          <w:p w14:paraId="5611EF9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55</w:t>
            </w:r>
          </w:p>
        </w:tc>
        <w:tc>
          <w:tcPr>
            <w:tcW w:w="1134" w:type="dxa"/>
            <w:tcBorders>
              <w:top w:val="nil"/>
              <w:left w:val="nil"/>
              <w:bottom w:val="single" w:sz="4" w:space="0" w:color="auto"/>
              <w:right w:val="single" w:sz="4" w:space="0" w:color="auto"/>
            </w:tcBorders>
            <w:shd w:val="clear" w:color="auto" w:fill="auto"/>
            <w:noWrap/>
            <w:vAlign w:val="center"/>
            <w:hideMark/>
          </w:tcPr>
          <w:p w14:paraId="0920A9C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287</w:t>
            </w:r>
          </w:p>
        </w:tc>
        <w:tc>
          <w:tcPr>
            <w:tcW w:w="992" w:type="dxa"/>
            <w:tcBorders>
              <w:top w:val="nil"/>
              <w:left w:val="nil"/>
              <w:bottom w:val="single" w:sz="4" w:space="0" w:color="auto"/>
              <w:right w:val="single" w:sz="4" w:space="0" w:color="auto"/>
            </w:tcBorders>
            <w:shd w:val="clear" w:color="auto" w:fill="auto"/>
            <w:noWrap/>
            <w:vAlign w:val="center"/>
            <w:hideMark/>
          </w:tcPr>
          <w:p w14:paraId="451D124D"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93</w:t>
            </w:r>
          </w:p>
        </w:tc>
        <w:tc>
          <w:tcPr>
            <w:tcW w:w="1001" w:type="dxa"/>
            <w:tcBorders>
              <w:top w:val="nil"/>
              <w:left w:val="nil"/>
              <w:bottom w:val="single" w:sz="4" w:space="0" w:color="auto"/>
              <w:right w:val="single" w:sz="4" w:space="0" w:color="auto"/>
            </w:tcBorders>
            <w:shd w:val="clear" w:color="auto" w:fill="auto"/>
            <w:noWrap/>
            <w:vAlign w:val="center"/>
            <w:hideMark/>
          </w:tcPr>
          <w:p w14:paraId="0753EED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12,64</w:t>
            </w:r>
          </w:p>
        </w:tc>
        <w:tc>
          <w:tcPr>
            <w:tcW w:w="883" w:type="dxa"/>
            <w:tcBorders>
              <w:top w:val="nil"/>
              <w:left w:val="nil"/>
              <w:bottom w:val="single" w:sz="4" w:space="0" w:color="auto"/>
              <w:right w:val="single" w:sz="4" w:space="0" w:color="auto"/>
            </w:tcBorders>
            <w:shd w:val="clear" w:color="auto" w:fill="auto"/>
            <w:noWrap/>
            <w:vAlign w:val="center"/>
            <w:hideMark/>
          </w:tcPr>
          <w:p w14:paraId="39FF546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65,98</w:t>
            </w:r>
          </w:p>
        </w:tc>
        <w:tc>
          <w:tcPr>
            <w:tcW w:w="859" w:type="dxa"/>
            <w:tcBorders>
              <w:top w:val="nil"/>
              <w:left w:val="nil"/>
              <w:bottom w:val="single" w:sz="4" w:space="0" w:color="auto"/>
              <w:right w:val="single" w:sz="4" w:space="0" w:color="auto"/>
            </w:tcBorders>
            <w:shd w:val="clear" w:color="auto" w:fill="auto"/>
            <w:noWrap/>
            <w:vAlign w:val="center"/>
            <w:hideMark/>
          </w:tcPr>
          <w:p w14:paraId="13569FA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21,38</w:t>
            </w:r>
          </w:p>
        </w:tc>
        <w:tc>
          <w:tcPr>
            <w:tcW w:w="1084" w:type="dxa"/>
            <w:tcBorders>
              <w:top w:val="nil"/>
              <w:left w:val="nil"/>
              <w:bottom w:val="single" w:sz="4" w:space="0" w:color="auto"/>
              <w:right w:val="single" w:sz="4" w:space="0" w:color="auto"/>
            </w:tcBorders>
            <w:shd w:val="clear" w:color="auto" w:fill="auto"/>
            <w:noWrap/>
            <w:vAlign w:val="center"/>
            <w:hideMark/>
          </w:tcPr>
          <w:p w14:paraId="7D37C37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169,09</w:t>
            </w:r>
          </w:p>
        </w:tc>
      </w:tr>
      <w:tr w:rsidR="00813A25" w:rsidRPr="00813A25" w14:paraId="45412A17"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31AB8755"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Krajné</w:t>
            </w:r>
          </w:p>
        </w:tc>
        <w:tc>
          <w:tcPr>
            <w:tcW w:w="1276" w:type="dxa"/>
            <w:tcBorders>
              <w:top w:val="nil"/>
              <w:left w:val="nil"/>
              <w:bottom w:val="single" w:sz="4" w:space="0" w:color="auto"/>
              <w:right w:val="single" w:sz="4" w:space="0" w:color="auto"/>
            </w:tcBorders>
            <w:shd w:val="clear" w:color="auto" w:fill="auto"/>
            <w:noWrap/>
            <w:vAlign w:val="center"/>
            <w:hideMark/>
          </w:tcPr>
          <w:p w14:paraId="1C73A398"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1 556</w:t>
            </w:r>
          </w:p>
        </w:tc>
        <w:tc>
          <w:tcPr>
            <w:tcW w:w="850" w:type="dxa"/>
            <w:tcBorders>
              <w:top w:val="nil"/>
              <w:left w:val="nil"/>
              <w:bottom w:val="single" w:sz="4" w:space="0" w:color="auto"/>
              <w:right w:val="single" w:sz="4" w:space="0" w:color="auto"/>
            </w:tcBorders>
            <w:shd w:val="clear" w:color="auto" w:fill="auto"/>
            <w:noWrap/>
            <w:vAlign w:val="center"/>
            <w:hideMark/>
          </w:tcPr>
          <w:p w14:paraId="1B57BE4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191</w:t>
            </w:r>
          </w:p>
        </w:tc>
        <w:tc>
          <w:tcPr>
            <w:tcW w:w="1134" w:type="dxa"/>
            <w:tcBorders>
              <w:top w:val="nil"/>
              <w:left w:val="nil"/>
              <w:bottom w:val="single" w:sz="4" w:space="0" w:color="auto"/>
              <w:right w:val="single" w:sz="4" w:space="0" w:color="auto"/>
            </w:tcBorders>
            <w:shd w:val="clear" w:color="auto" w:fill="auto"/>
            <w:noWrap/>
            <w:vAlign w:val="center"/>
            <w:hideMark/>
          </w:tcPr>
          <w:p w14:paraId="102BB59D"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1 069</w:t>
            </w:r>
          </w:p>
        </w:tc>
        <w:tc>
          <w:tcPr>
            <w:tcW w:w="992" w:type="dxa"/>
            <w:tcBorders>
              <w:top w:val="nil"/>
              <w:left w:val="nil"/>
              <w:bottom w:val="single" w:sz="4" w:space="0" w:color="auto"/>
              <w:right w:val="single" w:sz="4" w:space="0" w:color="auto"/>
            </w:tcBorders>
            <w:shd w:val="clear" w:color="auto" w:fill="auto"/>
            <w:noWrap/>
            <w:vAlign w:val="center"/>
            <w:hideMark/>
          </w:tcPr>
          <w:p w14:paraId="77E2F943"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296</w:t>
            </w:r>
          </w:p>
        </w:tc>
        <w:tc>
          <w:tcPr>
            <w:tcW w:w="1001" w:type="dxa"/>
            <w:tcBorders>
              <w:top w:val="nil"/>
              <w:left w:val="nil"/>
              <w:bottom w:val="single" w:sz="4" w:space="0" w:color="auto"/>
              <w:right w:val="single" w:sz="4" w:space="0" w:color="auto"/>
            </w:tcBorders>
            <w:shd w:val="clear" w:color="auto" w:fill="auto"/>
            <w:noWrap/>
            <w:vAlign w:val="center"/>
            <w:hideMark/>
          </w:tcPr>
          <w:p w14:paraId="5981662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12,28</w:t>
            </w:r>
          </w:p>
        </w:tc>
        <w:tc>
          <w:tcPr>
            <w:tcW w:w="883" w:type="dxa"/>
            <w:tcBorders>
              <w:top w:val="nil"/>
              <w:left w:val="nil"/>
              <w:bottom w:val="single" w:sz="4" w:space="0" w:color="auto"/>
              <w:right w:val="single" w:sz="4" w:space="0" w:color="auto"/>
            </w:tcBorders>
            <w:shd w:val="clear" w:color="auto" w:fill="auto"/>
            <w:noWrap/>
            <w:vAlign w:val="center"/>
            <w:hideMark/>
          </w:tcPr>
          <w:p w14:paraId="5438550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68,70</w:t>
            </w:r>
          </w:p>
        </w:tc>
        <w:tc>
          <w:tcPr>
            <w:tcW w:w="859" w:type="dxa"/>
            <w:tcBorders>
              <w:top w:val="nil"/>
              <w:left w:val="nil"/>
              <w:bottom w:val="single" w:sz="4" w:space="0" w:color="auto"/>
              <w:right w:val="single" w:sz="4" w:space="0" w:color="auto"/>
            </w:tcBorders>
            <w:shd w:val="clear" w:color="auto" w:fill="auto"/>
            <w:noWrap/>
            <w:vAlign w:val="center"/>
            <w:hideMark/>
          </w:tcPr>
          <w:p w14:paraId="1022171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19,02</w:t>
            </w:r>
          </w:p>
        </w:tc>
        <w:tc>
          <w:tcPr>
            <w:tcW w:w="1084" w:type="dxa"/>
            <w:tcBorders>
              <w:top w:val="nil"/>
              <w:left w:val="nil"/>
              <w:bottom w:val="single" w:sz="4" w:space="0" w:color="auto"/>
              <w:right w:val="single" w:sz="4" w:space="0" w:color="auto"/>
            </w:tcBorders>
            <w:shd w:val="clear" w:color="auto" w:fill="auto"/>
            <w:noWrap/>
            <w:vAlign w:val="center"/>
            <w:hideMark/>
          </w:tcPr>
          <w:p w14:paraId="06DC1C9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154,97</w:t>
            </w:r>
          </w:p>
        </w:tc>
      </w:tr>
      <w:tr w:rsidR="00813A25" w:rsidRPr="00813A25" w14:paraId="3D0BC87A"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FF8836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Myjava</w:t>
            </w:r>
          </w:p>
        </w:tc>
        <w:tc>
          <w:tcPr>
            <w:tcW w:w="1276" w:type="dxa"/>
            <w:tcBorders>
              <w:top w:val="nil"/>
              <w:left w:val="nil"/>
              <w:bottom w:val="single" w:sz="4" w:space="0" w:color="auto"/>
              <w:right w:val="single" w:sz="4" w:space="0" w:color="auto"/>
            </w:tcBorders>
            <w:shd w:val="clear" w:color="auto" w:fill="auto"/>
            <w:noWrap/>
            <w:vAlign w:val="center"/>
            <w:hideMark/>
          </w:tcPr>
          <w:p w14:paraId="2BD5F87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12 042</w:t>
            </w:r>
          </w:p>
        </w:tc>
        <w:tc>
          <w:tcPr>
            <w:tcW w:w="850" w:type="dxa"/>
            <w:tcBorders>
              <w:top w:val="nil"/>
              <w:left w:val="nil"/>
              <w:bottom w:val="single" w:sz="4" w:space="0" w:color="auto"/>
              <w:right w:val="single" w:sz="4" w:space="0" w:color="auto"/>
            </w:tcBorders>
            <w:shd w:val="clear" w:color="auto" w:fill="auto"/>
            <w:noWrap/>
            <w:vAlign w:val="center"/>
            <w:hideMark/>
          </w:tcPr>
          <w:p w14:paraId="4AA98C07" w14:textId="77777777" w:rsidR="00813A25" w:rsidRPr="002A6CFD" w:rsidRDefault="00813A25" w:rsidP="002A6CFD">
            <w:pPr>
              <w:spacing w:after="0" w:line="240" w:lineRule="auto"/>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1 461</w:t>
            </w:r>
          </w:p>
        </w:tc>
        <w:tc>
          <w:tcPr>
            <w:tcW w:w="1134" w:type="dxa"/>
            <w:tcBorders>
              <w:top w:val="nil"/>
              <w:left w:val="nil"/>
              <w:bottom w:val="single" w:sz="4" w:space="0" w:color="auto"/>
              <w:right w:val="single" w:sz="4" w:space="0" w:color="auto"/>
            </w:tcBorders>
            <w:shd w:val="clear" w:color="auto" w:fill="auto"/>
            <w:noWrap/>
            <w:vAlign w:val="center"/>
            <w:hideMark/>
          </w:tcPr>
          <w:p w14:paraId="656DB51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8 532</w:t>
            </w:r>
          </w:p>
        </w:tc>
        <w:tc>
          <w:tcPr>
            <w:tcW w:w="992" w:type="dxa"/>
            <w:tcBorders>
              <w:top w:val="nil"/>
              <w:left w:val="nil"/>
              <w:bottom w:val="single" w:sz="4" w:space="0" w:color="auto"/>
              <w:right w:val="single" w:sz="4" w:space="0" w:color="auto"/>
            </w:tcBorders>
            <w:shd w:val="clear" w:color="auto" w:fill="auto"/>
            <w:noWrap/>
            <w:vAlign w:val="center"/>
            <w:hideMark/>
          </w:tcPr>
          <w:p w14:paraId="3CCA322A" w14:textId="77777777" w:rsidR="00813A25" w:rsidRPr="002A6CFD" w:rsidRDefault="00813A25" w:rsidP="002A6CFD">
            <w:pPr>
              <w:spacing w:after="0" w:line="240" w:lineRule="auto"/>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2 049</w:t>
            </w:r>
          </w:p>
        </w:tc>
        <w:tc>
          <w:tcPr>
            <w:tcW w:w="1001" w:type="dxa"/>
            <w:tcBorders>
              <w:top w:val="nil"/>
              <w:left w:val="nil"/>
              <w:bottom w:val="single" w:sz="4" w:space="0" w:color="auto"/>
              <w:right w:val="single" w:sz="4" w:space="0" w:color="auto"/>
            </w:tcBorders>
            <w:shd w:val="clear" w:color="auto" w:fill="auto"/>
            <w:noWrap/>
            <w:vAlign w:val="center"/>
            <w:hideMark/>
          </w:tcPr>
          <w:p w14:paraId="33F34F2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12,13</w:t>
            </w:r>
          </w:p>
        </w:tc>
        <w:tc>
          <w:tcPr>
            <w:tcW w:w="883" w:type="dxa"/>
            <w:tcBorders>
              <w:top w:val="nil"/>
              <w:left w:val="nil"/>
              <w:bottom w:val="single" w:sz="4" w:space="0" w:color="auto"/>
              <w:right w:val="single" w:sz="4" w:space="0" w:color="auto"/>
            </w:tcBorders>
            <w:shd w:val="clear" w:color="auto" w:fill="auto"/>
            <w:noWrap/>
            <w:vAlign w:val="center"/>
            <w:hideMark/>
          </w:tcPr>
          <w:p w14:paraId="183123A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70,85</w:t>
            </w:r>
          </w:p>
        </w:tc>
        <w:tc>
          <w:tcPr>
            <w:tcW w:w="859" w:type="dxa"/>
            <w:tcBorders>
              <w:top w:val="nil"/>
              <w:left w:val="nil"/>
              <w:bottom w:val="single" w:sz="4" w:space="0" w:color="auto"/>
              <w:right w:val="single" w:sz="4" w:space="0" w:color="auto"/>
            </w:tcBorders>
            <w:shd w:val="clear" w:color="auto" w:fill="auto"/>
            <w:noWrap/>
            <w:vAlign w:val="center"/>
            <w:hideMark/>
          </w:tcPr>
          <w:p w14:paraId="3030866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17,02</w:t>
            </w:r>
          </w:p>
        </w:tc>
        <w:tc>
          <w:tcPr>
            <w:tcW w:w="1084" w:type="dxa"/>
            <w:tcBorders>
              <w:top w:val="nil"/>
              <w:left w:val="nil"/>
              <w:bottom w:val="single" w:sz="4" w:space="0" w:color="auto"/>
              <w:right w:val="single" w:sz="4" w:space="0" w:color="auto"/>
            </w:tcBorders>
            <w:shd w:val="clear" w:color="auto" w:fill="auto"/>
            <w:noWrap/>
            <w:vAlign w:val="center"/>
            <w:hideMark/>
          </w:tcPr>
          <w:p w14:paraId="50A09F4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140,25</w:t>
            </w:r>
          </w:p>
        </w:tc>
      </w:tr>
      <w:tr w:rsidR="00813A25" w:rsidRPr="00813A25" w14:paraId="5FD0FBD9"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0816CE0F"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Podkylava</w:t>
            </w:r>
          </w:p>
        </w:tc>
        <w:tc>
          <w:tcPr>
            <w:tcW w:w="1276" w:type="dxa"/>
            <w:tcBorders>
              <w:top w:val="nil"/>
              <w:left w:val="nil"/>
              <w:bottom w:val="single" w:sz="4" w:space="0" w:color="auto"/>
              <w:right w:val="single" w:sz="4" w:space="0" w:color="auto"/>
            </w:tcBorders>
            <w:shd w:val="clear" w:color="auto" w:fill="auto"/>
            <w:noWrap/>
            <w:vAlign w:val="center"/>
            <w:hideMark/>
          </w:tcPr>
          <w:p w14:paraId="6DEBD1D7"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226</w:t>
            </w:r>
          </w:p>
        </w:tc>
        <w:tc>
          <w:tcPr>
            <w:tcW w:w="850" w:type="dxa"/>
            <w:tcBorders>
              <w:top w:val="nil"/>
              <w:left w:val="nil"/>
              <w:bottom w:val="single" w:sz="4" w:space="0" w:color="auto"/>
              <w:right w:val="single" w:sz="4" w:space="0" w:color="auto"/>
            </w:tcBorders>
            <w:shd w:val="clear" w:color="auto" w:fill="auto"/>
            <w:noWrap/>
            <w:vAlign w:val="center"/>
            <w:hideMark/>
          </w:tcPr>
          <w:p w14:paraId="0ADE0E6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w:t>
            </w:r>
          </w:p>
        </w:tc>
        <w:tc>
          <w:tcPr>
            <w:tcW w:w="1134" w:type="dxa"/>
            <w:tcBorders>
              <w:top w:val="nil"/>
              <w:left w:val="nil"/>
              <w:bottom w:val="single" w:sz="4" w:space="0" w:color="auto"/>
              <w:right w:val="single" w:sz="4" w:space="0" w:color="auto"/>
            </w:tcBorders>
            <w:shd w:val="clear" w:color="auto" w:fill="auto"/>
            <w:noWrap/>
            <w:vAlign w:val="center"/>
            <w:hideMark/>
          </w:tcPr>
          <w:p w14:paraId="03DA810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150</w:t>
            </w:r>
          </w:p>
        </w:tc>
        <w:tc>
          <w:tcPr>
            <w:tcW w:w="992" w:type="dxa"/>
            <w:tcBorders>
              <w:top w:val="nil"/>
              <w:left w:val="nil"/>
              <w:bottom w:val="single" w:sz="4" w:space="0" w:color="auto"/>
              <w:right w:val="single" w:sz="4" w:space="0" w:color="auto"/>
            </w:tcBorders>
            <w:shd w:val="clear" w:color="auto" w:fill="auto"/>
            <w:noWrap/>
            <w:vAlign w:val="center"/>
            <w:hideMark/>
          </w:tcPr>
          <w:p w14:paraId="7094783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58</w:t>
            </w:r>
          </w:p>
        </w:tc>
        <w:tc>
          <w:tcPr>
            <w:tcW w:w="1001" w:type="dxa"/>
            <w:tcBorders>
              <w:top w:val="nil"/>
              <w:left w:val="nil"/>
              <w:bottom w:val="single" w:sz="4" w:space="0" w:color="auto"/>
              <w:right w:val="single" w:sz="4" w:space="0" w:color="auto"/>
            </w:tcBorders>
            <w:shd w:val="clear" w:color="auto" w:fill="auto"/>
            <w:noWrap/>
            <w:vAlign w:val="center"/>
            <w:hideMark/>
          </w:tcPr>
          <w:p w14:paraId="0AD539F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7,96</w:t>
            </w:r>
          </w:p>
        </w:tc>
        <w:tc>
          <w:tcPr>
            <w:tcW w:w="883" w:type="dxa"/>
            <w:tcBorders>
              <w:top w:val="nil"/>
              <w:left w:val="nil"/>
              <w:bottom w:val="single" w:sz="4" w:space="0" w:color="auto"/>
              <w:right w:val="single" w:sz="4" w:space="0" w:color="auto"/>
            </w:tcBorders>
            <w:shd w:val="clear" w:color="auto" w:fill="auto"/>
            <w:noWrap/>
            <w:vAlign w:val="center"/>
            <w:hideMark/>
          </w:tcPr>
          <w:p w14:paraId="311E6E8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66,37</w:t>
            </w:r>
          </w:p>
        </w:tc>
        <w:tc>
          <w:tcPr>
            <w:tcW w:w="859" w:type="dxa"/>
            <w:tcBorders>
              <w:top w:val="nil"/>
              <w:left w:val="nil"/>
              <w:bottom w:val="single" w:sz="4" w:space="0" w:color="auto"/>
              <w:right w:val="single" w:sz="4" w:space="0" w:color="auto"/>
            </w:tcBorders>
            <w:shd w:val="clear" w:color="auto" w:fill="auto"/>
            <w:noWrap/>
            <w:vAlign w:val="center"/>
            <w:hideMark/>
          </w:tcPr>
          <w:p w14:paraId="7784410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25,66</w:t>
            </w:r>
          </w:p>
        </w:tc>
        <w:tc>
          <w:tcPr>
            <w:tcW w:w="1084" w:type="dxa"/>
            <w:tcBorders>
              <w:top w:val="nil"/>
              <w:left w:val="nil"/>
              <w:bottom w:val="single" w:sz="4" w:space="0" w:color="auto"/>
              <w:right w:val="single" w:sz="4" w:space="0" w:color="auto"/>
            </w:tcBorders>
            <w:shd w:val="clear" w:color="auto" w:fill="auto"/>
            <w:noWrap/>
            <w:vAlign w:val="center"/>
            <w:hideMark/>
          </w:tcPr>
          <w:p w14:paraId="27BEDA7F"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322,22</w:t>
            </w:r>
          </w:p>
        </w:tc>
      </w:tr>
      <w:tr w:rsidR="00813A25" w:rsidRPr="00813A25" w14:paraId="00E6BF9A"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F5A9922"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Polianka</w:t>
            </w:r>
          </w:p>
        </w:tc>
        <w:tc>
          <w:tcPr>
            <w:tcW w:w="1276" w:type="dxa"/>
            <w:tcBorders>
              <w:top w:val="nil"/>
              <w:left w:val="nil"/>
              <w:bottom w:val="single" w:sz="4" w:space="0" w:color="auto"/>
              <w:right w:val="single" w:sz="4" w:space="0" w:color="auto"/>
            </w:tcBorders>
            <w:shd w:val="clear" w:color="auto" w:fill="auto"/>
            <w:noWrap/>
            <w:vAlign w:val="center"/>
            <w:hideMark/>
          </w:tcPr>
          <w:p w14:paraId="01B19D6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384</w:t>
            </w:r>
          </w:p>
        </w:tc>
        <w:tc>
          <w:tcPr>
            <w:tcW w:w="850" w:type="dxa"/>
            <w:tcBorders>
              <w:top w:val="nil"/>
              <w:left w:val="nil"/>
              <w:bottom w:val="single" w:sz="4" w:space="0" w:color="auto"/>
              <w:right w:val="single" w:sz="4" w:space="0" w:color="auto"/>
            </w:tcBorders>
            <w:shd w:val="clear" w:color="auto" w:fill="auto"/>
            <w:noWrap/>
            <w:vAlign w:val="center"/>
            <w:hideMark/>
          </w:tcPr>
          <w:p w14:paraId="15EF0E45"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F032ED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269</w:t>
            </w:r>
          </w:p>
        </w:tc>
        <w:tc>
          <w:tcPr>
            <w:tcW w:w="992" w:type="dxa"/>
            <w:tcBorders>
              <w:top w:val="nil"/>
              <w:left w:val="nil"/>
              <w:bottom w:val="single" w:sz="4" w:space="0" w:color="auto"/>
              <w:right w:val="single" w:sz="4" w:space="0" w:color="auto"/>
            </w:tcBorders>
            <w:shd w:val="clear" w:color="auto" w:fill="auto"/>
            <w:noWrap/>
            <w:vAlign w:val="center"/>
            <w:hideMark/>
          </w:tcPr>
          <w:p w14:paraId="0829647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w:t>
            </w:r>
          </w:p>
        </w:tc>
        <w:tc>
          <w:tcPr>
            <w:tcW w:w="1001" w:type="dxa"/>
            <w:tcBorders>
              <w:top w:val="nil"/>
              <w:left w:val="nil"/>
              <w:bottom w:val="single" w:sz="4" w:space="0" w:color="auto"/>
              <w:right w:val="single" w:sz="4" w:space="0" w:color="auto"/>
            </w:tcBorders>
            <w:shd w:val="clear" w:color="auto" w:fill="auto"/>
            <w:noWrap/>
            <w:vAlign w:val="center"/>
            <w:hideMark/>
          </w:tcPr>
          <w:p w14:paraId="3700326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11,72</w:t>
            </w:r>
          </w:p>
        </w:tc>
        <w:tc>
          <w:tcPr>
            <w:tcW w:w="883" w:type="dxa"/>
            <w:tcBorders>
              <w:top w:val="nil"/>
              <w:left w:val="nil"/>
              <w:bottom w:val="single" w:sz="4" w:space="0" w:color="auto"/>
              <w:right w:val="single" w:sz="4" w:space="0" w:color="auto"/>
            </w:tcBorders>
            <w:shd w:val="clear" w:color="auto" w:fill="auto"/>
            <w:noWrap/>
            <w:vAlign w:val="center"/>
            <w:hideMark/>
          </w:tcPr>
          <w:p w14:paraId="1D9B497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70,05</w:t>
            </w:r>
          </w:p>
        </w:tc>
        <w:tc>
          <w:tcPr>
            <w:tcW w:w="859" w:type="dxa"/>
            <w:tcBorders>
              <w:top w:val="nil"/>
              <w:left w:val="nil"/>
              <w:bottom w:val="single" w:sz="4" w:space="0" w:color="auto"/>
              <w:right w:val="single" w:sz="4" w:space="0" w:color="auto"/>
            </w:tcBorders>
            <w:shd w:val="clear" w:color="auto" w:fill="auto"/>
            <w:noWrap/>
            <w:vAlign w:val="center"/>
            <w:hideMark/>
          </w:tcPr>
          <w:p w14:paraId="695EAAE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18,23</w:t>
            </w:r>
          </w:p>
        </w:tc>
        <w:tc>
          <w:tcPr>
            <w:tcW w:w="1084" w:type="dxa"/>
            <w:tcBorders>
              <w:top w:val="nil"/>
              <w:left w:val="nil"/>
              <w:bottom w:val="single" w:sz="4" w:space="0" w:color="auto"/>
              <w:right w:val="single" w:sz="4" w:space="0" w:color="auto"/>
            </w:tcBorders>
            <w:shd w:val="clear" w:color="auto" w:fill="auto"/>
            <w:noWrap/>
            <w:vAlign w:val="center"/>
            <w:hideMark/>
          </w:tcPr>
          <w:p w14:paraId="6FCF5B1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155,56</w:t>
            </w:r>
          </w:p>
        </w:tc>
      </w:tr>
      <w:tr w:rsidR="00813A25" w:rsidRPr="00813A25" w14:paraId="22124032"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F51319E"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Poriadie</w:t>
            </w:r>
          </w:p>
        </w:tc>
        <w:tc>
          <w:tcPr>
            <w:tcW w:w="1276" w:type="dxa"/>
            <w:tcBorders>
              <w:top w:val="nil"/>
              <w:left w:val="nil"/>
              <w:bottom w:val="single" w:sz="4" w:space="0" w:color="auto"/>
              <w:right w:val="single" w:sz="4" w:space="0" w:color="auto"/>
            </w:tcBorders>
            <w:shd w:val="clear" w:color="auto" w:fill="auto"/>
            <w:noWrap/>
            <w:vAlign w:val="center"/>
            <w:hideMark/>
          </w:tcPr>
          <w:p w14:paraId="58E9367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705</w:t>
            </w:r>
          </w:p>
        </w:tc>
        <w:tc>
          <w:tcPr>
            <w:tcW w:w="850" w:type="dxa"/>
            <w:tcBorders>
              <w:top w:val="nil"/>
              <w:left w:val="nil"/>
              <w:bottom w:val="single" w:sz="4" w:space="0" w:color="auto"/>
              <w:right w:val="single" w:sz="4" w:space="0" w:color="auto"/>
            </w:tcBorders>
            <w:shd w:val="clear" w:color="auto" w:fill="auto"/>
            <w:noWrap/>
            <w:vAlign w:val="center"/>
            <w:hideMark/>
          </w:tcPr>
          <w:p w14:paraId="05DC58A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79</w:t>
            </w:r>
          </w:p>
        </w:tc>
        <w:tc>
          <w:tcPr>
            <w:tcW w:w="1134" w:type="dxa"/>
            <w:tcBorders>
              <w:top w:val="nil"/>
              <w:left w:val="nil"/>
              <w:bottom w:val="single" w:sz="4" w:space="0" w:color="auto"/>
              <w:right w:val="single" w:sz="4" w:space="0" w:color="auto"/>
            </w:tcBorders>
            <w:shd w:val="clear" w:color="auto" w:fill="auto"/>
            <w:noWrap/>
            <w:vAlign w:val="center"/>
            <w:hideMark/>
          </w:tcPr>
          <w:p w14:paraId="7142BF5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516</w:t>
            </w:r>
          </w:p>
        </w:tc>
        <w:tc>
          <w:tcPr>
            <w:tcW w:w="992" w:type="dxa"/>
            <w:tcBorders>
              <w:top w:val="nil"/>
              <w:left w:val="nil"/>
              <w:bottom w:val="single" w:sz="4" w:space="0" w:color="auto"/>
              <w:right w:val="single" w:sz="4" w:space="0" w:color="auto"/>
            </w:tcBorders>
            <w:shd w:val="clear" w:color="auto" w:fill="auto"/>
            <w:noWrap/>
            <w:vAlign w:val="center"/>
            <w:hideMark/>
          </w:tcPr>
          <w:p w14:paraId="28B4167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110</w:t>
            </w:r>
          </w:p>
        </w:tc>
        <w:tc>
          <w:tcPr>
            <w:tcW w:w="1001" w:type="dxa"/>
            <w:tcBorders>
              <w:top w:val="nil"/>
              <w:left w:val="nil"/>
              <w:bottom w:val="single" w:sz="4" w:space="0" w:color="auto"/>
              <w:right w:val="single" w:sz="4" w:space="0" w:color="auto"/>
            </w:tcBorders>
            <w:shd w:val="clear" w:color="auto" w:fill="auto"/>
            <w:noWrap/>
            <w:vAlign w:val="center"/>
            <w:hideMark/>
          </w:tcPr>
          <w:p w14:paraId="1FCDEE2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11,21</w:t>
            </w:r>
          </w:p>
        </w:tc>
        <w:tc>
          <w:tcPr>
            <w:tcW w:w="883" w:type="dxa"/>
            <w:tcBorders>
              <w:top w:val="nil"/>
              <w:left w:val="nil"/>
              <w:bottom w:val="single" w:sz="4" w:space="0" w:color="auto"/>
              <w:right w:val="single" w:sz="4" w:space="0" w:color="auto"/>
            </w:tcBorders>
            <w:shd w:val="clear" w:color="auto" w:fill="auto"/>
            <w:noWrap/>
            <w:vAlign w:val="center"/>
            <w:hideMark/>
          </w:tcPr>
          <w:p w14:paraId="3A3626B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73,19</w:t>
            </w:r>
          </w:p>
        </w:tc>
        <w:tc>
          <w:tcPr>
            <w:tcW w:w="859" w:type="dxa"/>
            <w:tcBorders>
              <w:top w:val="nil"/>
              <w:left w:val="nil"/>
              <w:bottom w:val="single" w:sz="4" w:space="0" w:color="auto"/>
              <w:right w:val="single" w:sz="4" w:space="0" w:color="auto"/>
            </w:tcBorders>
            <w:shd w:val="clear" w:color="auto" w:fill="auto"/>
            <w:noWrap/>
            <w:vAlign w:val="center"/>
            <w:hideMark/>
          </w:tcPr>
          <w:p w14:paraId="4A78C89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15,60</w:t>
            </w:r>
          </w:p>
        </w:tc>
        <w:tc>
          <w:tcPr>
            <w:tcW w:w="1084" w:type="dxa"/>
            <w:tcBorders>
              <w:top w:val="nil"/>
              <w:left w:val="nil"/>
              <w:bottom w:val="single" w:sz="4" w:space="0" w:color="auto"/>
              <w:right w:val="single" w:sz="4" w:space="0" w:color="auto"/>
            </w:tcBorders>
            <w:shd w:val="clear" w:color="auto" w:fill="auto"/>
            <w:noWrap/>
            <w:vAlign w:val="center"/>
            <w:hideMark/>
          </w:tcPr>
          <w:p w14:paraId="16B4684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139,24</w:t>
            </w:r>
          </w:p>
        </w:tc>
      </w:tr>
      <w:tr w:rsidR="00813A25" w:rsidRPr="00813A25" w14:paraId="6FBC44F8"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3135790F"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Priepasné</w:t>
            </w:r>
          </w:p>
        </w:tc>
        <w:tc>
          <w:tcPr>
            <w:tcW w:w="1276" w:type="dxa"/>
            <w:tcBorders>
              <w:top w:val="nil"/>
              <w:left w:val="nil"/>
              <w:bottom w:val="single" w:sz="4" w:space="0" w:color="auto"/>
              <w:right w:val="single" w:sz="4" w:space="0" w:color="auto"/>
            </w:tcBorders>
            <w:shd w:val="clear" w:color="auto" w:fill="auto"/>
            <w:noWrap/>
            <w:vAlign w:val="center"/>
            <w:hideMark/>
          </w:tcPr>
          <w:p w14:paraId="6B72057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373</w:t>
            </w:r>
          </w:p>
        </w:tc>
        <w:tc>
          <w:tcPr>
            <w:tcW w:w="850" w:type="dxa"/>
            <w:tcBorders>
              <w:top w:val="nil"/>
              <w:left w:val="nil"/>
              <w:bottom w:val="single" w:sz="4" w:space="0" w:color="auto"/>
              <w:right w:val="single" w:sz="4" w:space="0" w:color="auto"/>
            </w:tcBorders>
            <w:shd w:val="clear" w:color="auto" w:fill="auto"/>
            <w:noWrap/>
            <w:vAlign w:val="center"/>
            <w:hideMark/>
          </w:tcPr>
          <w:p w14:paraId="1047CDD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55</w:t>
            </w:r>
          </w:p>
        </w:tc>
        <w:tc>
          <w:tcPr>
            <w:tcW w:w="1134" w:type="dxa"/>
            <w:tcBorders>
              <w:top w:val="nil"/>
              <w:left w:val="nil"/>
              <w:bottom w:val="single" w:sz="4" w:space="0" w:color="auto"/>
              <w:right w:val="single" w:sz="4" w:space="0" w:color="auto"/>
            </w:tcBorders>
            <w:shd w:val="clear" w:color="auto" w:fill="auto"/>
            <w:noWrap/>
            <w:vAlign w:val="center"/>
            <w:hideMark/>
          </w:tcPr>
          <w:p w14:paraId="2DAF97E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252</w:t>
            </w:r>
          </w:p>
        </w:tc>
        <w:tc>
          <w:tcPr>
            <w:tcW w:w="992" w:type="dxa"/>
            <w:tcBorders>
              <w:top w:val="nil"/>
              <w:left w:val="nil"/>
              <w:bottom w:val="single" w:sz="4" w:space="0" w:color="auto"/>
              <w:right w:val="single" w:sz="4" w:space="0" w:color="auto"/>
            </w:tcBorders>
            <w:shd w:val="clear" w:color="auto" w:fill="auto"/>
            <w:noWrap/>
            <w:vAlign w:val="center"/>
            <w:hideMark/>
          </w:tcPr>
          <w:p w14:paraId="44625B1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66</w:t>
            </w:r>
          </w:p>
        </w:tc>
        <w:tc>
          <w:tcPr>
            <w:tcW w:w="1001" w:type="dxa"/>
            <w:tcBorders>
              <w:top w:val="nil"/>
              <w:left w:val="nil"/>
              <w:bottom w:val="single" w:sz="4" w:space="0" w:color="auto"/>
              <w:right w:val="single" w:sz="4" w:space="0" w:color="auto"/>
            </w:tcBorders>
            <w:shd w:val="clear" w:color="auto" w:fill="auto"/>
            <w:noWrap/>
            <w:vAlign w:val="center"/>
            <w:hideMark/>
          </w:tcPr>
          <w:p w14:paraId="0C4E799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14,75</w:t>
            </w:r>
          </w:p>
        </w:tc>
        <w:tc>
          <w:tcPr>
            <w:tcW w:w="883" w:type="dxa"/>
            <w:tcBorders>
              <w:top w:val="nil"/>
              <w:left w:val="nil"/>
              <w:bottom w:val="single" w:sz="4" w:space="0" w:color="auto"/>
              <w:right w:val="single" w:sz="4" w:space="0" w:color="auto"/>
            </w:tcBorders>
            <w:shd w:val="clear" w:color="auto" w:fill="auto"/>
            <w:noWrap/>
            <w:vAlign w:val="center"/>
            <w:hideMark/>
          </w:tcPr>
          <w:p w14:paraId="399AB08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67,56</w:t>
            </w:r>
          </w:p>
        </w:tc>
        <w:tc>
          <w:tcPr>
            <w:tcW w:w="859" w:type="dxa"/>
            <w:tcBorders>
              <w:top w:val="nil"/>
              <w:left w:val="nil"/>
              <w:bottom w:val="single" w:sz="4" w:space="0" w:color="auto"/>
              <w:right w:val="single" w:sz="4" w:space="0" w:color="auto"/>
            </w:tcBorders>
            <w:shd w:val="clear" w:color="auto" w:fill="auto"/>
            <w:noWrap/>
            <w:vAlign w:val="center"/>
            <w:hideMark/>
          </w:tcPr>
          <w:p w14:paraId="7E73FB3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17,69</w:t>
            </w:r>
          </w:p>
        </w:tc>
        <w:tc>
          <w:tcPr>
            <w:tcW w:w="1084" w:type="dxa"/>
            <w:tcBorders>
              <w:top w:val="nil"/>
              <w:left w:val="nil"/>
              <w:bottom w:val="single" w:sz="4" w:space="0" w:color="auto"/>
              <w:right w:val="single" w:sz="4" w:space="0" w:color="auto"/>
            </w:tcBorders>
            <w:shd w:val="clear" w:color="auto" w:fill="auto"/>
            <w:noWrap/>
            <w:vAlign w:val="center"/>
            <w:hideMark/>
          </w:tcPr>
          <w:p w14:paraId="427A7A8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120,00</w:t>
            </w:r>
          </w:p>
        </w:tc>
      </w:tr>
      <w:tr w:rsidR="00813A25" w:rsidRPr="00813A25" w14:paraId="2AFC76AE"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4AEBE74"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Rudník</w:t>
            </w:r>
          </w:p>
        </w:tc>
        <w:tc>
          <w:tcPr>
            <w:tcW w:w="1276" w:type="dxa"/>
            <w:tcBorders>
              <w:top w:val="nil"/>
              <w:left w:val="nil"/>
              <w:bottom w:val="single" w:sz="4" w:space="0" w:color="auto"/>
              <w:right w:val="single" w:sz="4" w:space="0" w:color="auto"/>
            </w:tcBorders>
            <w:shd w:val="clear" w:color="auto" w:fill="auto"/>
            <w:noWrap/>
            <w:vAlign w:val="center"/>
            <w:hideMark/>
          </w:tcPr>
          <w:p w14:paraId="5ECD3265"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798</w:t>
            </w:r>
          </w:p>
        </w:tc>
        <w:tc>
          <w:tcPr>
            <w:tcW w:w="850" w:type="dxa"/>
            <w:tcBorders>
              <w:top w:val="nil"/>
              <w:left w:val="nil"/>
              <w:bottom w:val="single" w:sz="4" w:space="0" w:color="auto"/>
              <w:right w:val="single" w:sz="4" w:space="0" w:color="auto"/>
            </w:tcBorders>
            <w:shd w:val="clear" w:color="auto" w:fill="auto"/>
            <w:noWrap/>
            <w:vAlign w:val="center"/>
            <w:hideMark/>
          </w:tcPr>
          <w:p w14:paraId="011326C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w:t>
            </w:r>
          </w:p>
        </w:tc>
        <w:tc>
          <w:tcPr>
            <w:tcW w:w="1134" w:type="dxa"/>
            <w:tcBorders>
              <w:top w:val="nil"/>
              <w:left w:val="nil"/>
              <w:bottom w:val="single" w:sz="4" w:space="0" w:color="auto"/>
              <w:right w:val="single" w:sz="4" w:space="0" w:color="auto"/>
            </w:tcBorders>
            <w:shd w:val="clear" w:color="auto" w:fill="auto"/>
            <w:noWrap/>
            <w:vAlign w:val="center"/>
            <w:hideMark/>
          </w:tcPr>
          <w:p w14:paraId="56C2A0B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540</w:t>
            </w:r>
          </w:p>
        </w:tc>
        <w:tc>
          <w:tcPr>
            <w:tcW w:w="992" w:type="dxa"/>
            <w:tcBorders>
              <w:top w:val="nil"/>
              <w:left w:val="nil"/>
              <w:bottom w:val="single" w:sz="4" w:space="0" w:color="auto"/>
              <w:right w:val="single" w:sz="4" w:space="0" w:color="auto"/>
            </w:tcBorders>
            <w:shd w:val="clear" w:color="auto" w:fill="auto"/>
            <w:noWrap/>
            <w:vAlign w:val="center"/>
            <w:hideMark/>
          </w:tcPr>
          <w:p w14:paraId="039B7355"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139</w:t>
            </w:r>
          </w:p>
        </w:tc>
        <w:tc>
          <w:tcPr>
            <w:tcW w:w="1001" w:type="dxa"/>
            <w:tcBorders>
              <w:top w:val="nil"/>
              <w:left w:val="nil"/>
              <w:bottom w:val="single" w:sz="4" w:space="0" w:color="auto"/>
              <w:right w:val="single" w:sz="4" w:space="0" w:color="auto"/>
            </w:tcBorders>
            <w:shd w:val="clear" w:color="auto" w:fill="auto"/>
            <w:noWrap/>
            <w:vAlign w:val="center"/>
            <w:hideMark/>
          </w:tcPr>
          <w:p w14:paraId="7DA4385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14,91</w:t>
            </w:r>
          </w:p>
        </w:tc>
        <w:tc>
          <w:tcPr>
            <w:tcW w:w="883" w:type="dxa"/>
            <w:tcBorders>
              <w:top w:val="nil"/>
              <w:left w:val="nil"/>
              <w:bottom w:val="single" w:sz="4" w:space="0" w:color="auto"/>
              <w:right w:val="single" w:sz="4" w:space="0" w:color="auto"/>
            </w:tcBorders>
            <w:shd w:val="clear" w:color="auto" w:fill="auto"/>
            <w:noWrap/>
            <w:vAlign w:val="center"/>
            <w:hideMark/>
          </w:tcPr>
          <w:p w14:paraId="2011CE0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67,67</w:t>
            </w:r>
          </w:p>
        </w:tc>
        <w:tc>
          <w:tcPr>
            <w:tcW w:w="859" w:type="dxa"/>
            <w:tcBorders>
              <w:top w:val="nil"/>
              <w:left w:val="nil"/>
              <w:bottom w:val="single" w:sz="4" w:space="0" w:color="auto"/>
              <w:right w:val="single" w:sz="4" w:space="0" w:color="auto"/>
            </w:tcBorders>
            <w:shd w:val="clear" w:color="auto" w:fill="auto"/>
            <w:noWrap/>
            <w:vAlign w:val="center"/>
            <w:hideMark/>
          </w:tcPr>
          <w:p w14:paraId="661A92F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17,42</w:t>
            </w:r>
          </w:p>
        </w:tc>
        <w:tc>
          <w:tcPr>
            <w:tcW w:w="1084" w:type="dxa"/>
            <w:tcBorders>
              <w:top w:val="nil"/>
              <w:left w:val="nil"/>
              <w:bottom w:val="single" w:sz="4" w:space="0" w:color="auto"/>
              <w:right w:val="single" w:sz="4" w:space="0" w:color="auto"/>
            </w:tcBorders>
            <w:shd w:val="clear" w:color="auto" w:fill="auto"/>
            <w:noWrap/>
            <w:vAlign w:val="center"/>
            <w:hideMark/>
          </w:tcPr>
          <w:p w14:paraId="24855AE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116,81</w:t>
            </w:r>
          </w:p>
        </w:tc>
      </w:tr>
      <w:tr w:rsidR="00813A25" w:rsidRPr="00813A25" w14:paraId="5056CBC6"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3261BE3D"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Stará Myjava</w:t>
            </w:r>
          </w:p>
        </w:tc>
        <w:tc>
          <w:tcPr>
            <w:tcW w:w="1276" w:type="dxa"/>
            <w:tcBorders>
              <w:top w:val="nil"/>
              <w:left w:val="nil"/>
              <w:bottom w:val="single" w:sz="4" w:space="0" w:color="auto"/>
              <w:right w:val="single" w:sz="4" w:space="0" w:color="auto"/>
            </w:tcBorders>
            <w:shd w:val="clear" w:color="auto" w:fill="auto"/>
            <w:noWrap/>
            <w:vAlign w:val="center"/>
            <w:hideMark/>
          </w:tcPr>
          <w:p w14:paraId="6ACBF98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733</w:t>
            </w:r>
          </w:p>
        </w:tc>
        <w:tc>
          <w:tcPr>
            <w:tcW w:w="850" w:type="dxa"/>
            <w:tcBorders>
              <w:top w:val="nil"/>
              <w:left w:val="nil"/>
              <w:bottom w:val="single" w:sz="4" w:space="0" w:color="auto"/>
              <w:right w:val="single" w:sz="4" w:space="0" w:color="auto"/>
            </w:tcBorders>
            <w:shd w:val="clear" w:color="auto" w:fill="auto"/>
            <w:noWrap/>
            <w:vAlign w:val="center"/>
            <w:hideMark/>
          </w:tcPr>
          <w:p w14:paraId="2E2FD7C7"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86</w:t>
            </w:r>
          </w:p>
        </w:tc>
        <w:tc>
          <w:tcPr>
            <w:tcW w:w="1134" w:type="dxa"/>
            <w:tcBorders>
              <w:top w:val="nil"/>
              <w:left w:val="nil"/>
              <w:bottom w:val="single" w:sz="4" w:space="0" w:color="auto"/>
              <w:right w:val="single" w:sz="4" w:space="0" w:color="auto"/>
            </w:tcBorders>
            <w:shd w:val="clear" w:color="auto" w:fill="auto"/>
            <w:noWrap/>
            <w:vAlign w:val="center"/>
            <w:hideMark/>
          </w:tcPr>
          <w:p w14:paraId="7C75C85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496</w:t>
            </w:r>
          </w:p>
        </w:tc>
        <w:tc>
          <w:tcPr>
            <w:tcW w:w="992" w:type="dxa"/>
            <w:tcBorders>
              <w:top w:val="nil"/>
              <w:left w:val="nil"/>
              <w:bottom w:val="single" w:sz="4" w:space="0" w:color="auto"/>
              <w:right w:val="single" w:sz="4" w:space="0" w:color="auto"/>
            </w:tcBorders>
            <w:shd w:val="clear" w:color="auto" w:fill="auto"/>
            <w:noWrap/>
            <w:vAlign w:val="center"/>
            <w:hideMark/>
          </w:tcPr>
          <w:p w14:paraId="4D9332F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151</w:t>
            </w:r>
          </w:p>
        </w:tc>
        <w:tc>
          <w:tcPr>
            <w:tcW w:w="1001" w:type="dxa"/>
            <w:tcBorders>
              <w:top w:val="nil"/>
              <w:left w:val="nil"/>
              <w:bottom w:val="single" w:sz="4" w:space="0" w:color="auto"/>
              <w:right w:val="single" w:sz="4" w:space="0" w:color="auto"/>
            </w:tcBorders>
            <w:shd w:val="clear" w:color="auto" w:fill="auto"/>
            <w:noWrap/>
            <w:vAlign w:val="center"/>
            <w:hideMark/>
          </w:tcPr>
          <w:p w14:paraId="23169EF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11,73</w:t>
            </w:r>
          </w:p>
        </w:tc>
        <w:tc>
          <w:tcPr>
            <w:tcW w:w="883" w:type="dxa"/>
            <w:tcBorders>
              <w:top w:val="nil"/>
              <w:left w:val="nil"/>
              <w:bottom w:val="single" w:sz="4" w:space="0" w:color="auto"/>
              <w:right w:val="single" w:sz="4" w:space="0" w:color="auto"/>
            </w:tcBorders>
            <w:shd w:val="clear" w:color="auto" w:fill="auto"/>
            <w:noWrap/>
            <w:vAlign w:val="center"/>
            <w:hideMark/>
          </w:tcPr>
          <w:p w14:paraId="35DD724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67,67</w:t>
            </w:r>
          </w:p>
        </w:tc>
        <w:tc>
          <w:tcPr>
            <w:tcW w:w="859" w:type="dxa"/>
            <w:tcBorders>
              <w:top w:val="nil"/>
              <w:left w:val="nil"/>
              <w:bottom w:val="single" w:sz="4" w:space="0" w:color="auto"/>
              <w:right w:val="single" w:sz="4" w:space="0" w:color="auto"/>
            </w:tcBorders>
            <w:shd w:val="clear" w:color="auto" w:fill="auto"/>
            <w:noWrap/>
            <w:vAlign w:val="center"/>
            <w:hideMark/>
          </w:tcPr>
          <w:p w14:paraId="0B74D92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20,60</w:t>
            </w:r>
          </w:p>
        </w:tc>
        <w:tc>
          <w:tcPr>
            <w:tcW w:w="1084" w:type="dxa"/>
            <w:tcBorders>
              <w:top w:val="nil"/>
              <w:left w:val="nil"/>
              <w:bottom w:val="single" w:sz="4" w:space="0" w:color="auto"/>
              <w:right w:val="single" w:sz="4" w:space="0" w:color="auto"/>
            </w:tcBorders>
            <w:shd w:val="clear" w:color="auto" w:fill="auto"/>
            <w:noWrap/>
            <w:vAlign w:val="center"/>
            <w:hideMark/>
          </w:tcPr>
          <w:p w14:paraId="1CBB166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175,58</w:t>
            </w:r>
          </w:p>
        </w:tc>
      </w:tr>
      <w:tr w:rsidR="00813A25" w:rsidRPr="00813A25" w14:paraId="4F0280FD"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CD455C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Vrbovce</w:t>
            </w:r>
          </w:p>
        </w:tc>
        <w:tc>
          <w:tcPr>
            <w:tcW w:w="1276" w:type="dxa"/>
            <w:tcBorders>
              <w:top w:val="nil"/>
              <w:left w:val="nil"/>
              <w:bottom w:val="single" w:sz="4" w:space="0" w:color="auto"/>
              <w:right w:val="single" w:sz="4" w:space="0" w:color="auto"/>
            </w:tcBorders>
            <w:shd w:val="clear" w:color="auto" w:fill="auto"/>
            <w:noWrap/>
            <w:vAlign w:val="center"/>
            <w:hideMark/>
          </w:tcPr>
          <w:p w14:paraId="68EB8DE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1 539</w:t>
            </w:r>
          </w:p>
        </w:tc>
        <w:tc>
          <w:tcPr>
            <w:tcW w:w="850" w:type="dxa"/>
            <w:tcBorders>
              <w:top w:val="nil"/>
              <w:left w:val="nil"/>
              <w:bottom w:val="single" w:sz="4" w:space="0" w:color="auto"/>
              <w:right w:val="single" w:sz="4" w:space="0" w:color="auto"/>
            </w:tcBorders>
            <w:shd w:val="clear" w:color="auto" w:fill="auto"/>
            <w:noWrap/>
            <w:vAlign w:val="center"/>
            <w:hideMark/>
          </w:tcPr>
          <w:p w14:paraId="2FAEE1B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197</w:t>
            </w:r>
          </w:p>
        </w:tc>
        <w:tc>
          <w:tcPr>
            <w:tcW w:w="1134" w:type="dxa"/>
            <w:tcBorders>
              <w:top w:val="nil"/>
              <w:left w:val="nil"/>
              <w:bottom w:val="single" w:sz="4" w:space="0" w:color="auto"/>
              <w:right w:val="single" w:sz="4" w:space="0" w:color="auto"/>
            </w:tcBorders>
            <w:shd w:val="clear" w:color="auto" w:fill="auto"/>
            <w:noWrap/>
            <w:vAlign w:val="center"/>
            <w:hideMark/>
          </w:tcPr>
          <w:p w14:paraId="6316997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1 034</w:t>
            </w:r>
          </w:p>
        </w:tc>
        <w:tc>
          <w:tcPr>
            <w:tcW w:w="992" w:type="dxa"/>
            <w:tcBorders>
              <w:top w:val="nil"/>
              <w:left w:val="nil"/>
              <w:bottom w:val="single" w:sz="4" w:space="0" w:color="auto"/>
              <w:right w:val="single" w:sz="4" w:space="0" w:color="auto"/>
            </w:tcBorders>
            <w:shd w:val="clear" w:color="auto" w:fill="auto"/>
            <w:noWrap/>
            <w:vAlign w:val="center"/>
            <w:hideMark/>
          </w:tcPr>
          <w:p w14:paraId="750AAF4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308</w:t>
            </w:r>
          </w:p>
        </w:tc>
        <w:tc>
          <w:tcPr>
            <w:tcW w:w="1001" w:type="dxa"/>
            <w:tcBorders>
              <w:top w:val="nil"/>
              <w:left w:val="nil"/>
              <w:bottom w:val="single" w:sz="4" w:space="0" w:color="auto"/>
              <w:right w:val="single" w:sz="4" w:space="0" w:color="auto"/>
            </w:tcBorders>
            <w:shd w:val="clear" w:color="auto" w:fill="auto"/>
            <w:noWrap/>
            <w:vAlign w:val="center"/>
            <w:hideMark/>
          </w:tcPr>
          <w:p w14:paraId="35F39F26"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12,80</w:t>
            </w:r>
          </w:p>
        </w:tc>
        <w:tc>
          <w:tcPr>
            <w:tcW w:w="883" w:type="dxa"/>
            <w:tcBorders>
              <w:top w:val="nil"/>
              <w:left w:val="nil"/>
              <w:bottom w:val="single" w:sz="4" w:space="0" w:color="auto"/>
              <w:right w:val="single" w:sz="4" w:space="0" w:color="auto"/>
            </w:tcBorders>
            <w:shd w:val="clear" w:color="auto" w:fill="auto"/>
            <w:noWrap/>
            <w:vAlign w:val="center"/>
            <w:hideMark/>
          </w:tcPr>
          <w:p w14:paraId="5E2D329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67,19</w:t>
            </w:r>
          </w:p>
        </w:tc>
        <w:tc>
          <w:tcPr>
            <w:tcW w:w="859" w:type="dxa"/>
            <w:tcBorders>
              <w:top w:val="nil"/>
              <w:left w:val="nil"/>
              <w:bottom w:val="single" w:sz="4" w:space="0" w:color="auto"/>
              <w:right w:val="single" w:sz="4" w:space="0" w:color="auto"/>
            </w:tcBorders>
            <w:shd w:val="clear" w:color="auto" w:fill="auto"/>
            <w:noWrap/>
            <w:vAlign w:val="center"/>
            <w:hideMark/>
          </w:tcPr>
          <w:p w14:paraId="06FBD1F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20,01</w:t>
            </w:r>
          </w:p>
        </w:tc>
        <w:tc>
          <w:tcPr>
            <w:tcW w:w="1084" w:type="dxa"/>
            <w:tcBorders>
              <w:top w:val="nil"/>
              <w:left w:val="nil"/>
              <w:bottom w:val="single" w:sz="4" w:space="0" w:color="auto"/>
              <w:right w:val="single" w:sz="4" w:space="0" w:color="auto"/>
            </w:tcBorders>
            <w:shd w:val="clear" w:color="auto" w:fill="auto"/>
            <w:noWrap/>
            <w:vAlign w:val="center"/>
            <w:hideMark/>
          </w:tcPr>
          <w:p w14:paraId="05B36A5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156,35</w:t>
            </w:r>
          </w:p>
        </w:tc>
      </w:tr>
      <w:tr w:rsidR="00813A25" w:rsidRPr="00813A25" w14:paraId="557408DE"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E1B4267"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Bzince pod Javorinou</w:t>
            </w:r>
          </w:p>
        </w:tc>
        <w:tc>
          <w:tcPr>
            <w:tcW w:w="1276" w:type="dxa"/>
            <w:tcBorders>
              <w:top w:val="nil"/>
              <w:left w:val="nil"/>
              <w:bottom w:val="single" w:sz="4" w:space="0" w:color="auto"/>
              <w:right w:val="single" w:sz="4" w:space="0" w:color="auto"/>
            </w:tcBorders>
            <w:shd w:val="clear" w:color="auto" w:fill="auto"/>
            <w:noWrap/>
            <w:vAlign w:val="center"/>
            <w:hideMark/>
          </w:tcPr>
          <w:p w14:paraId="66CF30BF"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2 097</w:t>
            </w:r>
          </w:p>
        </w:tc>
        <w:tc>
          <w:tcPr>
            <w:tcW w:w="850" w:type="dxa"/>
            <w:tcBorders>
              <w:top w:val="nil"/>
              <w:left w:val="nil"/>
              <w:bottom w:val="single" w:sz="4" w:space="0" w:color="auto"/>
              <w:right w:val="single" w:sz="4" w:space="0" w:color="auto"/>
            </w:tcBorders>
            <w:shd w:val="clear" w:color="auto" w:fill="auto"/>
            <w:noWrap/>
            <w:vAlign w:val="center"/>
            <w:hideMark/>
          </w:tcPr>
          <w:p w14:paraId="358E0C98"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267</w:t>
            </w:r>
          </w:p>
        </w:tc>
        <w:tc>
          <w:tcPr>
            <w:tcW w:w="1134" w:type="dxa"/>
            <w:tcBorders>
              <w:top w:val="nil"/>
              <w:left w:val="nil"/>
              <w:bottom w:val="single" w:sz="4" w:space="0" w:color="auto"/>
              <w:right w:val="single" w:sz="4" w:space="0" w:color="auto"/>
            </w:tcBorders>
            <w:shd w:val="clear" w:color="auto" w:fill="auto"/>
            <w:noWrap/>
            <w:vAlign w:val="center"/>
            <w:hideMark/>
          </w:tcPr>
          <w:p w14:paraId="2585EAB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1 438</w:t>
            </w:r>
          </w:p>
        </w:tc>
        <w:tc>
          <w:tcPr>
            <w:tcW w:w="992" w:type="dxa"/>
            <w:tcBorders>
              <w:top w:val="nil"/>
              <w:left w:val="nil"/>
              <w:bottom w:val="single" w:sz="4" w:space="0" w:color="auto"/>
              <w:right w:val="single" w:sz="4" w:space="0" w:color="auto"/>
            </w:tcBorders>
            <w:shd w:val="clear" w:color="auto" w:fill="auto"/>
            <w:noWrap/>
            <w:vAlign w:val="center"/>
            <w:hideMark/>
          </w:tcPr>
          <w:p w14:paraId="1D89B9CF"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392</w:t>
            </w:r>
          </w:p>
        </w:tc>
        <w:tc>
          <w:tcPr>
            <w:tcW w:w="1001" w:type="dxa"/>
            <w:tcBorders>
              <w:top w:val="nil"/>
              <w:left w:val="nil"/>
              <w:bottom w:val="single" w:sz="4" w:space="0" w:color="auto"/>
              <w:right w:val="single" w:sz="4" w:space="0" w:color="auto"/>
            </w:tcBorders>
            <w:shd w:val="clear" w:color="auto" w:fill="auto"/>
            <w:noWrap/>
            <w:vAlign w:val="center"/>
            <w:hideMark/>
          </w:tcPr>
          <w:p w14:paraId="47A9F97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12,73</w:t>
            </w:r>
          </w:p>
        </w:tc>
        <w:tc>
          <w:tcPr>
            <w:tcW w:w="883" w:type="dxa"/>
            <w:tcBorders>
              <w:top w:val="nil"/>
              <w:left w:val="nil"/>
              <w:bottom w:val="single" w:sz="4" w:space="0" w:color="auto"/>
              <w:right w:val="single" w:sz="4" w:space="0" w:color="auto"/>
            </w:tcBorders>
            <w:shd w:val="clear" w:color="auto" w:fill="auto"/>
            <w:noWrap/>
            <w:vAlign w:val="center"/>
            <w:hideMark/>
          </w:tcPr>
          <w:p w14:paraId="5ED3233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68,57</w:t>
            </w:r>
          </w:p>
        </w:tc>
        <w:tc>
          <w:tcPr>
            <w:tcW w:w="859" w:type="dxa"/>
            <w:tcBorders>
              <w:top w:val="nil"/>
              <w:left w:val="nil"/>
              <w:bottom w:val="single" w:sz="4" w:space="0" w:color="auto"/>
              <w:right w:val="single" w:sz="4" w:space="0" w:color="auto"/>
            </w:tcBorders>
            <w:shd w:val="clear" w:color="auto" w:fill="auto"/>
            <w:noWrap/>
            <w:vAlign w:val="center"/>
            <w:hideMark/>
          </w:tcPr>
          <w:p w14:paraId="64FAD38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18,69</w:t>
            </w:r>
          </w:p>
        </w:tc>
        <w:tc>
          <w:tcPr>
            <w:tcW w:w="1084" w:type="dxa"/>
            <w:tcBorders>
              <w:top w:val="nil"/>
              <w:left w:val="nil"/>
              <w:bottom w:val="single" w:sz="4" w:space="0" w:color="auto"/>
              <w:right w:val="single" w:sz="4" w:space="0" w:color="auto"/>
            </w:tcBorders>
            <w:shd w:val="clear" w:color="auto" w:fill="auto"/>
            <w:noWrap/>
            <w:vAlign w:val="center"/>
            <w:hideMark/>
          </w:tcPr>
          <w:p w14:paraId="059237D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146,82</w:t>
            </w:r>
          </w:p>
        </w:tc>
      </w:tr>
      <w:tr w:rsidR="00813A25" w:rsidRPr="00813A25" w14:paraId="316B83C7"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5F851279"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Hrachovište</w:t>
            </w:r>
          </w:p>
        </w:tc>
        <w:tc>
          <w:tcPr>
            <w:tcW w:w="1276" w:type="dxa"/>
            <w:tcBorders>
              <w:top w:val="nil"/>
              <w:left w:val="nil"/>
              <w:bottom w:val="single" w:sz="4" w:space="0" w:color="auto"/>
              <w:right w:val="single" w:sz="4" w:space="0" w:color="auto"/>
            </w:tcBorders>
            <w:shd w:val="clear" w:color="auto" w:fill="auto"/>
            <w:noWrap/>
            <w:vAlign w:val="center"/>
            <w:hideMark/>
          </w:tcPr>
          <w:p w14:paraId="0F22A665"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720</w:t>
            </w:r>
          </w:p>
        </w:tc>
        <w:tc>
          <w:tcPr>
            <w:tcW w:w="850" w:type="dxa"/>
            <w:tcBorders>
              <w:top w:val="nil"/>
              <w:left w:val="nil"/>
              <w:bottom w:val="single" w:sz="4" w:space="0" w:color="auto"/>
              <w:right w:val="single" w:sz="4" w:space="0" w:color="auto"/>
            </w:tcBorders>
            <w:shd w:val="clear" w:color="auto" w:fill="auto"/>
            <w:noWrap/>
            <w:vAlign w:val="center"/>
            <w:hideMark/>
          </w:tcPr>
          <w:p w14:paraId="3F561C8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124</w:t>
            </w:r>
          </w:p>
        </w:tc>
        <w:tc>
          <w:tcPr>
            <w:tcW w:w="1134" w:type="dxa"/>
            <w:tcBorders>
              <w:top w:val="nil"/>
              <w:left w:val="nil"/>
              <w:bottom w:val="single" w:sz="4" w:space="0" w:color="auto"/>
              <w:right w:val="single" w:sz="4" w:space="0" w:color="auto"/>
            </w:tcBorders>
            <w:shd w:val="clear" w:color="auto" w:fill="auto"/>
            <w:noWrap/>
            <w:vAlign w:val="center"/>
            <w:hideMark/>
          </w:tcPr>
          <w:p w14:paraId="6591247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465</w:t>
            </w:r>
          </w:p>
        </w:tc>
        <w:tc>
          <w:tcPr>
            <w:tcW w:w="992" w:type="dxa"/>
            <w:tcBorders>
              <w:top w:val="nil"/>
              <w:left w:val="nil"/>
              <w:bottom w:val="single" w:sz="4" w:space="0" w:color="auto"/>
              <w:right w:val="single" w:sz="4" w:space="0" w:color="auto"/>
            </w:tcBorders>
            <w:shd w:val="clear" w:color="auto" w:fill="auto"/>
            <w:noWrap/>
            <w:vAlign w:val="center"/>
            <w:hideMark/>
          </w:tcPr>
          <w:p w14:paraId="0C3180C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131</w:t>
            </w:r>
          </w:p>
        </w:tc>
        <w:tc>
          <w:tcPr>
            <w:tcW w:w="1001" w:type="dxa"/>
            <w:tcBorders>
              <w:top w:val="nil"/>
              <w:left w:val="nil"/>
              <w:bottom w:val="single" w:sz="4" w:space="0" w:color="auto"/>
              <w:right w:val="single" w:sz="4" w:space="0" w:color="auto"/>
            </w:tcBorders>
            <w:shd w:val="clear" w:color="auto" w:fill="auto"/>
            <w:noWrap/>
            <w:vAlign w:val="center"/>
            <w:hideMark/>
          </w:tcPr>
          <w:p w14:paraId="622693C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17,22</w:t>
            </w:r>
          </w:p>
        </w:tc>
        <w:tc>
          <w:tcPr>
            <w:tcW w:w="883" w:type="dxa"/>
            <w:tcBorders>
              <w:top w:val="nil"/>
              <w:left w:val="nil"/>
              <w:bottom w:val="single" w:sz="4" w:space="0" w:color="auto"/>
              <w:right w:val="single" w:sz="4" w:space="0" w:color="auto"/>
            </w:tcBorders>
            <w:shd w:val="clear" w:color="auto" w:fill="auto"/>
            <w:noWrap/>
            <w:vAlign w:val="center"/>
            <w:hideMark/>
          </w:tcPr>
          <w:p w14:paraId="7CFF532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64,58</w:t>
            </w:r>
          </w:p>
        </w:tc>
        <w:tc>
          <w:tcPr>
            <w:tcW w:w="859" w:type="dxa"/>
            <w:tcBorders>
              <w:top w:val="nil"/>
              <w:left w:val="nil"/>
              <w:bottom w:val="single" w:sz="4" w:space="0" w:color="auto"/>
              <w:right w:val="single" w:sz="4" w:space="0" w:color="auto"/>
            </w:tcBorders>
            <w:shd w:val="clear" w:color="auto" w:fill="auto"/>
            <w:noWrap/>
            <w:vAlign w:val="center"/>
            <w:hideMark/>
          </w:tcPr>
          <w:p w14:paraId="6A265C5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18,19</w:t>
            </w:r>
          </w:p>
        </w:tc>
        <w:tc>
          <w:tcPr>
            <w:tcW w:w="1084" w:type="dxa"/>
            <w:tcBorders>
              <w:top w:val="nil"/>
              <w:left w:val="nil"/>
              <w:bottom w:val="single" w:sz="4" w:space="0" w:color="auto"/>
              <w:right w:val="single" w:sz="4" w:space="0" w:color="auto"/>
            </w:tcBorders>
            <w:shd w:val="clear" w:color="auto" w:fill="auto"/>
            <w:noWrap/>
            <w:vAlign w:val="center"/>
            <w:hideMark/>
          </w:tcPr>
          <w:p w14:paraId="5CB1F0B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105,65</w:t>
            </w:r>
          </w:p>
        </w:tc>
      </w:tr>
      <w:tr w:rsidR="00813A25" w:rsidRPr="00813A25" w14:paraId="4F7C0F1B"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04AB3C18"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Lubina</w:t>
            </w:r>
          </w:p>
        </w:tc>
        <w:tc>
          <w:tcPr>
            <w:tcW w:w="1276" w:type="dxa"/>
            <w:tcBorders>
              <w:top w:val="nil"/>
              <w:left w:val="nil"/>
              <w:bottom w:val="single" w:sz="4" w:space="0" w:color="auto"/>
              <w:right w:val="single" w:sz="4" w:space="0" w:color="auto"/>
            </w:tcBorders>
            <w:shd w:val="clear" w:color="auto" w:fill="auto"/>
            <w:noWrap/>
            <w:vAlign w:val="center"/>
            <w:hideMark/>
          </w:tcPr>
          <w:p w14:paraId="382D0D2E"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1 385</w:t>
            </w:r>
          </w:p>
        </w:tc>
        <w:tc>
          <w:tcPr>
            <w:tcW w:w="850" w:type="dxa"/>
            <w:tcBorders>
              <w:top w:val="nil"/>
              <w:left w:val="nil"/>
              <w:bottom w:val="single" w:sz="4" w:space="0" w:color="auto"/>
              <w:right w:val="single" w:sz="4" w:space="0" w:color="auto"/>
            </w:tcBorders>
            <w:shd w:val="clear" w:color="auto" w:fill="auto"/>
            <w:noWrap/>
            <w:vAlign w:val="center"/>
            <w:hideMark/>
          </w:tcPr>
          <w:p w14:paraId="335F7AD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70F8A83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964</w:t>
            </w:r>
          </w:p>
        </w:tc>
        <w:tc>
          <w:tcPr>
            <w:tcW w:w="992" w:type="dxa"/>
            <w:tcBorders>
              <w:top w:val="nil"/>
              <w:left w:val="nil"/>
              <w:bottom w:val="single" w:sz="4" w:space="0" w:color="auto"/>
              <w:right w:val="single" w:sz="4" w:space="0" w:color="auto"/>
            </w:tcBorders>
            <w:shd w:val="clear" w:color="auto" w:fill="auto"/>
            <w:noWrap/>
            <w:vAlign w:val="center"/>
            <w:hideMark/>
          </w:tcPr>
          <w:p w14:paraId="0E59B6C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249</w:t>
            </w:r>
          </w:p>
        </w:tc>
        <w:tc>
          <w:tcPr>
            <w:tcW w:w="1001" w:type="dxa"/>
            <w:tcBorders>
              <w:top w:val="nil"/>
              <w:left w:val="nil"/>
              <w:bottom w:val="single" w:sz="4" w:space="0" w:color="auto"/>
              <w:right w:val="single" w:sz="4" w:space="0" w:color="auto"/>
            </w:tcBorders>
            <w:shd w:val="clear" w:color="auto" w:fill="auto"/>
            <w:noWrap/>
            <w:vAlign w:val="center"/>
            <w:hideMark/>
          </w:tcPr>
          <w:p w14:paraId="22C5825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12,42</w:t>
            </w:r>
          </w:p>
        </w:tc>
        <w:tc>
          <w:tcPr>
            <w:tcW w:w="883" w:type="dxa"/>
            <w:tcBorders>
              <w:top w:val="nil"/>
              <w:left w:val="nil"/>
              <w:bottom w:val="single" w:sz="4" w:space="0" w:color="auto"/>
              <w:right w:val="single" w:sz="4" w:space="0" w:color="auto"/>
            </w:tcBorders>
            <w:shd w:val="clear" w:color="auto" w:fill="auto"/>
            <w:noWrap/>
            <w:vAlign w:val="center"/>
            <w:hideMark/>
          </w:tcPr>
          <w:p w14:paraId="0E2687E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69,60</w:t>
            </w:r>
          </w:p>
        </w:tc>
        <w:tc>
          <w:tcPr>
            <w:tcW w:w="859" w:type="dxa"/>
            <w:tcBorders>
              <w:top w:val="nil"/>
              <w:left w:val="nil"/>
              <w:bottom w:val="single" w:sz="4" w:space="0" w:color="auto"/>
              <w:right w:val="single" w:sz="4" w:space="0" w:color="auto"/>
            </w:tcBorders>
            <w:shd w:val="clear" w:color="auto" w:fill="auto"/>
            <w:noWrap/>
            <w:vAlign w:val="center"/>
            <w:hideMark/>
          </w:tcPr>
          <w:p w14:paraId="77391850"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17,98</w:t>
            </w:r>
          </w:p>
        </w:tc>
        <w:tc>
          <w:tcPr>
            <w:tcW w:w="1084" w:type="dxa"/>
            <w:tcBorders>
              <w:top w:val="nil"/>
              <w:left w:val="nil"/>
              <w:bottom w:val="single" w:sz="4" w:space="0" w:color="auto"/>
              <w:right w:val="single" w:sz="4" w:space="0" w:color="auto"/>
            </w:tcBorders>
            <w:shd w:val="clear" w:color="auto" w:fill="auto"/>
            <w:noWrap/>
            <w:vAlign w:val="center"/>
            <w:hideMark/>
          </w:tcPr>
          <w:p w14:paraId="64669C0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144,77</w:t>
            </w:r>
          </w:p>
        </w:tc>
      </w:tr>
      <w:tr w:rsidR="00813A25" w:rsidRPr="00813A25" w14:paraId="5043C86D"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55C6DDA"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Stará Turá</w:t>
            </w:r>
          </w:p>
        </w:tc>
        <w:tc>
          <w:tcPr>
            <w:tcW w:w="1276" w:type="dxa"/>
            <w:tcBorders>
              <w:top w:val="nil"/>
              <w:left w:val="nil"/>
              <w:bottom w:val="single" w:sz="4" w:space="0" w:color="auto"/>
              <w:right w:val="single" w:sz="4" w:space="0" w:color="auto"/>
            </w:tcBorders>
            <w:shd w:val="clear" w:color="auto" w:fill="auto"/>
            <w:noWrap/>
            <w:vAlign w:val="center"/>
            <w:hideMark/>
          </w:tcPr>
          <w:p w14:paraId="25EF256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9 172</w:t>
            </w:r>
          </w:p>
        </w:tc>
        <w:tc>
          <w:tcPr>
            <w:tcW w:w="850" w:type="dxa"/>
            <w:tcBorders>
              <w:top w:val="nil"/>
              <w:left w:val="nil"/>
              <w:bottom w:val="single" w:sz="4" w:space="0" w:color="auto"/>
              <w:right w:val="single" w:sz="4" w:space="0" w:color="auto"/>
            </w:tcBorders>
            <w:shd w:val="clear" w:color="auto" w:fill="auto"/>
            <w:noWrap/>
            <w:vAlign w:val="center"/>
            <w:hideMark/>
          </w:tcPr>
          <w:p w14:paraId="6279C444" w14:textId="77777777" w:rsidR="00813A25" w:rsidRPr="002A6CFD" w:rsidRDefault="00813A25" w:rsidP="002A6CFD">
            <w:pPr>
              <w:spacing w:after="0" w:line="240" w:lineRule="auto"/>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1 088</w:t>
            </w:r>
          </w:p>
        </w:tc>
        <w:tc>
          <w:tcPr>
            <w:tcW w:w="1134" w:type="dxa"/>
            <w:tcBorders>
              <w:top w:val="nil"/>
              <w:left w:val="nil"/>
              <w:bottom w:val="single" w:sz="4" w:space="0" w:color="auto"/>
              <w:right w:val="single" w:sz="4" w:space="0" w:color="auto"/>
            </w:tcBorders>
            <w:shd w:val="clear" w:color="auto" w:fill="auto"/>
            <w:noWrap/>
            <w:vAlign w:val="center"/>
            <w:hideMark/>
          </w:tcPr>
          <w:p w14:paraId="746B503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6 587</w:t>
            </w:r>
          </w:p>
        </w:tc>
        <w:tc>
          <w:tcPr>
            <w:tcW w:w="992" w:type="dxa"/>
            <w:tcBorders>
              <w:top w:val="nil"/>
              <w:left w:val="nil"/>
              <w:bottom w:val="single" w:sz="4" w:space="0" w:color="auto"/>
              <w:right w:val="single" w:sz="4" w:space="0" w:color="auto"/>
            </w:tcBorders>
            <w:shd w:val="clear" w:color="auto" w:fill="auto"/>
            <w:noWrap/>
            <w:vAlign w:val="center"/>
            <w:hideMark/>
          </w:tcPr>
          <w:p w14:paraId="53F18DA5" w14:textId="77777777" w:rsidR="00813A25" w:rsidRPr="002A6CFD" w:rsidRDefault="00813A25" w:rsidP="002A6CFD">
            <w:pPr>
              <w:spacing w:after="0" w:line="240" w:lineRule="auto"/>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1 497</w:t>
            </w:r>
          </w:p>
        </w:tc>
        <w:tc>
          <w:tcPr>
            <w:tcW w:w="1001" w:type="dxa"/>
            <w:tcBorders>
              <w:top w:val="nil"/>
              <w:left w:val="nil"/>
              <w:bottom w:val="single" w:sz="4" w:space="0" w:color="auto"/>
              <w:right w:val="single" w:sz="4" w:space="0" w:color="auto"/>
            </w:tcBorders>
            <w:shd w:val="clear" w:color="auto" w:fill="auto"/>
            <w:noWrap/>
            <w:vAlign w:val="center"/>
            <w:hideMark/>
          </w:tcPr>
          <w:p w14:paraId="74D3E55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11,86</w:t>
            </w:r>
          </w:p>
        </w:tc>
        <w:tc>
          <w:tcPr>
            <w:tcW w:w="883" w:type="dxa"/>
            <w:tcBorders>
              <w:top w:val="nil"/>
              <w:left w:val="nil"/>
              <w:bottom w:val="single" w:sz="4" w:space="0" w:color="auto"/>
              <w:right w:val="single" w:sz="4" w:space="0" w:color="auto"/>
            </w:tcBorders>
            <w:shd w:val="clear" w:color="auto" w:fill="auto"/>
            <w:noWrap/>
            <w:vAlign w:val="center"/>
            <w:hideMark/>
          </w:tcPr>
          <w:p w14:paraId="0012BBEA"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71,82</w:t>
            </w:r>
          </w:p>
        </w:tc>
        <w:tc>
          <w:tcPr>
            <w:tcW w:w="859" w:type="dxa"/>
            <w:tcBorders>
              <w:top w:val="nil"/>
              <w:left w:val="nil"/>
              <w:bottom w:val="single" w:sz="4" w:space="0" w:color="auto"/>
              <w:right w:val="single" w:sz="4" w:space="0" w:color="auto"/>
            </w:tcBorders>
            <w:shd w:val="clear" w:color="auto" w:fill="auto"/>
            <w:noWrap/>
            <w:vAlign w:val="center"/>
            <w:hideMark/>
          </w:tcPr>
          <w:p w14:paraId="69BFAA3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16,32</w:t>
            </w:r>
          </w:p>
        </w:tc>
        <w:tc>
          <w:tcPr>
            <w:tcW w:w="1084" w:type="dxa"/>
            <w:tcBorders>
              <w:top w:val="nil"/>
              <w:left w:val="nil"/>
              <w:bottom w:val="single" w:sz="4" w:space="0" w:color="auto"/>
              <w:right w:val="single" w:sz="4" w:space="0" w:color="auto"/>
            </w:tcBorders>
            <w:shd w:val="clear" w:color="auto" w:fill="auto"/>
            <w:noWrap/>
            <w:vAlign w:val="center"/>
            <w:hideMark/>
          </w:tcPr>
          <w:p w14:paraId="78F0FDC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137,59</w:t>
            </w:r>
          </w:p>
        </w:tc>
      </w:tr>
      <w:tr w:rsidR="00813A25" w:rsidRPr="00813A25" w14:paraId="1252D321"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536CEC6A"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Vaďovce</w:t>
            </w:r>
          </w:p>
        </w:tc>
        <w:tc>
          <w:tcPr>
            <w:tcW w:w="1276" w:type="dxa"/>
            <w:tcBorders>
              <w:top w:val="nil"/>
              <w:left w:val="nil"/>
              <w:bottom w:val="single" w:sz="4" w:space="0" w:color="auto"/>
              <w:right w:val="single" w:sz="4" w:space="0" w:color="auto"/>
            </w:tcBorders>
            <w:shd w:val="clear" w:color="auto" w:fill="auto"/>
            <w:noWrap/>
            <w:vAlign w:val="center"/>
            <w:hideMark/>
          </w:tcPr>
          <w:p w14:paraId="14B69127"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758</w:t>
            </w:r>
          </w:p>
        </w:tc>
        <w:tc>
          <w:tcPr>
            <w:tcW w:w="850" w:type="dxa"/>
            <w:tcBorders>
              <w:top w:val="nil"/>
              <w:left w:val="nil"/>
              <w:bottom w:val="single" w:sz="4" w:space="0" w:color="auto"/>
              <w:right w:val="single" w:sz="4" w:space="0" w:color="auto"/>
            </w:tcBorders>
            <w:shd w:val="clear" w:color="auto" w:fill="auto"/>
            <w:noWrap/>
            <w:vAlign w:val="center"/>
            <w:hideMark/>
          </w:tcPr>
          <w:p w14:paraId="3AEB3533"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109</w:t>
            </w:r>
          </w:p>
        </w:tc>
        <w:tc>
          <w:tcPr>
            <w:tcW w:w="1134" w:type="dxa"/>
            <w:tcBorders>
              <w:top w:val="nil"/>
              <w:left w:val="nil"/>
              <w:bottom w:val="single" w:sz="4" w:space="0" w:color="auto"/>
              <w:right w:val="single" w:sz="4" w:space="0" w:color="auto"/>
            </w:tcBorders>
            <w:shd w:val="clear" w:color="auto" w:fill="auto"/>
            <w:noWrap/>
            <w:vAlign w:val="center"/>
            <w:hideMark/>
          </w:tcPr>
          <w:p w14:paraId="6C64A98F"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519</w:t>
            </w:r>
          </w:p>
        </w:tc>
        <w:tc>
          <w:tcPr>
            <w:tcW w:w="992" w:type="dxa"/>
            <w:tcBorders>
              <w:top w:val="nil"/>
              <w:left w:val="nil"/>
              <w:bottom w:val="single" w:sz="4" w:space="0" w:color="auto"/>
              <w:right w:val="single" w:sz="4" w:space="0" w:color="auto"/>
            </w:tcBorders>
            <w:shd w:val="clear" w:color="auto" w:fill="auto"/>
            <w:noWrap/>
            <w:vAlign w:val="center"/>
            <w:hideMark/>
          </w:tcPr>
          <w:p w14:paraId="6CC9D07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130</w:t>
            </w:r>
          </w:p>
        </w:tc>
        <w:tc>
          <w:tcPr>
            <w:tcW w:w="1001" w:type="dxa"/>
            <w:tcBorders>
              <w:top w:val="nil"/>
              <w:left w:val="nil"/>
              <w:bottom w:val="single" w:sz="4" w:space="0" w:color="auto"/>
              <w:right w:val="single" w:sz="4" w:space="0" w:color="auto"/>
            </w:tcBorders>
            <w:shd w:val="clear" w:color="auto" w:fill="auto"/>
            <w:noWrap/>
            <w:vAlign w:val="center"/>
            <w:hideMark/>
          </w:tcPr>
          <w:p w14:paraId="154ED59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14,38</w:t>
            </w:r>
          </w:p>
        </w:tc>
        <w:tc>
          <w:tcPr>
            <w:tcW w:w="883" w:type="dxa"/>
            <w:tcBorders>
              <w:top w:val="nil"/>
              <w:left w:val="nil"/>
              <w:bottom w:val="single" w:sz="4" w:space="0" w:color="auto"/>
              <w:right w:val="single" w:sz="4" w:space="0" w:color="auto"/>
            </w:tcBorders>
            <w:shd w:val="clear" w:color="auto" w:fill="auto"/>
            <w:noWrap/>
            <w:vAlign w:val="center"/>
            <w:hideMark/>
          </w:tcPr>
          <w:p w14:paraId="0C641D61"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68,47</w:t>
            </w:r>
          </w:p>
        </w:tc>
        <w:tc>
          <w:tcPr>
            <w:tcW w:w="859" w:type="dxa"/>
            <w:tcBorders>
              <w:top w:val="nil"/>
              <w:left w:val="nil"/>
              <w:bottom w:val="single" w:sz="4" w:space="0" w:color="auto"/>
              <w:right w:val="single" w:sz="4" w:space="0" w:color="auto"/>
            </w:tcBorders>
            <w:shd w:val="clear" w:color="auto" w:fill="auto"/>
            <w:noWrap/>
            <w:vAlign w:val="center"/>
            <w:hideMark/>
          </w:tcPr>
          <w:p w14:paraId="77C7D5D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17,15</w:t>
            </w:r>
          </w:p>
        </w:tc>
        <w:tc>
          <w:tcPr>
            <w:tcW w:w="1084" w:type="dxa"/>
            <w:tcBorders>
              <w:top w:val="nil"/>
              <w:left w:val="nil"/>
              <w:bottom w:val="single" w:sz="4" w:space="0" w:color="auto"/>
              <w:right w:val="single" w:sz="4" w:space="0" w:color="auto"/>
            </w:tcBorders>
            <w:shd w:val="clear" w:color="auto" w:fill="auto"/>
            <w:noWrap/>
            <w:vAlign w:val="center"/>
            <w:hideMark/>
          </w:tcPr>
          <w:p w14:paraId="4862D359"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119,27</w:t>
            </w:r>
          </w:p>
        </w:tc>
      </w:tr>
      <w:tr w:rsidR="00813A25" w:rsidRPr="00813A25" w14:paraId="7427898D"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0E7A4BA5"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Višňové</w:t>
            </w:r>
          </w:p>
        </w:tc>
        <w:tc>
          <w:tcPr>
            <w:tcW w:w="1276" w:type="dxa"/>
            <w:tcBorders>
              <w:top w:val="nil"/>
              <w:left w:val="nil"/>
              <w:bottom w:val="single" w:sz="4" w:space="0" w:color="auto"/>
              <w:right w:val="single" w:sz="4" w:space="0" w:color="auto"/>
            </w:tcBorders>
            <w:shd w:val="clear" w:color="auto" w:fill="auto"/>
            <w:noWrap/>
            <w:vAlign w:val="center"/>
            <w:hideMark/>
          </w:tcPr>
          <w:p w14:paraId="04B4A45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171</w:t>
            </w:r>
          </w:p>
        </w:tc>
        <w:tc>
          <w:tcPr>
            <w:tcW w:w="850" w:type="dxa"/>
            <w:tcBorders>
              <w:top w:val="nil"/>
              <w:left w:val="nil"/>
              <w:bottom w:val="single" w:sz="4" w:space="0" w:color="auto"/>
              <w:right w:val="single" w:sz="4" w:space="0" w:color="auto"/>
            </w:tcBorders>
            <w:shd w:val="clear" w:color="auto" w:fill="auto"/>
            <w:noWrap/>
            <w:vAlign w:val="center"/>
            <w:hideMark/>
          </w:tcPr>
          <w:p w14:paraId="2110E483"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24</w:t>
            </w:r>
          </w:p>
        </w:tc>
        <w:tc>
          <w:tcPr>
            <w:tcW w:w="1134" w:type="dxa"/>
            <w:tcBorders>
              <w:top w:val="nil"/>
              <w:left w:val="nil"/>
              <w:bottom w:val="single" w:sz="4" w:space="0" w:color="auto"/>
              <w:right w:val="single" w:sz="4" w:space="0" w:color="auto"/>
            </w:tcBorders>
            <w:shd w:val="clear" w:color="auto" w:fill="auto"/>
            <w:noWrap/>
            <w:vAlign w:val="center"/>
            <w:hideMark/>
          </w:tcPr>
          <w:p w14:paraId="201B3FB2"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108</w:t>
            </w:r>
          </w:p>
        </w:tc>
        <w:tc>
          <w:tcPr>
            <w:tcW w:w="992" w:type="dxa"/>
            <w:tcBorders>
              <w:top w:val="nil"/>
              <w:left w:val="nil"/>
              <w:bottom w:val="single" w:sz="4" w:space="0" w:color="auto"/>
              <w:right w:val="single" w:sz="4" w:space="0" w:color="auto"/>
            </w:tcBorders>
            <w:shd w:val="clear" w:color="auto" w:fill="auto"/>
            <w:noWrap/>
            <w:vAlign w:val="center"/>
            <w:hideMark/>
          </w:tcPr>
          <w:p w14:paraId="50675BCA"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39</w:t>
            </w:r>
          </w:p>
        </w:tc>
        <w:tc>
          <w:tcPr>
            <w:tcW w:w="1001" w:type="dxa"/>
            <w:tcBorders>
              <w:top w:val="nil"/>
              <w:left w:val="nil"/>
              <w:bottom w:val="single" w:sz="4" w:space="0" w:color="auto"/>
              <w:right w:val="single" w:sz="4" w:space="0" w:color="auto"/>
            </w:tcBorders>
            <w:shd w:val="clear" w:color="auto" w:fill="auto"/>
            <w:noWrap/>
            <w:vAlign w:val="center"/>
            <w:hideMark/>
          </w:tcPr>
          <w:p w14:paraId="28394334"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14,04</w:t>
            </w:r>
          </w:p>
        </w:tc>
        <w:tc>
          <w:tcPr>
            <w:tcW w:w="883" w:type="dxa"/>
            <w:tcBorders>
              <w:top w:val="nil"/>
              <w:left w:val="nil"/>
              <w:bottom w:val="single" w:sz="4" w:space="0" w:color="auto"/>
              <w:right w:val="single" w:sz="4" w:space="0" w:color="auto"/>
            </w:tcBorders>
            <w:shd w:val="clear" w:color="auto" w:fill="auto"/>
            <w:noWrap/>
            <w:vAlign w:val="center"/>
            <w:hideMark/>
          </w:tcPr>
          <w:p w14:paraId="37D3EE2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63,16</w:t>
            </w:r>
          </w:p>
        </w:tc>
        <w:tc>
          <w:tcPr>
            <w:tcW w:w="859" w:type="dxa"/>
            <w:tcBorders>
              <w:top w:val="nil"/>
              <w:left w:val="nil"/>
              <w:bottom w:val="single" w:sz="4" w:space="0" w:color="auto"/>
              <w:right w:val="single" w:sz="4" w:space="0" w:color="auto"/>
            </w:tcBorders>
            <w:shd w:val="clear" w:color="auto" w:fill="auto"/>
            <w:noWrap/>
            <w:vAlign w:val="center"/>
            <w:hideMark/>
          </w:tcPr>
          <w:p w14:paraId="5864BE03"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22,81</w:t>
            </w:r>
          </w:p>
        </w:tc>
        <w:tc>
          <w:tcPr>
            <w:tcW w:w="1084" w:type="dxa"/>
            <w:tcBorders>
              <w:top w:val="nil"/>
              <w:left w:val="nil"/>
              <w:bottom w:val="single" w:sz="4" w:space="0" w:color="auto"/>
              <w:right w:val="single" w:sz="4" w:space="0" w:color="auto"/>
            </w:tcBorders>
            <w:shd w:val="clear" w:color="auto" w:fill="auto"/>
            <w:noWrap/>
            <w:vAlign w:val="center"/>
            <w:hideMark/>
          </w:tcPr>
          <w:p w14:paraId="2BDA637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162,50</w:t>
            </w:r>
          </w:p>
        </w:tc>
      </w:tr>
      <w:tr w:rsidR="00813A25" w:rsidRPr="00813A25" w14:paraId="3E80B855"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2BD4C994"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Podbranč</w:t>
            </w:r>
          </w:p>
        </w:tc>
        <w:tc>
          <w:tcPr>
            <w:tcW w:w="1276" w:type="dxa"/>
            <w:tcBorders>
              <w:top w:val="nil"/>
              <w:left w:val="nil"/>
              <w:bottom w:val="single" w:sz="4" w:space="0" w:color="auto"/>
              <w:right w:val="single" w:sz="4" w:space="0" w:color="auto"/>
            </w:tcBorders>
            <w:shd w:val="clear" w:color="auto" w:fill="auto"/>
            <w:noWrap/>
            <w:vAlign w:val="center"/>
            <w:hideMark/>
          </w:tcPr>
          <w:p w14:paraId="1D460736"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600</w:t>
            </w:r>
          </w:p>
        </w:tc>
        <w:tc>
          <w:tcPr>
            <w:tcW w:w="850" w:type="dxa"/>
            <w:tcBorders>
              <w:top w:val="nil"/>
              <w:left w:val="nil"/>
              <w:bottom w:val="single" w:sz="4" w:space="0" w:color="auto"/>
              <w:right w:val="single" w:sz="4" w:space="0" w:color="auto"/>
            </w:tcBorders>
            <w:shd w:val="clear" w:color="auto" w:fill="auto"/>
            <w:noWrap/>
            <w:vAlign w:val="center"/>
            <w:hideMark/>
          </w:tcPr>
          <w:p w14:paraId="228F714B"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61</w:t>
            </w:r>
          </w:p>
        </w:tc>
        <w:tc>
          <w:tcPr>
            <w:tcW w:w="1134" w:type="dxa"/>
            <w:tcBorders>
              <w:top w:val="nil"/>
              <w:left w:val="nil"/>
              <w:bottom w:val="single" w:sz="4" w:space="0" w:color="auto"/>
              <w:right w:val="single" w:sz="4" w:space="0" w:color="auto"/>
            </w:tcBorders>
            <w:shd w:val="clear" w:color="auto" w:fill="auto"/>
            <w:noWrap/>
            <w:vAlign w:val="center"/>
            <w:hideMark/>
          </w:tcPr>
          <w:p w14:paraId="73FA1971"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435</w:t>
            </w:r>
          </w:p>
        </w:tc>
        <w:tc>
          <w:tcPr>
            <w:tcW w:w="992" w:type="dxa"/>
            <w:tcBorders>
              <w:top w:val="nil"/>
              <w:left w:val="nil"/>
              <w:bottom w:val="single" w:sz="4" w:space="0" w:color="auto"/>
              <w:right w:val="single" w:sz="4" w:space="0" w:color="auto"/>
            </w:tcBorders>
            <w:shd w:val="clear" w:color="auto" w:fill="auto"/>
            <w:noWrap/>
            <w:vAlign w:val="center"/>
            <w:hideMark/>
          </w:tcPr>
          <w:p w14:paraId="5CAF0407"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104</w:t>
            </w:r>
          </w:p>
        </w:tc>
        <w:tc>
          <w:tcPr>
            <w:tcW w:w="1001" w:type="dxa"/>
            <w:tcBorders>
              <w:top w:val="nil"/>
              <w:left w:val="nil"/>
              <w:bottom w:val="single" w:sz="4" w:space="0" w:color="auto"/>
              <w:right w:val="single" w:sz="4" w:space="0" w:color="auto"/>
            </w:tcBorders>
            <w:shd w:val="clear" w:color="auto" w:fill="auto"/>
            <w:noWrap/>
            <w:vAlign w:val="center"/>
            <w:hideMark/>
          </w:tcPr>
          <w:p w14:paraId="413A63A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10,17</w:t>
            </w:r>
          </w:p>
        </w:tc>
        <w:tc>
          <w:tcPr>
            <w:tcW w:w="883" w:type="dxa"/>
            <w:tcBorders>
              <w:top w:val="nil"/>
              <w:left w:val="nil"/>
              <w:bottom w:val="single" w:sz="4" w:space="0" w:color="auto"/>
              <w:right w:val="single" w:sz="4" w:space="0" w:color="auto"/>
            </w:tcBorders>
            <w:shd w:val="clear" w:color="auto" w:fill="auto"/>
            <w:noWrap/>
            <w:vAlign w:val="center"/>
            <w:hideMark/>
          </w:tcPr>
          <w:p w14:paraId="780EA33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72,50</w:t>
            </w:r>
          </w:p>
        </w:tc>
        <w:tc>
          <w:tcPr>
            <w:tcW w:w="859" w:type="dxa"/>
            <w:tcBorders>
              <w:top w:val="nil"/>
              <w:left w:val="nil"/>
              <w:bottom w:val="single" w:sz="4" w:space="0" w:color="auto"/>
              <w:right w:val="single" w:sz="4" w:space="0" w:color="auto"/>
            </w:tcBorders>
            <w:shd w:val="clear" w:color="auto" w:fill="auto"/>
            <w:noWrap/>
            <w:vAlign w:val="center"/>
            <w:hideMark/>
          </w:tcPr>
          <w:p w14:paraId="64992842"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17,33</w:t>
            </w:r>
          </w:p>
        </w:tc>
        <w:tc>
          <w:tcPr>
            <w:tcW w:w="1084" w:type="dxa"/>
            <w:tcBorders>
              <w:top w:val="nil"/>
              <w:left w:val="nil"/>
              <w:bottom w:val="single" w:sz="4" w:space="0" w:color="auto"/>
              <w:right w:val="single" w:sz="4" w:space="0" w:color="auto"/>
            </w:tcBorders>
            <w:shd w:val="clear" w:color="auto" w:fill="auto"/>
            <w:noWrap/>
            <w:vAlign w:val="center"/>
            <w:hideMark/>
          </w:tcPr>
          <w:p w14:paraId="62AA68B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170,49</w:t>
            </w:r>
          </w:p>
        </w:tc>
      </w:tr>
      <w:tr w:rsidR="00813A25" w:rsidRPr="00813A25" w14:paraId="4478C310"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B2C6C05"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Sobotište</w:t>
            </w:r>
          </w:p>
        </w:tc>
        <w:tc>
          <w:tcPr>
            <w:tcW w:w="1276" w:type="dxa"/>
            <w:tcBorders>
              <w:top w:val="nil"/>
              <w:left w:val="nil"/>
              <w:bottom w:val="single" w:sz="4" w:space="0" w:color="auto"/>
              <w:right w:val="single" w:sz="4" w:space="0" w:color="auto"/>
            </w:tcBorders>
            <w:shd w:val="clear" w:color="auto" w:fill="auto"/>
            <w:noWrap/>
            <w:vAlign w:val="center"/>
            <w:hideMark/>
          </w:tcPr>
          <w:p w14:paraId="2238DF2C"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1 485</w:t>
            </w:r>
          </w:p>
        </w:tc>
        <w:tc>
          <w:tcPr>
            <w:tcW w:w="850" w:type="dxa"/>
            <w:tcBorders>
              <w:top w:val="nil"/>
              <w:left w:val="nil"/>
              <w:bottom w:val="single" w:sz="4" w:space="0" w:color="auto"/>
              <w:right w:val="single" w:sz="4" w:space="0" w:color="auto"/>
            </w:tcBorders>
            <w:shd w:val="clear" w:color="auto" w:fill="auto"/>
            <w:noWrap/>
            <w:vAlign w:val="center"/>
            <w:hideMark/>
          </w:tcPr>
          <w:p w14:paraId="7AD66F6D"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204</w:t>
            </w:r>
          </w:p>
        </w:tc>
        <w:tc>
          <w:tcPr>
            <w:tcW w:w="1134" w:type="dxa"/>
            <w:tcBorders>
              <w:top w:val="nil"/>
              <w:left w:val="nil"/>
              <w:bottom w:val="single" w:sz="4" w:space="0" w:color="auto"/>
              <w:right w:val="single" w:sz="4" w:space="0" w:color="auto"/>
            </w:tcBorders>
            <w:shd w:val="clear" w:color="auto" w:fill="auto"/>
            <w:noWrap/>
            <w:vAlign w:val="center"/>
            <w:hideMark/>
          </w:tcPr>
          <w:p w14:paraId="0F7D9DA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1 032</w:t>
            </w:r>
          </w:p>
        </w:tc>
        <w:tc>
          <w:tcPr>
            <w:tcW w:w="992" w:type="dxa"/>
            <w:tcBorders>
              <w:top w:val="nil"/>
              <w:left w:val="nil"/>
              <w:bottom w:val="single" w:sz="4" w:space="0" w:color="auto"/>
              <w:right w:val="single" w:sz="4" w:space="0" w:color="auto"/>
            </w:tcBorders>
            <w:shd w:val="clear" w:color="auto" w:fill="auto"/>
            <w:noWrap/>
            <w:vAlign w:val="center"/>
            <w:hideMark/>
          </w:tcPr>
          <w:p w14:paraId="61154590"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249</w:t>
            </w:r>
          </w:p>
        </w:tc>
        <w:tc>
          <w:tcPr>
            <w:tcW w:w="1001" w:type="dxa"/>
            <w:tcBorders>
              <w:top w:val="nil"/>
              <w:left w:val="nil"/>
              <w:bottom w:val="single" w:sz="4" w:space="0" w:color="auto"/>
              <w:right w:val="single" w:sz="4" w:space="0" w:color="auto"/>
            </w:tcBorders>
            <w:shd w:val="clear" w:color="auto" w:fill="auto"/>
            <w:noWrap/>
            <w:vAlign w:val="center"/>
            <w:hideMark/>
          </w:tcPr>
          <w:p w14:paraId="081A8CDE"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13,74</w:t>
            </w:r>
          </w:p>
        </w:tc>
        <w:tc>
          <w:tcPr>
            <w:tcW w:w="883" w:type="dxa"/>
            <w:tcBorders>
              <w:top w:val="nil"/>
              <w:left w:val="nil"/>
              <w:bottom w:val="single" w:sz="4" w:space="0" w:color="auto"/>
              <w:right w:val="single" w:sz="4" w:space="0" w:color="auto"/>
            </w:tcBorders>
            <w:shd w:val="clear" w:color="auto" w:fill="auto"/>
            <w:noWrap/>
            <w:vAlign w:val="center"/>
            <w:hideMark/>
          </w:tcPr>
          <w:p w14:paraId="7D9AD52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69,49</w:t>
            </w:r>
          </w:p>
        </w:tc>
        <w:tc>
          <w:tcPr>
            <w:tcW w:w="859" w:type="dxa"/>
            <w:tcBorders>
              <w:top w:val="nil"/>
              <w:left w:val="nil"/>
              <w:bottom w:val="single" w:sz="4" w:space="0" w:color="auto"/>
              <w:right w:val="single" w:sz="4" w:space="0" w:color="auto"/>
            </w:tcBorders>
            <w:shd w:val="clear" w:color="auto" w:fill="auto"/>
            <w:noWrap/>
            <w:vAlign w:val="center"/>
            <w:hideMark/>
          </w:tcPr>
          <w:p w14:paraId="37F0DF7D"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16,77</w:t>
            </w:r>
          </w:p>
        </w:tc>
        <w:tc>
          <w:tcPr>
            <w:tcW w:w="1084" w:type="dxa"/>
            <w:tcBorders>
              <w:top w:val="nil"/>
              <w:left w:val="nil"/>
              <w:bottom w:val="single" w:sz="4" w:space="0" w:color="auto"/>
              <w:right w:val="single" w:sz="4" w:space="0" w:color="auto"/>
            </w:tcBorders>
            <w:shd w:val="clear" w:color="auto" w:fill="auto"/>
            <w:noWrap/>
            <w:vAlign w:val="center"/>
            <w:hideMark/>
          </w:tcPr>
          <w:p w14:paraId="2EBA8478"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122,06</w:t>
            </w:r>
          </w:p>
        </w:tc>
      </w:tr>
      <w:tr w:rsidR="00813A25" w:rsidRPr="00813A25" w14:paraId="083DB8D8"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7E023FD" w14:textId="77777777" w:rsidR="00813A25" w:rsidRPr="002A6CFD" w:rsidRDefault="00813A25" w:rsidP="00813A25">
            <w:pPr>
              <w:spacing w:after="0" w:line="240" w:lineRule="auto"/>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Prašník</w:t>
            </w:r>
          </w:p>
        </w:tc>
        <w:tc>
          <w:tcPr>
            <w:tcW w:w="1276" w:type="dxa"/>
            <w:tcBorders>
              <w:top w:val="nil"/>
              <w:left w:val="nil"/>
              <w:bottom w:val="single" w:sz="4" w:space="0" w:color="auto"/>
              <w:right w:val="single" w:sz="4" w:space="0" w:color="auto"/>
            </w:tcBorders>
            <w:shd w:val="clear" w:color="auto" w:fill="auto"/>
            <w:noWrap/>
            <w:vAlign w:val="center"/>
            <w:hideMark/>
          </w:tcPr>
          <w:p w14:paraId="1CD17F53"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854</w:t>
            </w:r>
          </w:p>
        </w:tc>
        <w:tc>
          <w:tcPr>
            <w:tcW w:w="850" w:type="dxa"/>
            <w:tcBorders>
              <w:top w:val="nil"/>
              <w:left w:val="nil"/>
              <w:bottom w:val="single" w:sz="4" w:space="0" w:color="auto"/>
              <w:right w:val="single" w:sz="4" w:space="0" w:color="auto"/>
            </w:tcBorders>
            <w:shd w:val="clear" w:color="auto" w:fill="auto"/>
            <w:noWrap/>
            <w:vAlign w:val="center"/>
            <w:hideMark/>
          </w:tcPr>
          <w:p w14:paraId="2C0E418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108</w:t>
            </w:r>
          </w:p>
        </w:tc>
        <w:tc>
          <w:tcPr>
            <w:tcW w:w="1134" w:type="dxa"/>
            <w:tcBorders>
              <w:top w:val="nil"/>
              <w:left w:val="nil"/>
              <w:bottom w:val="single" w:sz="4" w:space="0" w:color="auto"/>
              <w:right w:val="single" w:sz="4" w:space="0" w:color="auto"/>
            </w:tcBorders>
            <w:shd w:val="clear" w:color="auto" w:fill="auto"/>
            <w:noWrap/>
            <w:vAlign w:val="center"/>
            <w:hideMark/>
          </w:tcPr>
          <w:p w14:paraId="39F4E8F4"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621</w:t>
            </w:r>
          </w:p>
        </w:tc>
        <w:tc>
          <w:tcPr>
            <w:tcW w:w="992" w:type="dxa"/>
            <w:tcBorders>
              <w:top w:val="nil"/>
              <w:left w:val="nil"/>
              <w:bottom w:val="single" w:sz="4" w:space="0" w:color="auto"/>
              <w:right w:val="single" w:sz="4" w:space="0" w:color="auto"/>
            </w:tcBorders>
            <w:shd w:val="clear" w:color="auto" w:fill="auto"/>
            <w:noWrap/>
            <w:vAlign w:val="center"/>
            <w:hideMark/>
          </w:tcPr>
          <w:p w14:paraId="0399BDB9" w14:textId="77777777" w:rsidR="00813A25" w:rsidRPr="002A6CFD" w:rsidRDefault="00813A25" w:rsidP="002A6CFD">
            <w:pPr>
              <w:spacing w:after="0" w:line="240" w:lineRule="auto"/>
              <w:ind w:firstLineChars="200" w:firstLine="44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125</w:t>
            </w:r>
          </w:p>
        </w:tc>
        <w:tc>
          <w:tcPr>
            <w:tcW w:w="1001" w:type="dxa"/>
            <w:tcBorders>
              <w:top w:val="nil"/>
              <w:left w:val="nil"/>
              <w:bottom w:val="single" w:sz="4" w:space="0" w:color="auto"/>
              <w:right w:val="single" w:sz="4" w:space="0" w:color="auto"/>
            </w:tcBorders>
            <w:shd w:val="clear" w:color="auto" w:fill="auto"/>
            <w:noWrap/>
            <w:vAlign w:val="center"/>
            <w:hideMark/>
          </w:tcPr>
          <w:p w14:paraId="3C1016F5"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12,65</w:t>
            </w:r>
          </w:p>
        </w:tc>
        <w:tc>
          <w:tcPr>
            <w:tcW w:w="883" w:type="dxa"/>
            <w:tcBorders>
              <w:top w:val="nil"/>
              <w:left w:val="nil"/>
              <w:bottom w:val="single" w:sz="4" w:space="0" w:color="auto"/>
              <w:right w:val="single" w:sz="4" w:space="0" w:color="auto"/>
            </w:tcBorders>
            <w:shd w:val="clear" w:color="auto" w:fill="auto"/>
            <w:noWrap/>
            <w:vAlign w:val="center"/>
            <w:hideMark/>
          </w:tcPr>
          <w:p w14:paraId="504D8A0C"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72,72</w:t>
            </w:r>
          </w:p>
        </w:tc>
        <w:tc>
          <w:tcPr>
            <w:tcW w:w="859" w:type="dxa"/>
            <w:tcBorders>
              <w:top w:val="nil"/>
              <w:left w:val="nil"/>
              <w:bottom w:val="single" w:sz="4" w:space="0" w:color="auto"/>
              <w:right w:val="single" w:sz="4" w:space="0" w:color="auto"/>
            </w:tcBorders>
            <w:shd w:val="clear" w:color="auto" w:fill="auto"/>
            <w:noWrap/>
            <w:vAlign w:val="center"/>
            <w:hideMark/>
          </w:tcPr>
          <w:p w14:paraId="49B5CE6B"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14,64</w:t>
            </w:r>
          </w:p>
        </w:tc>
        <w:tc>
          <w:tcPr>
            <w:tcW w:w="1084" w:type="dxa"/>
            <w:tcBorders>
              <w:top w:val="nil"/>
              <w:left w:val="nil"/>
              <w:bottom w:val="single" w:sz="4" w:space="0" w:color="auto"/>
              <w:right w:val="single" w:sz="4" w:space="0" w:color="auto"/>
            </w:tcBorders>
            <w:shd w:val="clear" w:color="auto" w:fill="auto"/>
            <w:noWrap/>
            <w:vAlign w:val="center"/>
            <w:hideMark/>
          </w:tcPr>
          <w:p w14:paraId="5EBCB377" w14:textId="77777777" w:rsidR="00813A25" w:rsidRPr="002A6CFD" w:rsidRDefault="00813A25" w:rsidP="002A6CFD">
            <w:pPr>
              <w:spacing w:after="0" w:line="240" w:lineRule="auto"/>
              <w:ind w:firstLineChars="100" w:firstLine="220"/>
              <w:jc w:val="right"/>
              <w:rPr>
                <w:rFonts w:ascii="Times New Roman" w:eastAsia="Times New Roman" w:hAnsi="Times New Roman" w:cs="Times New Roman"/>
                <w:color w:val="000000"/>
                <w:lang w:eastAsia="sk-SK"/>
              </w:rPr>
            </w:pPr>
            <w:r w:rsidRPr="002A6CFD">
              <w:rPr>
                <w:rFonts w:ascii="Times New Roman" w:eastAsia="Times New Roman" w:hAnsi="Times New Roman" w:cs="Times New Roman"/>
                <w:color w:val="000000"/>
                <w:lang w:eastAsia="sk-SK"/>
              </w:rPr>
              <w:t>115,74</w:t>
            </w:r>
          </w:p>
        </w:tc>
      </w:tr>
      <w:tr w:rsidR="00813A25" w:rsidRPr="00813A25" w14:paraId="6FF6AB99"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42E8FD6D"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Kopaničiarsky región</w:t>
            </w:r>
          </w:p>
        </w:tc>
        <w:tc>
          <w:tcPr>
            <w:tcW w:w="1276" w:type="dxa"/>
            <w:tcBorders>
              <w:top w:val="nil"/>
              <w:left w:val="nil"/>
              <w:bottom w:val="single" w:sz="4" w:space="0" w:color="auto"/>
              <w:right w:val="single" w:sz="4" w:space="0" w:color="auto"/>
            </w:tcBorders>
            <w:shd w:val="clear" w:color="auto" w:fill="auto"/>
            <w:noWrap/>
            <w:vAlign w:val="center"/>
            <w:hideMark/>
          </w:tcPr>
          <w:p w14:paraId="7F4F18F5"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44 325</w:t>
            </w:r>
          </w:p>
        </w:tc>
        <w:tc>
          <w:tcPr>
            <w:tcW w:w="850" w:type="dxa"/>
            <w:tcBorders>
              <w:top w:val="nil"/>
              <w:left w:val="nil"/>
              <w:bottom w:val="single" w:sz="4" w:space="0" w:color="auto"/>
              <w:right w:val="single" w:sz="4" w:space="0" w:color="auto"/>
            </w:tcBorders>
            <w:shd w:val="clear" w:color="auto" w:fill="auto"/>
            <w:noWrap/>
            <w:vAlign w:val="center"/>
            <w:hideMark/>
          </w:tcPr>
          <w:p w14:paraId="187D7175"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5 436</w:t>
            </w:r>
          </w:p>
        </w:tc>
        <w:tc>
          <w:tcPr>
            <w:tcW w:w="1134" w:type="dxa"/>
            <w:tcBorders>
              <w:top w:val="nil"/>
              <w:left w:val="nil"/>
              <w:bottom w:val="single" w:sz="4" w:space="0" w:color="auto"/>
              <w:right w:val="single" w:sz="4" w:space="0" w:color="auto"/>
            </w:tcBorders>
            <w:shd w:val="clear" w:color="auto" w:fill="auto"/>
            <w:noWrap/>
            <w:vAlign w:val="center"/>
            <w:hideMark/>
          </w:tcPr>
          <w:p w14:paraId="1F765220"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31 185</w:t>
            </w:r>
          </w:p>
        </w:tc>
        <w:tc>
          <w:tcPr>
            <w:tcW w:w="992" w:type="dxa"/>
            <w:tcBorders>
              <w:top w:val="nil"/>
              <w:left w:val="nil"/>
              <w:bottom w:val="single" w:sz="4" w:space="0" w:color="auto"/>
              <w:right w:val="single" w:sz="4" w:space="0" w:color="auto"/>
            </w:tcBorders>
            <w:shd w:val="clear" w:color="auto" w:fill="auto"/>
            <w:noWrap/>
            <w:vAlign w:val="center"/>
            <w:hideMark/>
          </w:tcPr>
          <w:p w14:paraId="19394715"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7 704</w:t>
            </w:r>
          </w:p>
        </w:tc>
        <w:tc>
          <w:tcPr>
            <w:tcW w:w="1001" w:type="dxa"/>
            <w:tcBorders>
              <w:top w:val="nil"/>
              <w:left w:val="nil"/>
              <w:bottom w:val="single" w:sz="4" w:space="0" w:color="auto"/>
              <w:right w:val="single" w:sz="4" w:space="0" w:color="auto"/>
            </w:tcBorders>
            <w:shd w:val="clear" w:color="auto" w:fill="auto"/>
            <w:noWrap/>
            <w:vAlign w:val="center"/>
            <w:hideMark/>
          </w:tcPr>
          <w:p w14:paraId="45689F9C"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12,26</w:t>
            </w:r>
          </w:p>
        </w:tc>
        <w:tc>
          <w:tcPr>
            <w:tcW w:w="883" w:type="dxa"/>
            <w:tcBorders>
              <w:top w:val="nil"/>
              <w:left w:val="nil"/>
              <w:bottom w:val="single" w:sz="4" w:space="0" w:color="auto"/>
              <w:right w:val="single" w:sz="4" w:space="0" w:color="auto"/>
            </w:tcBorders>
            <w:shd w:val="clear" w:color="auto" w:fill="auto"/>
            <w:noWrap/>
            <w:vAlign w:val="center"/>
            <w:hideMark/>
          </w:tcPr>
          <w:p w14:paraId="59BFF93D"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70,36</w:t>
            </w:r>
          </w:p>
        </w:tc>
        <w:tc>
          <w:tcPr>
            <w:tcW w:w="859" w:type="dxa"/>
            <w:tcBorders>
              <w:top w:val="nil"/>
              <w:left w:val="nil"/>
              <w:bottom w:val="single" w:sz="4" w:space="0" w:color="auto"/>
              <w:right w:val="single" w:sz="4" w:space="0" w:color="auto"/>
            </w:tcBorders>
            <w:shd w:val="clear" w:color="auto" w:fill="auto"/>
            <w:noWrap/>
            <w:vAlign w:val="center"/>
            <w:hideMark/>
          </w:tcPr>
          <w:p w14:paraId="34C983A2"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17,38</w:t>
            </w:r>
          </w:p>
        </w:tc>
        <w:tc>
          <w:tcPr>
            <w:tcW w:w="1084" w:type="dxa"/>
            <w:tcBorders>
              <w:top w:val="nil"/>
              <w:left w:val="nil"/>
              <w:bottom w:val="single" w:sz="4" w:space="0" w:color="auto"/>
              <w:right w:val="single" w:sz="4" w:space="0" w:color="auto"/>
            </w:tcBorders>
            <w:shd w:val="clear" w:color="auto" w:fill="auto"/>
            <w:noWrap/>
            <w:vAlign w:val="center"/>
            <w:hideMark/>
          </w:tcPr>
          <w:p w14:paraId="31CBBBF6"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141,72</w:t>
            </w:r>
          </w:p>
        </w:tc>
      </w:tr>
      <w:tr w:rsidR="00813A25" w:rsidRPr="00813A25" w14:paraId="3586A9A2"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6522079D"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Trenčiansky kraj</w:t>
            </w:r>
          </w:p>
        </w:tc>
        <w:tc>
          <w:tcPr>
            <w:tcW w:w="1276" w:type="dxa"/>
            <w:tcBorders>
              <w:top w:val="nil"/>
              <w:left w:val="nil"/>
              <w:bottom w:val="single" w:sz="4" w:space="0" w:color="auto"/>
              <w:right w:val="single" w:sz="4" w:space="0" w:color="auto"/>
            </w:tcBorders>
            <w:shd w:val="clear" w:color="auto" w:fill="auto"/>
            <w:noWrap/>
            <w:vAlign w:val="center"/>
            <w:hideMark/>
          </w:tcPr>
          <w:p w14:paraId="658AF5C3"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591 233</w:t>
            </w:r>
          </w:p>
        </w:tc>
        <w:tc>
          <w:tcPr>
            <w:tcW w:w="850" w:type="dxa"/>
            <w:tcBorders>
              <w:top w:val="nil"/>
              <w:left w:val="nil"/>
              <w:bottom w:val="single" w:sz="4" w:space="0" w:color="auto"/>
              <w:right w:val="single" w:sz="4" w:space="0" w:color="auto"/>
            </w:tcBorders>
            <w:shd w:val="clear" w:color="auto" w:fill="auto"/>
            <w:noWrap/>
            <w:vAlign w:val="center"/>
            <w:hideMark/>
          </w:tcPr>
          <w:p w14:paraId="1F0330FA"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78 598</w:t>
            </w:r>
          </w:p>
        </w:tc>
        <w:tc>
          <w:tcPr>
            <w:tcW w:w="1134" w:type="dxa"/>
            <w:tcBorders>
              <w:top w:val="nil"/>
              <w:left w:val="nil"/>
              <w:bottom w:val="single" w:sz="4" w:space="0" w:color="auto"/>
              <w:right w:val="single" w:sz="4" w:space="0" w:color="auto"/>
            </w:tcBorders>
            <w:shd w:val="clear" w:color="auto" w:fill="auto"/>
            <w:noWrap/>
            <w:vAlign w:val="center"/>
            <w:hideMark/>
          </w:tcPr>
          <w:p w14:paraId="587AB951"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422 012</w:t>
            </w:r>
          </w:p>
        </w:tc>
        <w:tc>
          <w:tcPr>
            <w:tcW w:w="992" w:type="dxa"/>
            <w:tcBorders>
              <w:top w:val="nil"/>
              <w:left w:val="nil"/>
              <w:bottom w:val="single" w:sz="4" w:space="0" w:color="auto"/>
              <w:right w:val="single" w:sz="4" w:space="0" w:color="auto"/>
            </w:tcBorders>
            <w:shd w:val="clear" w:color="auto" w:fill="auto"/>
            <w:noWrap/>
            <w:vAlign w:val="center"/>
            <w:hideMark/>
          </w:tcPr>
          <w:p w14:paraId="772431BD"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90 623</w:t>
            </w:r>
          </w:p>
        </w:tc>
        <w:tc>
          <w:tcPr>
            <w:tcW w:w="1001" w:type="dxa"/>
            <w:tcBorders>
              <w:top w:val="nil"/>
              <w:left w:val="nil"/>
              <w:bottom w:val="single" w:sz="4" w:space="0" w:color="auto"/>
              <w:right w:val="single" w:sz="4" w:space="0" w:color="auto"/>
            </w:tcBorders>
            <w:shd w:val="clear" w:color="auto" w:fill="auto"/>
            <w:noWrap/>
            <w:vAlign w:val="center"/>
            <w:hideMark/>
          </w:tcPr>
          <w:p w14:paraId="42950D48"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13,29</w:t>
            </w:r>
          </w:p>
        </w:tc>
        <w:tc>
          <w:tcPr>
            <w:tcW w:w="883" w:type="dxa"/>
            <w:tcBorders>
              <w:top w:val="nil"/>
              <w:left w:val="nil"/>
              <w:bottom w:val="single" w:sz="4" w:space="0" w:color="auto"/>
              <w:right w:val="single" w:sz="4" w:space="0" w:color="auto"/>
            </w:tcBorders>
            <w:shd w:val="clear" w:color="auto" w:fill="auto"/>
            <w:noWrap/>
            <w:vAlign w:val="center"/>
            <w:hideMark/>
          </w:tcPr>
          <w:p w14:paraId="6B2B531A"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71,38</w:t>
            </w:r>
          </w:p>
        </w:tc>
        <w:tc>
          <w:tcPr>
            <w:tcW w:w="859" w:type="dxa"/>
            <w:tcBorders>
              <w:top w:val="nil"/>
              <w:left w:val="nil"/>
              <w:bottom w:val="single" w:sz="4" w:space="0" w:color="auto"/>
              <w:right w:val="single" w:sz="4" w:space="0" w:color="auto"/>
            </w:tcBorders>
            <w:shd w:val="clear" w:color="auto" w:fill="auto"/>
            <w:noWrap/>
            <w:vAlign w:val="center"/>
            <w:hideMark/>
          </w:tcPr>
          <w:p w14:paraId="78200560"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15,33</w:t>
            </w:r>
          </w:p>
        </w:tc>
        <w:tc>
          <w:tcPr>
            <w:tcW w:w="1084" w:type="dxa"/>
            <w:tcBorders>
              <w:top w:val="nil"/>
              <w:left w:val="nil"/>
              <w:bottom w:val="single" w:sz="4" w:space="0" w:color="auto"/>
              <w:right w:val="single" w:sz="4" w:space="0" w:color="auto"/>
            </w:tcBorders>
            <w:shd w:val="clear" w:color="auto" w:fill="auto"/>
            <w:noWrap/>
            <w:vAlign w:val="center"/>
            <w:hideMark/>
          </w:tcPr>
          <w:p w14:paraId="7F7B3AAB"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115,30</w:t>
            </w:r>
          </w:p>
        </w:tc>
      </w:tr>
      <w:tr w:rsidR="00813A25" w:rsidRPr="00813A25" w14:paraId="508AEF3C" w14:textId="77777777" w:rsidTr="00B91A9B">
        <w:trPr>
          <w:trHeight w:val="315"/>
        </w:trPr>
        <w:tc>
          <w:tcPr>
            <w:tcW w:w="1575" w:type="dxa"/>
            <w:tcBorders>
              <w:top w:val="nil"/>
              <w:left w:val="single" w:sz="4" w:space="0" w:color="auto"/>
              <w:bottom w:val="single" w:sz="4" w:space="0" w:color="auto"/>
              <w:right w:val="single" w:sz="4" w:space="0" w:color="auto"/>
            </w:tcBorders>
            <w:shd w:val="clear" w:color="000000" w:fill="D9D9D9"/>
            <w:noWrap/>
            <w:vAlign w:val="bottom"/>
            <w:hideMark/>
          </w:tcPr>
          <w:p w14:paraId="0A267AE8" w14:textId="77777777" w:rsidR="00813A25" w:rsidRPr="002A6CFD" w:rsidRDefault="00813A25" w:rsidP="00813A25">
            <w:pPr>
              <w:spacing w:after="0" w:line="240" w:lineRule="auto"/>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SR</w:t>
            </w:r>
          </w:p>
        </w:tc>
        <w:tc>
          <w:tcPr>
            <w:tcW w:w="1276" w:type="dxa"/>
            <w:tcBorders>
              <w:top w:val="nil"/>
              <w:left w:val="nil"/>
              <w:bottom w:val="single" w:sz="4" w:space="0" w:color="auto"/>
              <w:right w:val="single" w:sz="4" w:space="0" w:color="auto"/>
            </w:tcBorders>
            <w:shd w:val="clear" w:color="auto" w:fill="auto"/>
            <w:noWrap/>
            <w:vAlign w:val="center"/>
            <w:hideMark/>
          </w:tcPr>
          <w:p w14:paraId="0145BB9A"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5 421 349</w:t>
            </w:r>
          </w:p>
        </w:tc>
        <w:tc>
          <w:tcPr>
            <w:tcW w:w="850" w:type="dxa"/>
            <w:tcBorders>
              <w:top w:val="nil"/>
              <w:left w:val="nil"/>
              <w:bottom w:val="single" w:sz="4" w:space="0" w:color="auto"/>
              <w:right w:val="single" w:sz="4" w:space="0" w:color="auto"/>
            </w:tcBorders>
            <w:shd w:val="clear" w:color="auto" w:fill="auto"/>
            <w:noWrap/>
            <w:vAlign w:val="center"/>
            <w:hideMark/>
          </w:tcPr>
          <w:p w14:paraId="6B3AA197"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830 181</w:t>
            </w:r>
          </w:p>
        </w:tc>
        <w:tc>
          <w:tcPr>
            <w:tcW w:w="1134" w:type="dxa"/>
            <w:tcBorders>
              <w:top w:val="nil"/>
              <w:left w:val="nil"/>
              <w:bottom w:val="single" w:sz="4" w:space="0" w:color="auto"/>
              <w:right w:val="single" w:sz="4" w:space="0" w:color="auto"/>
            </w:tcBorders>
            <w:shd w:val="clear" w:color="auto" w:fill="auto"/>
            <w:noWrap/>
            <w:vAlign w:val="center"/>
            <w:hideMark/>
          </w:tcPr>
          <w:p w14:paraId="435602DC"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3 834 289</w:t>
            </w:r>
          </w:p>
        </w:tc>
        <w:tc>
          <w:tcPr>
            <w:tcW w:w="992" w:type="dxa"/>
            <w:tcBorders>
              <w:top w:val="nil"/>
              <w:left w:val="nil"/>
              <w:bottom w:val="single" w:sz="4" w:space="0" w:color="auto"/>
              <w:right w:val="single" w:sz="4" w:space="0" w:color="auto"/>
            </w:tcBorders>
            <w:shd w:val="clear" w:color="auto" w:fill="auto"/>
            <w:noWrap/>
            <w:vAlign w:val="center"/>
            <w:hideMark/>
          </w:tcPr>
          <w:p w14:paraId="55B8919B" w14:textId="77777777" w:rsidR="00813A25" w:rsidRPr="002A6CFD" w:rsidRDefault="00813A25" w:rsidP="002A6CFD">
            <w:pPr>
              <w:spacing w:after="0" w:line="240" w:lineRule="auto"/>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756 879</w:t>
            </w:r>
          </w:p>
        </w:tc>
        <w:tc>
          <w:tcPr>
            <w:tcW w:w="1001" w:type="dxa"/>
            <w:tcBorders>
              <w:top w:val="nil"/>
              <w:left w:val="nil"/>
              <w:bottom w:val="single" w:sz="4" w:space="0" w:color="auto"/>
              <w:right w:val="single" w:sz="4" w:space="0" w:color="auto"/>
            </w:tcBorders>
            <w:shd w:val="clear" w:color="auto" w:fill="auto"/>
            <w:noWrap/>
            <w:vAlign w:val="center"/>
            <w:hideMark/>
          </w:tcPr>
          <w:p w14:paraId="24B6BF6D"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15,31</w:t>
            </w:r>
          </w:p>
        </w:tc>
        <w:tc>
          <w:tcPr>
            <w:tcW w:w="883" w:type="dxa"/>
            <w:tcBorders>
              <w:top w:val="nil"/>
              <w:left w:val="nil"/>
              <w:bottom w:val="single" w:sz="4" w:space="0" w:color="auto"/>
              <w:right w:val="single" w:sz="4" w:space="0" w:color="auto"/>
            </w:tcBorders>
            <w:shd w:val="clear" w:color="auto" w:fill="auto"/>
            <w:noWrap/>
            <w:vAlign w:val="center"/>
            <w:hideMark/>
          </w:tcPr>
          <w:p w14:paraId="11DA8374"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70,73</w:t>
            </w:r>
          </w:p>
        </w:tc>
        <w:tc>
          <w:tcPr>
            <w:tcW w:w="859" w:type="dxa"/>
            <w:tcBorders>
              <w:top w:val="nil"/>
              <w:left w:val="nil"/>
              <w:bottom w:val="single" w:sz="4" w:space="0" w:color="auto"/>
              <w:right w:val="single" w:sz="4" w:space="0" w:color="auto"/>
            </w:tcBorders>
            <w:shd w:val="clear" w:color="auto" w:fill="auto"/>
            <w:noWrap/>
            <w:vAlign w:val="center"/>
            <w:hideMark/>
          </w:tcPr>
          <w:p w14:paraId="06F1BE3A"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13,96</w:t>
            </w:r>
          </w:p>
        </w:tc>
        <w:tc>
          <w:tcPr>
            <w:tcW w:w="1084" w:type="dxa"/>
            <w:tcBorders>
              <w:top w:val="nil"/>
              <w:left w:val="nil"/>
              <w:bottom w:val="single" w:sz="4" w:space="0" w:color="auto"/>
              <w:right w:val="single" w:sz="4" w:space="0" w:color="auto"/>
            </w:tcBorders>
            <w:shd w:val="clear" w:color="auto" w:fill="auto"/>
            <w:noWrap/>
            <w:vAlign w:val="center"/>
            <w:hideMark/>
          </w:tcPr>
          <w:p w14:paraId="031B7CAF" w14:textId="77777777" w:rsidR="00813A25" w:rsidRPr="002A6CFD" w:rsidRDefault="00813A25" w:rsidP="002A6CFD">
            <w:pPr>
              <w:spacing w:after="0" w:line="240" w:lineRule="auto"/>
              <w:ind w:firstLineChars="100" w:firstLine="221"/>
              <w:jc w:val="right"/>
              <w:rPr>
                <w:rFonts w:ascii="Times New Roman" w:eastAsia="Times New Roman" w:hAnsi="Times New Roman" w:cs="Times New Roman"/>
                <w:b/>
                <w:bCs/>
                <w:color w:val="000000"/>
                <w:lang w:eastAsia="sk-SK"/>
              </w:rPr>
            </w:pPr>
            <w:r w:rsidRPr="002A6CFD">
              <w:rPr>
                <w:rFonts w:ascii="Times New Roman" w:eastAsia="Times New Roman" w:hAnsi="Times New Roman" w:cs="Times New Roman"/>
                <w:b/>
                <w:bCs/>
                <w:color w:val="000000"/>
                <w:lang w:eastAsia="sk-SK"/>
              </w:rPr>
              <w:t>91,17</w:t>
            </w:r>
          </w:p>
        </w:tc>
      </w:tr>
    </w:tbl>
    <w:p w14:paraId="7D08AA56" w14:textId="77777777" w:rsidR="00157E40" w:rsidRPr="00F1538F" w:rsidRDefault="00157E40" w:rsidP="00157E40">
      <w:pPr>
        <w:spacing w:after="0" w:line="360" w:lineRule="auto"/>
        <w:jc w:val="both"/>
        <w:rPr>
          <w:sz w:val="20"/>
          <w:szCs w:val="20"/>
        </w:rPr>
      </w:pPr>
    </w:p>
    <w:p w14:paraId="507B9868" w14:textId="77777777" w:rsidR="00E225CE" w:rsidRPr="00F1538F" w:rsidRDefault="00E225CE" w:rsidP="00157E40">
      <w:pPr>
        <w:keepNext/>
        <w:spacing w:after="0" w:line="360" w:lineRule="auto"/>
        <w:jc w:val="both"/>
        <w:rPr>
          <w:rFonts w:ascii="Times New Roman" w:hAnsi="Times New Roman" w:cs="Times New Roman"/>
          <w:b/>
          <w:sz w:val="20"/>
          <w:szCs w:val="20"/>
        </w:rPr>
      </w:pPr>
      <w:r w:rsidRPr="00F1538F">
        <w:rPr>
          <w:rFonts w:ascii="Times New Roman" w:hAnsi="Times New Roman" w:cs="Times New Roman"/>
          <w:b/>
          <w:sz w:val="20"/>
          <w:szCs w:val="20"/>
        </w:rPr>
        <w:lastRenderedPageBreak/>
        <w:t xml:space="preserve">Graf </w:t>
      </w:r>
      <w:r w:rsidR="002A6CFD" w:rsidRPr="00F1538F">
        <w:rPr>
          <w:rFonts w:ascii="Times New Roman" w:hAnsi="Times New Roman" w:cs="Times New Roman"/>
          <w:b/>
          <w:sz w:val="20"/>
          <w:szCs w:val="20"/>
        </w:rPr>
        <w:t>3.1.</w:t>
      </w:r>
      <w:r w:rsidR="008B4D19" w:rsidRPr="00F1538F">
        <w:rPr>
          <w:rFonts w:ascii="Times New Roman" w:hAnsi="Times New Roman" w:cs="Times New Roman"/>
          <w:b/>
          <w:sz w:val="20"/>
          <w:szCs w:val="20"/>
        </w:rPr>
        <w:t>4</w:t>
      </w:r>
      <w:r w:rsidRPr="00F1538F">
        <w:rPr>
          <w:rFonts w:ascii="Times New Roman" w:hAnsi="Times New Roman" w:cs="Times New Roman"/>
          <w:b/>
          <w:sz w:val="20"/>
          <w:szCs w:val="20"/>
        </w:rPr>
        <w:t xml:space="preserve"> Demografická štruktúra obyvateľov Kopaničiarskeho regiónu </w:t>
      </w:r>
      <w:r w:rsidR="00D001C4" w:rsidRPr="00F1538F">
        <w:rPr>
          <w:rFonts w:ascii="Times New Roman" w:hAnsi="Times New Roman" w:cs="Times New Roman"/>
          <w:b/>
          <w:sz w:val="20"/>
          <w:szCs w:val="20"/>
        </w:rPr>
        <w:t>v roku 2014</w:t>
      </w:r>
    </w:p>
    <w:p w14:paraId="3092AEAA" w14:textId="77777777" w:rsidR="00D001C4" w:rsidRDefault="00362E8C" w:rsidP="00157E4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DBB8F55" wp14:editId="5F769568">
            <wp:extent cx="4584700" cy="2755900"/>
            <wp:effectExtent l="0" t="0" r="6350" b="635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6438448" w14:textId="77777777" w:rsidR="00E225CE" w:rsidRPr="00E225CE" w:rsidRDefault="00157E40" w:rsidP="002106D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 Kopaničiarskom regióne bolo v roku 20</w:t>
      </w:r>
      <w:r w:rsidR="00C50C31">
        <w:rPr>
          <w:rFonts w:ascii="Times New Roman" w:hAnsi="Times New Roman" w:cs="Times New Roman"/>
          <w:sz w:val="24"/>
          <w:szCs w:val="24"/>
        </w:rPr>
        <w:t>1</w:t>
      </w:r>
      <w:r w:rsidR="00D001C4">
        <w:rPr>
          <w:rFonts w:ascii="Times New Roman" w:hAnsi="Times New Roman" w:cs="Times New Roman"/>
          <w:sz w:val="24"/>
          <w:szCs w:val="24"/>
        </w:rPr>
        <w:t>4</w:t>
      </w:r>
      <w:r w:rsidR="00E225CE" w:rsidRPr="00E225CE">
        <w:rPr>
          <w:rFonts w:ascii="Times New Roman" w:hAnsi="Times New Roman" w:cs="Times New Roman"/>
          <w:sz w:val="24"/>
          <w:szCs w:val="24"/>
        </w:rPr>
        <w:t xml:space="preserve"> 5</w:t>
      </w:r>
      <w:r w:rsidR="00D001C4">
        <w:rPr>
          <w:rFonts w:ascii="Times New Roman" w:hAnsi="Times New Roman" w:cs="Times New Roman"/>
          <w:sz w:val="24"/>
          <w:szCs w:val="24"/>
        </w:rPr>
        <w:t>0,53</w:t>
      </w:r>
      <w:r w:rsidR="00E225CE" w:rsidRPr="00E225CE">
        <w:rPr>
          <w:rFonts w:ascii="Times New Roman" w:hAnsi="Times New Roman" w:cs="Times New Roman"/>
          <w:sz w:val="24"/>
          <w:szCs w:val="24"/>
        </w:rPr>
        <w:t xml:space="preserve"> % ekonomicky aktívneho obyvateľstva, čo je len o niečo </w:t>
      </w:r>
      <w:r w:rsidR="00D001C4">
        <w:rPr>
          <w:rFonts w:ascii="Times New Roman" w:hAnsi="Times New Roman" w:cs="Times New Roman"/>
          <w:sz w:val="24"/>
          <w:szCs w:val="24"/>
        </w:rPr>
        <w:t>menej</w:t>
      </w:r>
      <w:r w:rsidR="00D001C4"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ako celoslovenský priemer 5</w:t>
      </w:r>
      <w:r w:rsidR="00EE3313">
        <w:rPr>
          <w:rFonts w:ascii="Times New Roman" w:hAnsi="Times New Roman" w:cs="Times New Roman"/>
          <w:sz w:val="24"/>
          <w:szCs w:val="24"/>
        </w:rPr>
        <w:t>0</w:t>
      </w:r>
      <w:r w:rsidR="00E225CE" w:rsidRPr="00E225CE">
        <w:rPr>
          <w:rFonts w:ascii="Times New Roman" w:hAnsi="Times New Roman" w:cs="Times New Roman"/>
          <w:sz w:val="24"/>
          <w:szCs w:val="24"/>
        </w:rPr>
        <w:t xml:space="preserve">,1 %. </w:t>
      </w:r>
    </w:p>
    <w:p w14:paraId="67366D6F" w14:textId="77777777" w:rsidR="00157E40" w:rsidRDefault="00157E40" w:rsidP="00157E40">
      <w:pPr>
        <w:spacing w:after="0" w:line="360" w:lineRule="auto"/>
        <w:rPr>
          <w:rFonts w:ascii="Times New Roman" w:hAnsi="Times New Roman" w:cs="Times New Roman"/>
          <w:sz w:val="24"/>
          <w:szCs w:val="24"/>
        </w:rPr>
      </w:pPr>
    </w:p>
    <w:p w14:paraId="2E112CC4" w14:textId="77777777" w:rsidR="00E225CE" w:rsidRPr="00944B59" w:rsidRDefault="00E225CE" w:rsidP="00157E40">
      <w:pPr>
        <w:spacing w:after="0" w:line="360" w:lineRule="auto"/>
        <w:rPr>
          <w:rFonts w:ascii="Times New Roman" w:hAnsi="Times New Roman" w:cs="Times New Roman"/>
          <w:b/>
          <w:i/>
          <w:sz w:val="24"/>
          <w:szCs w:val="24"/>
        </w:rPr>
      </w:pPr>
      <w:r w:rsidRPr="00944B59">
        <w:rPr>
          <w:rFonts w:ascii="Times New Roman" w:hAnsi="Times New Roman" w:cs="Times New Roman"/>
          <w:b/>
          <w:i/>
          <w:sz w:val="24"/>
          <w:szCs w:val="24"/>
        </w:rPr>
        <w:t>Trendy v demografických pohyboch, ich príčiny</w:t>
      </w:r>
    </w:p>
    <w:p w14:paraId="63EF3531" w14:textId="77777777" w:rsidR="00E225CE" w:rsidRDefault="00157E40" w:rsidP="00157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Na celkovom počte poklesu obyvateľstva sa podieľa </w:t>
      </w:r>
      <w:r w:rsidR="00F15F65">
        <w:rPr>
          <w:rFonts w:ascii="Times New Roman" w:hAnsi="Times New Roman" w:cs="Times New Roman"/>
          <w:sz w:val="24"/>
          <w:szCs w:val="24"/>
        </w:rPr>
        <w:t xml:space="preserve">v roku 2014 </w:t>
      </w:r>
      <w:r w:rsidR="00F15F65" w:rsidRPr="00E225CE">
        <w:rPr>
          <w:rFonts w:ascii="Times New Roman" w:hAnsi="Times New Roman" w:cs="Times New Roman"/>
          <w:sz w:val="24"/>
          <w:szCs w:val="24"/>
        </w:rPr>
        <w:t>migračný pohyb</w:t>
      </w:r>
      <w:r w:rsidR="00F15F65">
        <w:rPr>
          <w:rFonts w:ascii="Times New Roman" w:hAnsi="Times New Roman" w:cs="Times New Roman"/>
          <w:sz w:val="24"/>
          <w:szCs w:val="24"/>
        </w:rPr>
        <w:t xml:space="preserve"> rovnako ako prirodzený pohyb, ktoré dosahujú úbytok cca 0,23 %. </w:t>
      </w:r>
      <w:r w:rsidR="00E225CE" w:rsidRPr="00E225CE">
        <w:rPr>
          <w:rFonts w:ascii="Times New Roman" w:hAnsi="Times New Roman" w:cs="Times New Roman"/>
          <w:sz w:val="24"/>
          <w:szCs w:val="24"/>
        </w:rPr>
        <w:t>Celkový úbytok obyvateľstva regiónu sa pohybuje v súčasnosti na úrovni 0,4</w:t>
      </w:r>
      <w:r w:rsidR="00F15F65">
        <w:rPr>
          <w:rFonts w:ascii="Times New Roman" w:hAnsi="Times New Roman" w:cs="Times New Roman"/>
          <w:sz w:val="24"/>
          <w:szCs w:val="24"/>
        </w:rPr>
        <w:t>7</w:t>
      </w:r>
      <w:r w:rsidR="00E225CE" w:rsidRPr="00E225CE">
        <w:rPr>
          <w:rFonts w:ascii="Times New Roman" w:hAnsi="Times New Roman" w:cs="Times New Roman"/>
          <w:sz w:val="24"/>
          <w:szCs w:val="24"/>
        </w:rPr>
        <w:t xml:space="preserve"> %, čo predstavuje pokles o </w:t>
      </w:r>
      <w:r w:rsidR="00F15F65">
        <w:rPr>
          <w:rFonts w:ascii="Times New Roman" w:hAnsi="Times New Roman" w:cs="Times New Roman"/>
          <w:sz w:val="24"/>
          <w:szCs w:val="24"/>
        </w:rPr>
        <w:t>210</w:t>
      </w:r>
      <w:r w:rsidR="00E225CE" w:rsidRPr="00E225CE">
        <w:rPr>
          <w:rFonts w:ascii="Times New Roman" w:hAnsi="Times New Roman" w:cs="Times New Roman"/>
          <w:sz w:val="24"/>
          <w:szCs w:val="24"/>
        </w:rPr>
        <w:t xml:space="preserve"> obyvateľov.  Trendy v pohybe obyvateľstva za roky 1996-20</w:t>
      </w:r>
      <w:r w:rsidR="00332B5B">
        <w:rPr>
          <w:rFonts w:ascii="Times New Roman" w:hAnsi="Times New Roman" w:cs="Times New Roman"/>
          <w:sz w:val="24"/>
          <w:szCs w:val="24"/>
        </w:rPr>
        <w:t>14</w:t>
      </w:r>
      <w:r w:rsidR="00E225CE" w:rsidRPr="00E225CE">
        <w:rPr>
          <w:rFonts w:ascii="Times New Roman" w:hAnsi="Times New Roman" w:cs="Times New Roman"/>
          <w:sz w:val="24"/>
          <w:szCs w:val="24"/>
        </w:rPr>
        <w:t xml:space="preserve"> prezentuje  </w:t>
      </w:r>
      <w:r w:rsidR="00E225CE" w:rsidRPr="00F1538F">
        <w:rPr>
          <w:rFonts w:ascii="Times New Roman" w:hAnsi="Times New Roman" w:cs="Times New Roman"/>
          <w:sz w:val="24"/>
          <w:szCs w:val="24"/>
        </w:rPr>
        <w:t xml:space="preserve">tabuľka </w:t>
      </w:r>
      <w:r w:rsidR="00332B5B" w:rsidRPr="00F1538F">
        <w:rPr>
          <w:rFonts w:ascii="Times New Roman" w:hAnsi="Times New Roman" w:cs="Times New Roman"/>
          <w:sz w:val="24"/>
          <w:szCs w:val="24"/>
        </w:rPr>
        <w:t>3.1.7</w:t>
      </w:r>
      <w:r w:rsidR="00E225CE" w:rsidRPr="00F1538F">
        <w:rPr>
          <w:rFonts w:ascii="Times New Roman" w:hAnsi="Times New Roman" w:cs="Times New Roman"/>
          <w:sz w:val="24"/>
          <w:szCs w:val="24"/>
        </w:rPr>
        <w:t xml:space="preserve"> a graf </w:t>
      </w:r>
      <w:r w:rsidR="00332B5B" w:rsidRPr="00F1538F">
        <w:rPr>
          <w:rFonts w:ascii="Times New Roman" w:hAnsi="Times New Roman" w:cs="Times New Roman"/>
          <w:sz w:val="24"/>
          <w:szCs w:val="24"/>
        </w:rPr>
        <w:t>3.1.5</w:t>
      </w:r>
      <w:r w:rsidR="00E225CE" w:rsidRPr="00F1538F">
        <w:rPr>
          <w:rFonts w:ascii="Times New Roman" w:hAnsi="Times New Roman" w:cs="Times New Roman"/>
          <w:sz w:val="24"/>
          <w:szCs w:val="24"/>
        </w:rPr>
        <w:t>.</w:t>
      </w:r>
    </w:p>
    <w:p w14:paraId="6AD87868" w14:textId="77777777" w:rsidR="00E225CE" w:rsidRPr="00EE3313" w:rsidRDefault="00E225CE" w:rsidP="00944B59">
      <w:pPr>
        <w:spacing w:before="120" w:after="0" w:line="360" w:lineRule="auto"/>
        <w:rPr>
          <w:rFonts w:ascii="Times New Roman" w:hAnsi="Times New Roman" w:cs="Times New Roman"/>
          <w:b/>
          <w:sz w:val="20"/>
          <w:szCs w:val="20"/>
        </w:rPr>
      </w:pPr>
      <w:r w:rsidRPr="00EE3313">
        <w:rPr>
          <w:rFonts w:ascii="Times New Roman" w:hAnsi="Times New Roman" w:cs="Times New Roman"/>
          <w:b/>
          <w:sz w:val="20"/>
          <w:szCs w:val="20"/>
        </w:rPr>
        <w:t xml:space="preserve">Tabuľka </w:t>
      </w:r>
      <w:r w:rsidR="00332B5B" w:rsidRPr="00EE3313">
        <w:rPr>
          <w:rFonts w:ascii="Times New Roman" w:hAnsi="Times New Roman" w:cs="Times New Roman"/>
          <w:b/>
          <w:sz w:val="20"/>
          <w:szCs w:val="20"/>
        </w:rPr>
        <w:t>3.1.7</w:t>
      </w:r>
      <w:r w:rsidRPr="00EE3313">
        <w:rPr>
          <w:rFonts w:ascii="Times New Roman" w:hAnsi="Times New Roman" w:cs="Times New Roman"/>
          <w:b/>
          <w:sz w:val="20"/>
          <w:szCs w:val="20"/>
        </w:rPr>
        <w:t xml:space="preserve"> Pohyb obyvateľstva v Kopaničiarskom regióne za roky 1996-20</w:t>
      </w:r>
      <w:r w:rsidR="00332B5B" w:rsidRPr="00EE3313">
        <w:rPr>
          <w:rFonts w:ascii="Times New Roman" w:hAnsi="Times New Roman" w:cs="Times New Roman"/>
          <w:b/>
          <w:sz w:val="20"/>
          <w:szCs w:val="20"/>
        </w:rPr>
        <w:t>14</w:t>
      </w:r>
    </w:p>
    <w:tbl>
      <w:tblPr>
        <w:tblW w:w="8820" w:type="dxa"/>
        <w:tblInd w:w="55" w:type="dxa"/>
        <w:tblCellMar>
          <w:left w:w="70" w:type="dxa"/>
          <w:right w:w="70" w:type="dxa"/>
        </w:tblCellMar>
        <w:tblLook w:val="04A0" w:firstRow="1" w:lastRow="0" w:firstColumn="1" w:lastColumn="0" w:noHBand="0" w:noVBand="1"/>
      </w:tblPr>
      <w:tblGrid>
        <w:gridCol w:w="688"/>
        <w:gridCol w:w="1345"/>
        <w:gridCol w:w="864"/>
        <w:gridCol w:w="1142"/>
        <w:gridCol w:w="1270"/>
        <w:gridCol w:w="1270"/>
        <w:gridCol w:w="1185"/>
        <w:gridCol w:w="1056"/>
      </w:tblGrid>
      <w:tr w:rsidR="00332B5B" w:rsidRPr="00157E40" w14:paraId="6EE46218" w14:textId="77777777" w:rsidTr="00332B5B">
        <w:trPr>
          <w:trHeight w:val="1140"/>
        </w:trPr>
        <w:tc>
          <w:tcPr>
            <w:tcW w:w="6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90254C"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Rok</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F37D4B"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Živonarodení</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1A984A"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Zomrelí</w:t>
            </w:r>
          </w:p>
        </w:tc>
        <w:tc>
          <w:tcPr>
            <w:tcW w:w="1143" w:type="dxa"/>
            <w:tcBorders>
              <w:top w:val="single" w:sz="4" w:space="0" w:color="auto"/>
              <w:left w:val="nil"/>
              <w:bottom w:val="single" w:sz="4" w:space="0" w:color="auto"/>
              <w:right w:val="single" w:sz="4" w:space="0" w:color="auto"/>
            </w:tcBorders>
            <w:shd w:val="clear" w:color="000000" w:fill="D9D9D9"/>
            <w:vAlign w:val="center"/>
            <w:hideMark/>
          </w:tcPr>
          <w:p w14:paraId="6451140A"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Prirodzený prírastok</w:t>
            </w:r>
          </w:p>
        </w:tc>
        <w:tc>
          <w:tcPr>
            <w:tcW w:w="127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7AB693"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Prisťahovaní</w:t>
            </w:r>
          </w:p>
        </w:tc>
        <w:tc>
          <w:tcPr>
            <w:tcW w:w="127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FBAF14F"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Odsťahovaní</w:t>
            </w:r>
          </w:p>
        </w:tc>
        <w:tc>
          <w:tcPr>
            <w:tcW w:w="1179" w:type="dxa"/>
            <w:tcBorders>
              <w:top w:val="single" w:sz="4" w:space="0" w:color="auto"/>
              <w:left w:val="nil"/>
              <w:bottom w:val="single" w:sz="4" w:space="0" w:color="auto"/>
              <w:right w:val="single" w:sz="4" w:space="0" w:color="auto"/>
            </w:tcBorders>
            <w:shd w:val="clear" w:color="000000" w:fill="D9D9D9"/>
            <w:vAlign w:val="center"/>
            <w:hideMark/>
          </w:tcPr>
          <w:p w14:paraId="61C81740"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 xml:space="preserve">Mechanický prírastok </w:t>
            </w:r>
          </w:p>
        </w:tc>
        <w:tc>
          <w:tcPr>
            <w:tcW w:w="1058" w:type="dxa"/>
            <w:tcBorders>
              <w:top w:val="single" w:sz="4" w:space="0" w:color="auto"/>
              <w:left w:val="nil"/>
              <w:bottom w:val="single" w:sz="4" w:space="0" w:color="auto"/>
              <w:right w:val="single" w:sz="4" w:space="0" w:color="auto"/>
            </w:tcBorders>
            <w:shd w:val="clear" w:color="000000" w:fill="D9D9D9"/>
            <w:vAlign w:val="center"/>
            <w:hideMark/>
          </w:tcPr>
          <w:p w14:paraId="5430CAE4"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Celkový prírastok</w:t>
            </w:r>
          </w:p>
        </w:tc>
      </w:tr>
      <w:tr w:rsidR="00332B5B" w:rsidRPr="00157E40" w14:paraId="2CE2F219" w14:textId="77777777" w:rsidTr="00332B5B">
        <w:trPr>
          <w:trHeight w:val="570"/>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4A9427AE" w14:textId="77777777" w:rsidR="00332B5B" w:rsidRPr="00157E40" w:rsidRDefault="00332B5B" w:rsidP="00332B5B">
            <w:pPr>
              <w:spacing w:after="0" w:line="240" w:lineRule="auto"/>
              <w:rPr>
                <w:rFonts w:ascii="Times New Roman" w:eastAsia="Times New Roman" w:hAnsi="Times New Roman" w:cs="Times New Roman"/>
                <w:b/>
                <w:bCs/>
                <w:color w:val="000000"/>
                <w:sz w:val="20"/>
                <w:szCs w:val="20"/>
                <w:lang w:eastAsia="sk-SK"/>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30C32CE2" w14:textId="77777777" w:rsidR="00332B5B" w:rsidRPr="00157E40" w:rsidRDefault="00332B5B" w:rsidP="00332B5B">
            <w:pPr>
              <w:spacing w:after="0" w:line="240" w:lineRule="auto"/>
              <w:rPr>
                <w:rFonts w:ascii="Times New Roman" w:eastAsia="Times New Roman" w:hAnsi="Times New Roman" w:cs="Times New Roman"/>
                <w:b/>
                <w:bCs/>
                <w:color w:val="000000"/>
                <w:sz w:val="20"/>
                <w:szCs w:val="20"/>
                <w:lang w:eastAsia="sk-SK"/>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4A9D9871" w14:textId="77777777" w:rsidR="00332B5B" w:rsidRPr="00157E40" w:rsidRDefault="00332B5B" w:rsidP="00332B5B">
            <w:pPr>
              <w:spacing w:after="0" w:line="240" w:lineRule="auto"/>
              <w:rPr>
                <w:rFonts w:ascii="Times New Roman" w:eastAsia="Times New Roman" w:hAnsi="Times New Roman" w:cs="Times New Roman"/>
                <w:b/>
                <w:bCs/>
                <w:color w:val="000000"/>
                <w:sz w:val="20"/>
                <w:szCs w:val="20"/>
                <w:lang w:eastAsia="sk-SK"/>
              </w:rPr>
            </w:pPr>
          </w:p>
        </w:tc>
        <w:tc>
          <w:tcPr>
            <w:tcW w:w="1143" w:type="dxa"/>
            <w:tcBorders>
              <w:top w:val="nil"/>
              <w:left w:val="nil"/>
              <w:bottom w:val="single" w:sz="4" w:space="0" w:color="auto"/>
              <w:right w:val="single" w:sz="4" w:space="0" w:color="auto"/>
            </w:tcBorders>
            <w:shd w:val="clear" w:color="000000" w:fill="D9D9D9"/>
            <w:vAlign w:val="center"/>
            <w:hideMark/>
          </w:tcPr>
          <w:p w14:paraId="1AEE05B0"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 xml:space="preserve"> (-úbytok)</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385CF439" w14:textId="77777777" w:rsidR="00332B5B" w:rsidRPr="00157E40" w:rsidRDefault="00332B5B" w:rsidP="00332B5B">
            <w:pPr>
              <w:spacing w:after="0" w:line="240" w:lineRule="auto"/>
              <w:rPr>
                <w:rFonts w:ascii="Times New Roman" w:eastAsia="Times New Roman" w:hAnsi="Times New Roman" w:cs="Times New Roman"/>
                <w:b/>
                <w:bCs/>
                <w:color w:val="000000"/>
                <w:sz w:val="20"/>
                <w:szCs w:val="20"/>
                <w:lang w:eastAsia="sk-SK"/>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61120CE4" w14:textId="77777777" w:rsidR="00332B5B" w:rsidRPr="00157E40" w:rsidRDefault="00332B5B" w:rsidP="00332B5B">
            <w:pPr>
              <w:spacing w:after="0" w:line="240" w:lineRule="auto"/>
              <w:rPr>
                <w:rFonts w:ascii="Times New Roman" w:eastAsia="Times New Roman" w:hAnsi="Times New Roman" w:cs="Times New Roman"/>
                <w:b/>
                <w:bCs/>
                <w:color w:val="000000"/>
                <w:sz w:val="20"/>
                <w:szCs w:val="20"/>
                <w:lang w:eastAsia="sk-SK"/>
              </w:rPr>
            </w:pPr>
          </w:p>
        </w:tc>
        <w:tc>
          <w:tcPr>
            <w:tcW w:w="1179" w:type="dxa"/>
            <w:tcBorders>
              <w:top w:val="nil"/>
              <w:left w:val="nil"/>
              <w:bottom w:val="single" w:sz="4" w:space="0" w:color="auto"/>
              <w:right w:val="single" w:sz="4" w:space="0" w:color="auto"/>
            </w:tcBorders>
            <w:shd w:val="clear" w:color="000000" w:fill="D9D9D9"/>
            <w:vAlign w:val="center"/>
            <w:hideMark/>
          </w:tcPr>
          <w:p w14:paraId="0C856D09"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(-úbytok)</w:t>
            </w:r>
          </w:p>
        </w:tc>
        <w:tc>
          <w:tcPr>
            <w:tcW w:w="1058" w:type="dxa"/>
            <w:tcBorders>
              <w:top w:val="nil"/>
              <w:left w:val="nil"/>
              <w:bottom w:val="single" w:sz="4" w:space="0" w:color="auto"/>
              <w:right w:val="single" w:sz="4" w:space="0" w:color="auto"/>
            </w:tcBorders>
            <w:shd w:val="clear" w:color="000000" w:fill="D9D9D9"/>
            <w:vAlign w:val="center"/>
            <w:hideMark/>
          </w:tcPr>
          <w:p w14:paraId="75B49C74"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 xml:space="preserve"> (-úbytok)</w:t>
            </w:r>
          </w:p>
        </w:tc>
      </w:tr>
      <w:tr w:rsidR="00332B5B" w:rsidRPr="00157E40" w14:paraId="435521E2"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196E688D"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1996</w:t>
            </w:r>
          </w:p>
        </w:tc>
        <w:tc>
          <w:tcPr>
            <w:tcW w:w="1346" w:type="dxa"/>
            <w:tcBorders>
              <w:top w:val="nil"/>
              <w:left w:val="nil"/>
              <w:bottom w:val="single" w:sz="4" w:space="0" w:color="auto"/>
              <w:right w:val="single" w:sz="4" w:space="0" w:color="auto"/>
            </w:tcBorders>
            <w:shd w:val="clear" w:color="auto" w:fill="auto"/>
            <w:vAlign w:val="center"/>
            <w:hideMark/>
          </w:tcPr>
          <w:p w14:paraId="3BAD96EE"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382</w:t>
            </w:r>
          </w:p>
        </w:tc>
        <w:tc>
          <w:tcPr>
            <w:tcW w:w="865" w:type="dxa"/>
            <w:tcBorders>
              <w:top w:val="nil"/>
              <w:left w:val="nil"/>
              <w:bottom w:val="single" w:sz="4" w:space="0" w:color="auto"/>
              <w:right w:val="single" w:sz="4" w:space="0" w:color="auto"/>
            </w:tcBorders>
            <w:shd w:val="clear" w:color="auto" w:fill="auto"/>
            <w:vAlign w:val="center"/>
            <w:hideMark/>
          </w:tcPr>
          <w:p w14:paraId="0D83FAA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561</w:t>
            </w:r>
          </w:p>
        </w:tc>
        <w:tc>
          <w:tcPr>
            <w:tcW w:w="1143" w:type="dxa"/>
            <w:tcBorders>
              <w:top w:val="nil"/>
              <w:left w:val="nil"/>
              <w:bottom w:val="single" w:sz="4" w:space="0" w:color="auto"/>
              <w:right w:val="single" w:sz="4" w:space="0" w:color="auto"/>
            </w:tcBorders>
            <w:shd w:val="clear" w:color="auto" w:fill="auto"/>
            <w:vAlign w:val="center"/>
            <w:hideMark/>
          </w:tcPr>
          <w:p w14:paraId="1B33E2D7"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-179</w:t>
            </w:r>
          </w:p>
        </w:tc>
        <w:tc>
          <w:tcPr>
            <w:tcW w:w="1270" w:type="dxa"/>
            <w:tcBorders>
              <w:top w:val="nil"/>
              <w:left w:val="nil"/>
              <w:bottom w:val="single" w:sz="4" w:space="0" w:color="auto"/>
              <w:right w:val="single" w:sz="4" w:space="0" w:color="auto"/>
            </w:tcBorders>
            <w:shd w:val="clear" w:color="auto" w:fill="auto"/>
            <w:vAlign w:val="center"/>
            <w:hideMark/>
          </w:tcPr>
          <w:p w14:paraId="3092037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391</w:t>
            </w:r>
          </w:p>
        </w:tc>
        <w:tc>
          <w:tcPr>
            <w:tcW w:w="1270" w:type="dxa"/>
            <w:tcBorders>
              <w:top w:val="nil"/>
              <w:left w:val="nil"/>
              <w:bottom w:val="single" w:sz="4" w:space="0" w:color="auto"/>
              <w:right w:val="single" w:sz="4" w:space="0" w:color="auto"/>
            </w:tcBorders>
            <w:shd w:val="clear" w:color="auto" w:fill="auto"/>
            <w:vAlign w:val="center"/>
            <w:hideMark/>
          </w:tcPr>
          <w:p w14:paraId="6C9C7A6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409</w:t>
            </w:r>
          </w:p>
        </w:tc>
        <w:tc>
          <w:tcPr>
            <w:tcW w:w="1179" w:type="dxa"/>
            <w:tcBorders>
              <w:top w:val="nil"/>
              <w:left w:val="nil"/>
              <w:bottom w:val="single" w:sz="4" w:space="0" w:color="auto"/>
              <w:right w:val="single" w:sz="4" w:space="0" w:color="auto"/>
            </w:tcBorders>
            <w:shd w:val="clear" w:color="auto" w:fill="auto"/>
            <w:vAlign w:val="center"/>
            <w:hideMark/>
          </w:tcPr>
          <w:p w14:paraId="4A115AE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w:t>
            </w:r>
          </w:p>
        </w:tc>
        <w:tc>
          <w:tcPr>
            <w:tcW w:w="1058" w:type="dxa"/>
            <w:tcBorders>
              <w:top w:val="nil"/>
              <w:left w:val="nil"/>
              <w:bottom w:val="single" w:sz="4" w:space="0" w:color="auto"/>
              <w:right w:val="single" w:sz="4" w:space="0" w:color="auto"/>
            </w:tcBorders>
            <w:shd w:val="clear" w:color="auto" w:fill="auto"/>
            <w:vAlign w:val="center"/>
            <w:hideMark/>
          </w:tcPr>
          <w:p w14:paraId="16D9F9E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-197</w:t>
            </w:r>
          </w:p>
        </w:tc>
      </w:tr>
      <w:tr w:rsidR="00332B5B" w:rsidRPr="00157E40" w14:paraId="3ABC6C78"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401A475"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1997</w:t>
            </w:r>
          </w:p>
        </w:tc>
        <w:tc>
          <w:tcPr>
            <w:tcW w:w="1346" w:type="dxa"/>
            <w:tcBorders>
              <w:top w:val="nil"/>
              <w:left w:val="nil"/>
              <w:bottom w:val="single" w:sz="4" w:space="0" w:color="auto"/>
              <w:right w:val="single" w:sz="4" w:space="0" w:color="auto"/>
            </w:tcBorders>
            <w:shd w:val="clear" w:color="auto" w:fill="auto"/>
            <w:vAlign w:val="center"/>
            <w:hideMark/>
          </w:tcPr>
          <w:p w14:paraId="3E0EEFA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381</w:t>
            </w:r>
          </w:p>
        </w:tc>
        <w:tc>
          <w:tcPr>
            <w:tcW w:w="865" w:type="dxa"/>
            <w:tcBorders>
              <w:top w:val="nil"/>
              <w:left w:val="nil"/>
              <w:bottom w:val="single" w:sz="4" w:space="0" w:color="auto"/>
              <w:right w:val="single" w:sz="4" w:space="0" w:color="auto"/>
            </w:tcBorders>
            <w:shd w:val="clear" w:color="auto" w:fill="auto"/>
            <w:vAlign w:val="center"/>
            <w:hideMark/>
          </w:tcPr>
          <w:p w14:paraId="5E0D8B2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543</w:t>
            </w:r>
          </w:p>
        </w:tc>
        <w:tc>
          <w:tcPr>
            <w:tcW w:w="1143" w:type="dxa"/>
            <w:tcBorders>
              <w:top w:val="nil"/>
              <w:left w:val="nil"/>
              <w:bottom w:val="single" w:sz="4" w:space="0" w:color="auto"/>
              <w:right w:val="single" w:sz="4" w:space="0" w:color="auto"/>
            </w:tcBorders>
            <w:shd w:val="clear" w:color="auto" w:fill="auto"/>
            <w:vAlign w:val="center"/>
            <w:hideMark/>
          </w:tcPr>
          <w:p w14:paraId="48A01FB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-162</w:t>
            </w:r>
          </w:p>
        </w:tc>
        <w:tc>
          <w:tcPr>
            <w:tcW w:w="1270" w:type="dxa"/>
            <w:tcBorders>
              <w:top w:val="nil"/>
              <w:left w:val="nil"/>
              <w:bottom w:val="single" w:sz="4" w:space="0" w:color="auto"/>
              <w:right w:val="single" w:sz="4" w:space="0" w:color="auto"/>
            </w:tcBorders>
            <w:shd w:val="clear" w:color="auto" w:fill="auto"/>
            <w:vAlign w:val="center"/>
            <w:hideMark/>
          </w:tcPr>
          <w:p w14:paraId="41ECE94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472</w:t>
            </w:r>
          </w:p>
        </w:tc>
        <w:tc>
          <w:tcPr>
            <w:tcW w:w="1270" w:type="dxa"/>
            <w:tcBorders>
              <w:top w:val="nil"/>
              <w:left w:val="nil"/>
              <w:bottom w:val="single" w:sz="4" w:space="0" w:color="auto"/>
              <w:right w:val="single" w:sz="4" w:space="0" w:color="auto"/>
            </w:tcBorders>
            <w:shd w:val="clear" w:color="auto" w:fill="auto"/>
            <w:vAlign w:val="center"/>
            <w:hideMark/>
          </w:tcPr>
          <w:p w14:paraId="38BDF4B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489</w:t>
            </w:r>
          </w:p>
        </w:tc>
        <w:tc>
          <w:tcPr>
            <w:tcW w:w="1179" w:type="dxa"/>
            <w:tcBorders>
              <w:top w:val="nil"/>
              <w:left w:val="nil"/>
              <w:bottom w:val="single" w:sz="4" w:space="0" w:color="auto"/>
              <w:right w:val="single" w:sz="4" w:space="0" w:color="auto"/>
            </w:tcBorders>
            <w:shd w:val="clear" w:color="auto" w:fill="auto"/>
            <w:vAlign w:val="center"/>
            <w:hideMark/>
          </w:tcPr>
          <w:p w14:paraId="6A6161C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w:t>
            </w:r>
          </w:p>
        </w:tc>
        <w:tc>
          <w:tcPr>
            <w:tcW w:w="1058" w:type="dxa"/>
            <w:tcBorders>
              <w:top w:val="nil"/>
              <w:left w:val="nil"/>
              <w:bottom w:val="single" w:sz="4" w:space="0" w:color="auto"/>
              <w:right w:val="single" w:sz="4" w:space="0" w:color="auto"/>
            </w:tcBorders>
            <w:shd w:val="clear" w:color="auto" w:fill="auto"/>
            <w:vAlign w:val="center"/>
            <w:hideMark/>
          </w:tcPr>
          <w:p w14:paraId="34F1C91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-179</w:t>
            </w:r>
          </w:p>
        </w:tc>
      </w:tr>
      <w:tr w:rsidR="00332B5B" w:rsidRPr="00157E40" w14:paraId="2D746724"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99A0DC2"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1998</w:t>
            </w:r>
          </w:p>
        </w:tc>
        <w:tc>
          <w:tcPr>
            <w:tcW w:w="1346" w:type="dxa"/>
            <w:tcBorders>
              <w:top w:val="nil"/>
              <w:left w:val="nil"/>
              <w:bottom w:val="single" w:sz="4" w:space="0" w:color="auto"/>
              <w:right w:val="single" w:sz="4" w:space="0" w:color="auto"/>
            </w:tcBorders>
            <w:shd w:val="clear" w:color="auto" w:fill="auto"/>
            <w:vAlign w:val="center"/>
            <w:hideMark/>
          </w:tcPr>
          <w:p w14:paraId="560EC75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377</w:t>
            </w:r>
          </w:p>
        </w:tc>
        <w:tc>
          <w:tcPr>
            <w:tcW w:w="865" w:type="dxa"/>
            <w:tcBorders>
              <w:top w:val="nil"/>
              <w:left w:val="nil"/>
              <w:bottom w:val="single" w:sz="4" w:space="0" w:color="auto"/>
              <w:right w:val="single" w:sz="4" w:space="0" w:color="auto"/>
            </w:tcBorders>
            <w:shd w:val="clear" w:color="auto" w:fill="auto"/>
            <w:vAlign w:val="center"/>
            <w:hideMark/>
          </w:tcPr>
          <w:p w14:paraId="1001EB6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527</w:t>
            </w:r>
          </w:p>
        </w:tc>
        <w:tc>
          <w:tcPr>
            <w:tcW w:w="1143" w:type="dxa"/>
            <w:tcBorders>
              <w:top w:val="nil"/>
              <w:left w:val="nil"/>
              <w:bottom w:val="single" w:sz="4" w:space="0" w:color="auto"/>
              <w:right w:val="single" w:sz="4" w:space="0" w:color="auto"/>
            </w:tcBorders>
            <w:shd w:val="clear" w:color="auto" w:fill="auto"/>
            <w:vAlign w:val="center"/>
            <w:hideMark/>
          </w:tcPr>
          <w:p w14:paraId="34AFF0D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-150</w:t>
            </w:r>
          </w:p>
        </w:tc>
        <w:tc>
          <w:tcPr>
            <w:tcW w:w="1270" w:type="dxa"/>
            <w:tcBorders>
              <w:top w:val="nil"/>
              <w:left w:val="nil"/>
              <w:bottom w:val="single" w:sz="4" w:space="0" w:color="auto"/>
              <w:right w:val="single" w:sz="4" w:space="0" w:color="auto"/>
            </w:tcBorders>
            <w:shd w:val="clear" w:color="auto" w:fill="auto"/>
            <w:vAlign w:val="center"/>
            <w:hideMark/>
          </w:tcPr>
          <w:p w14:paraId="5CB6FA3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624</w:t>
            </w:r>
          </w:p>
        </w:tc>
        <w:tc>
          <w:tcPr>
            <w:tcW w:w="1270" w:type="dxa"/>
            <w:tcBorders>
              <w:top w:val="nil"/>
              <w:left w:val="nil"/>
              <w:bottom w:val="single" w:sz="4" w:space="0" w:color="auto"/>
              <w:right w:val="single" w:sz="4" w:space="0" w:color="auto"/>
            </w:tcBorders>
            <w:shd w:val="clear" w:color="auto" w:fill="auto"/>
            <w:vAlign w:val="center"/>
            <w:hideMark/>
          </w:tcPr>
          <w:p w14:paraId="72AACE5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595</w:t>
            </w:r>
          </w:p>
        </w:tc>
        <w:tc>
          <w:tcPr>
            <w:tcW w:w="1179" w:type="dxa"/>
            <w:tcBorders>
              <w:top w:val="nil"/>
              <w:left w:val="nil"/>
              <w:bottom w:val="single" w:sz="4" w:space="0" w:color="auto"/>
              <w:right w:val="single" w:sz="4" w:space="0" w:color="auto"/>
            </w:tcBorders>
            <w:shd w:val="clear" w:color="auto" w:fill="auto"/>
            <w:vAlign w:val="center"/>
            <w:hideMark/>
          </w:tcPr>
          <w:p w14:paraId="1DBB248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29</w:t>
            </w:r>
          </w:p>
        </w:tc>
        <w:tc>
          <w:tcPr>
            <w:tcW w:w="1058" w:type="dxa"/>
            <w:tcBorders>
              <w:top w:val="nil"/>
              <w:left w:val="nil"/>
              <w:bottom w:val="single" w:sz="4" w:space="0" w:color="auto"/>
              <w:right w:val="single" w:sz="4" w:space="0" w:color="auto"/>
            </w:tcBorders>
            <w:shd w:val="clear" w:color="auto" w:fill="auto"/>
            <w:vAlign w:val="center"/>
            <w:hideMark/>
          </w:tcPr>
          <w:p w14:paraId="2F74C34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-121</w:t>
            </w:r>
          </w:p>
        </w:tc>
      </w:tr>
      <w:tr w:rsidR="00332B5B" w:rsidRPr="00157E40" w14:paraId="39B70113"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5A59C94"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1999</w:t>
            </w:r>
          </w:p>
        </w:tc>
        <w:tc>
          <w:tcPr>
            <w:tcW w:w="1346" w:type="dxa"/>
            <w:tcBorders>
              <w:top w:val="nil"/>
              <w:left w:val="nil"/>
              <w:bottom w:val="single" w:sz="4" w:space="0" w:color="auto"/>
              <w:right w:val="single" w:sz="4" w:space="0" w:color="auto"/>
            </w:tcBorders>
            <w:shd w:val="clear" w:color="auto" w:fill="auto"/>
            <w:vAlign w:val="center"/>
            <w:hideMark/>
          </w:tcPr>
          <w:p w14:paraId="1D74C511"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370</w:t>
            </w:r>
          </w:p>
        </w:tc>
        <w:tc>
          <w:tcPr>
            <w:tcW w:w="865" w:type="dxa"/>
            <w:tcBorders>
              <w:top w:val="nil"/>
              <w:left w:val="nil"/>
              <w:bottom w:val="single" w:sz="4" w:space="0" w:color="auto"/>
              <w:right w:val="single" w:sz="4" w:space="0" w:color="auto"/>
            </w:tcBorders>
            <w:shd w:val="clear" w:color="auto" w:fill="auto"/>
            <w:vAlign w:val="center"/>
            <w:hideMark/>
          </w:tcPr>
          <w:p w14:paraId="23B8D4D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524</w:t>
            </w:r>
          </w:p>
        </w:tc>
        <w:tc>
          <w:tcPr>
            <w:tcW w:w="1143" w:type="dxa"/>
            <w:tcBorders>
              <w:top w:val="nil"/>
              <w:left w:val="nil"/>
              <w:bottom w:val="single" w:sz="4" w:space="0" w:color="auto"/>
              <w:right w:val="single" w:sz="4" w:space="0" w:color="auto"/>
            </w:tcBorders>
            <w:shd w:val="clear" w:color="auto" w:fill="auto"/>
            <w:vAlign w:val="center"/>
            <w:hideMark/>
          </w:tcPr>
          <w:p w14:paraId="04CA611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-154</w:t>
            </w:r>
          </w:p>
        </w:tc>
        <w:tc>
          <w:tcPr>
            <w:tcW w:w="1270" w:type="dxa"/>
            <w:tcBorders>
              <w:top w:val="nil"/>
              <w:left w:val="nil"/>
              <w:bottom w:val="single" w:sz="4" w:space="0" w:color="auto"/>
              <w:right w:val="single" w:sz="4" w:space="0" w:color="auto"/>
            </w:tcBorders>
            <w:shd w:val="clear" w:color="auto" w:fill="auto"/>
            <w:vAlign w:val="center"/>
            <w:hideMark/>
          </w:tcPr>
          <w:p w14:paraId="62FBD4D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405</w:t>
            </w:r>
          </w:p>
        </w:tc>
        <w:tc>
          <w:tcPr>
            <w:tcW w:w="1270" w:type="dxa"/>
            <w:tcBorders>
              <w:top w:val="nil"/>
              <w:left w:val="nil"/>
              <w:bottom w:val="single" w:sz="4" w:space="0" w:color="auto"/>
              <w:right w:val="single" w:sz="4" w:space="0" w:color="auto"/>
            </w:tcBorders>
            <w:shd w:val="clear" w:color="auto" w:fill="auto"/>
            <w:vAlign w:val="center"/>
            <w:hideMark/>
          </w:tcPr>
          <w:p w14:paraId="72225237"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412</w:t>
            </w:r>
          </w:p>
        </w:tc>
        <w:tc>
          <w:tcPr>
            <w:tcW w:w="1179" w:type="dxa"/>
            <w:tcBorders>
              <w:top w:val="nil"/>
              <w:left w:val="nil"/>
              <w:bottom w:val="single" w:sz="4" w:space="0" w:color="auto"/>
              <w:right w:val="single" w:sz="4" w:space="0" w:color="auto"/>
            </w:tcBorders>
            <w:shd w:val="clear" w:color="auto" w:fill="auto"/>
            <w:vAlign w:val="center"/>
            <w:hideMark/>
          </w:tcPr>
          <w:p w14:paraId="29B8F4B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w:t>
            </w:r>
          </w:p>
        </w:tc>
        <w:tc>
          <w:tcPr>
            <w:tcW w:w="1058" w:type="dxa"/>
            <w:tcBorders>
              <w:top w:val="nil"/>
              <w:left w:val="nil"/>
              <w:bottom w:val="single" w:sz="4" w:space="0" w:color="auto"/>
              <w:right w:val="single" w:sz="4" w:space="0" w:color="auto"/>
            </w:tcBorders>
            <w:shd w:val="clear" w:color="auto" w:fill="auto"/>
            <w:vAlign w:val="center"/>
            <w:hideMark/>
          </w:tcPr>
          <w:p w14:paraId="37906672"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-161</w:t>
            </w:r>
          </w:p>
        </w:tc>
      </w:tr>
      <w:tr w:rsidR="00332B5B" w:rsidRPr="00157E40" w14:paraId="3B919491"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CB111B1"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2000</w:t>
            </w:r>
          </w:p>
        </w:tc>
        <w:tc>
          <w:tcPr>
            <w:tcW w:w="1346" w:type="dxa"/>
            <w:tcBorders>
              <w:top w:val="nil"/>
              <w:left w:val="nil"/>
              <w:bottom w:val="single" w:sz="4" w:space="0" w:color="auto"/>
              <w:right w:val="single" w:sz="4" w:space="0" w:color="auto"/>
            </w:tcBorders>
            <w:shd w:val="clear" w:color="auto" w:fill="auto"/>
            <w:vAlign w:val="center"/>
            <w:hideMark/>
          </w:tcPr>
          <w:p w14:paraId="70007A5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343</w:t>
            </w:r>
          </w:p>
        </w:tc>
        <w:tc>
          <w:tcPr>
            <w:tcW w:w="865" w:type="dxa"/>
            <w:tcBorders>
              <w:top w:val="nil"/>
              <w:left w:val="nil"/>
              <w:bottom w:val="single" w:sz="4" w:space="0" w:color="auto"/>
              <w:right w:val="single" w:sz="4" w:space="0" w:color="auto"/>
            </w:tcBorders>
            <w:shd w:val="clear" w:color="auto" w:fill="auto"/>
            <w:vAlign w:val="center"/>
            <w:hideMark/>
          </w:tcPr>
          <w:p w14:paraId="5D61F03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544</w:t>
            </w:r>
          </w:p>
        </w:tc>
        <w:tc>
          <w:tcPr>
            <w:tcW w:w="1143" w:type="dxa"/>
            <w:tcBorders>
              <w:top w:val="nil"/>
              <w:left w:val="nil"/>
              <w:bottom w:val="single" w:sz="4" w:space="0" w:color="auto"/>
              <w:right w:val="single" w:sz="4" w:space="0" w:color="auto"/>
            </w:tcBorders>
            <w:shd w:val="clear" w:color="auto" w:fill="auto"/>
            <w:vAlign w:val="center"/>
            <w:hideMark/>
          </w:tcPr>
          <w:p w14:paraId="11491FA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-201</w:t>
            </w:r>
          </w:p>
        </w:tc>
        <w:tc>
          <w:tcPr>
            <w:tcW w:w="1270" w:type="dxa"/>
            <w:tcBorders>
              <w:top w:val="nil"/>
              <w:left w:val="nil"/>
              <w:bottom w:val="single" w:sz="4" w:space="0" w:color="auto"/>
              <w:right w:val="single" w:sz="4" w:space="0" w:color="auto"/>
            </w:tcBorders>
            <w:shd w:val="clear" w:color="auto" w:fill="auto"/>
            <w:vAlign w:val="center"/>
            <w:hideMark/>
          </w:tcPr>
          <w:p w14:paraId="3D505A4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531</w:t>
            </w:r>
          </w:p>
        </w:tc>
        <w:tc>
          <w:tcPr>
            <w:tcW w:w="1270" w:type="dxa"/>
            <w:tcBorders>
              <w:top w:val="nil"/>
              <w:left w:val="nil"/>
              <w:bottom w:val="single" w:sz="4" w:space="0" w:color="auto"/>
              <w:right w:val="single" w:sz="4" w:space="0" w:color="auto"/>
            </w:tcBorders>
            <w:shd w:val="clear" w:color="auto" w:fill="auto"/>
            <w:vAlign w:val="center"/>
            <w:hideMark/>
          </w:tcPr>
          <w:p w14:paraId="4EA4455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547</w:t>
            </w:r>
          </w:p>
        </w:tc>
        <w:tc>
          <w:tcPr>
            <w:tcW w:w="1179" w:type="dxa"/>
            <w:tcBorders>
              <w:top w:val="nil"/>
              <w:left w:val="nil"/>
              <w:bottom w:val="single" w:sz="4" w:space="0" w:color="auto"/>
              <w:right w:val="single" w:sz="4" w:space="0" w:color="auto"/>
            </w:tcBorders>
            <w:shd w:val="clear" w:color="auto" w:fill="auto"/>
            <w:vAlign w:val="center"/>
            <w:hideMark/>
          </w:tcPr>
          <w:p w14:paraId="0F05C60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w:t>
            </w:r>
          </w:p>
        </w:tc>
        <w:tc>
          <w:tcPr>
            <w:tcW w:w="1058" w:type="dxa"/>
            <w:tcBorders>
              <w:top w:val="nil"/>
              <w:left w:val="nil"/>
              <w:bottom w:val="single" w:sz="4" w:space="0" w:color="auto"/>
              <w:right w:val="single" w:sz="4" w:space="0" w:color="auto"/>
            </w:tcBorders>
            <w:shd w:val="clear" w:color="auto" w:fill="auto"/>
            <w:vAlign w:val="center"/>
            <w:hideMark/>
          </w:tcPr>
          <w:p w14:paraId="6B8A815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-217</w:t>
            </w:r>
          </w:p>
        </w:tc>
      </w:tr>
      <w:tr w:rsidR="00332B5B" w:rsidRPr="00157E40" w14:paraId="6ED9FDD2"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5AFD591D"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2001</w:t>
            </w:r>
          </w:p>
        </w:tc>
        <w:tc>
          <w:tcPr>
            <w:tcW w:w="1346" w:type="dxa"/>
            <w:tcBorders>
              <w:top w:val="nil"/>
              <w:left w:val="nil"/>
              <w:bottom w:val="single" w:sz="4" w:space="0" w:color="auto"/>
              <w:right w:val="single" w:sz="4" w:space="0" w:color="auto"/>
            </w:tcBorders>
            <w:shd w:val="clear" w:color="auto" w:fill="auto"/>
            <w:vAlign w:val="center"/>
            <w:hideMark/>
          </w:tcPr>
          <w:p w14:paraId="44509097"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314</w:t>
            </w:r>
          </w:p>
        </w:tc>
        <w:tc>
          <w:tcPr>
            <w:tcW w:w="865" w:type="dxa"/>
            <w:tcBorders>
              <w:top w:val="nil"/>
              <w:left w:val="nil"/>
              <w:bottom w:val="single" w:sz="4" w:space="0" w:color="auto"/>
              <w:right w:val="single" w:sz="4" w:space="0" w:color="auto"/>
            </w:tcBorders>
            <w:shd w:val="clear" w:color="auto" w:fill="auto"/>
            <w:vAlign w:val="center"/>
            <w:hideMark/>
          </w:tcPr>
          <w:p w14:paraId="61C7CFA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504</w:t>
            </w:r>
          </w:p>
        </w:tc>
        <w:tc>
          <w:tcPr>
            <w:tcW w:w="1143" w:type="dxa"/>
            <w:tcBorders>
              <w:top w:val="nil"/>
              <w:left w:val="nil"/>
              <w:bottom w:val="single" w:sz="4" w:space="0" w:color="auto"/>
              <w:right w:val="single" w:sz="4" w:space="0" w:color="auto"/>
            </w:tcBorders>
            <w:shd w:val="clear" w:color="auto" w:fill="auto"/>
            <w:vAlign w:val="center"/>
            <w:hideMark/>
          </w:tcPr>
          <w:p w14:paraId="497597C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-190</w:t>
            </w:r>
          </w:p>
        </w:tc>
        <w:tc>
          <w:tcPr>
            <w:tcW w:w="1270" w:type="dxa"/>
            <w:tcBorders>
              <w:top w:val="nil"/>
              <w:left w:val="nil"/>
              <w:bottom w:val="single" w:sz="4" w:space="0" w:color="auto"/>
              <w:right w:val="single" w:sz="4" w:space="0" w:color="auto"/>
            </w:tcBorders>
            <w:shd w:val="clear" w:color="auto" w:fill="auto"/>
            <w:vAlign w:val="center"/>
            <w:hideMark/>
          </w:tcPr>
          <w:p w14:paraId="3F4D696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528</w:t>
            </w:r>
          </w:p>
        </w:tc>
        <w:tc>
          <w:tcPr>
            <w:tcW w:w="1270" w:type="dxa"/>
            <w:tcBorders>
              <w:top w:val="nil"/>
              <w:left w:val="nil"/>
              <w:bottom w:val="single" w:sz="4" w:space="0" w:color="auto"/>
              <w:right w:val="single" w:sz="4" w:space="0" w:color="auto"/>
            </w:tcBorders>
            <w:shd w:val="clear" w:color="auto" w:fill="auto"/>
            <w:vAlign w:val="center"/>
            <w:hideMark/>
          </w:tcPr>
          <w:p w14:paraId="17D1EE7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620</w:t>
            </w:r>
          </w:p>
        </w:tc>
        <w:tc>
          <w:tcPr>
            <w:tcW w:w="1179" w:type="dxa"/>
            <w:tcBorders>
              <w:top w:val="nil"/>
              <w:left w:val="nil"/>
              <w:bottom w:val="single" w:sz="4" w:space="0" w:color="auto"/>
              <w:right w:val="single" w:sz="4" w:space="0" w:color="auto"/>
            </w:tcBorders>
            <w:shd w:val="clear" w:color="auto" w:fill="auto"/>
            <w:vAlign w:val="center"/>
            <w:hideMark/>
          </w:tcPr>
          <w:p w14:paraId="6BB5EE5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-92</w:t>
            </w:r>
          </w:p>
        </w:tc>
        <w:tc>
          <w:tcPr>
            <w:tcW w:w="1058" w:type="dxa"/>
            <w:tcBorders>
              <w:top w:val="nil"/>
              <w:left w:val="nil"/>
              <w:bottom w:val="single" w:sz="4" w:space="0" w:color="auto"/>
              <w:right w:val="single" w:sz="4" w:space="0" w:color="auto"/>
            </w:tcBorders>
            <w:shd w:val="clear" w:color="auto" w:fill="auto"/>
            <w:vAlign w:val="center"/>
            <w:hideMark/>
          </w:tcPr>
          <w:p w14:paraId="3D86939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-282</w:t>
            </w:r>
          </w:p>
        </w:tc>
      </w:tr>
      <w:tr w:rsidR="00332B5B" w:rsidRPr="00157E40" w14:paraId="6C1068B1" w14:textId="77777777" w:rsidTr="001E4807">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BEB50EF"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2002</w:t>
            </w:r>
          </w:p>
        </w:tc>
        <w:tc>
          <w:tcPr>
            <w:tcW w:w="1346" w:type="dxa"/>
            <w:tcBorders>
              <w:top w:val="nil"/>
              <w:left w:val="nil"/>
              <w:bottom w:val="single" w:sz="4" w:space="0" w:color="auto"/>
              <w:right w:val="single" w:sz="4" w:space="0" w:color="auto"/>
            </w:tcBorders>
            <w:shd w:val="clear" w:color="auto" w:fill="auto"/>
            <w:vAlign w:val="center"/>
            <w:hideMark/>
          </w:tcPr>
          <w:p w14:paraId="4D8CAD2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292</w:t>
            </w:r>
          </w:p>
        </w:tc>
        <w:tc>
          <w:tcPr>
            <w:tcW w:w="865" w:type="dxa"/>
            <w:tcBorders>
              <w:top w:val="nil"/>
              <w:left w:val="nil"/>
              <w:bottom w:val="single" w:sz="4" w:space="0" w:color="auto"/>
              <w:right w:val="single" w:sz="4" w:space="0" w:color="auto"/>
            </w:tcBorders>
            <w:shd w:val="clear" w:color="auto" w:fill="auto"/>
            <w:vAlign w:val="center"/>
            <w:hideMark/>
          </w:tcPr>
          <w:p w14:paraId="28DC74B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501</w:t>
            </w:r>
          </w:p>
        </w:tc>
        <w:tc>
          <w:tcPr>
            <w:tcW w:w="1143" w:type="dxa"/>
            <w:tcBorders>
              <w:top w:val="nil"/>
              <w:left w:val="nil"/>
              <w:bottom w:val="single" w:sz="4" w:space="0" w:color="auto"/>
              <w:right w:val="single" w:sz="4" w:space="0" w:color="auto"/>
            </w:tcBorders>
            <w:shd w:val="clear" w:color="auto" w:fill="auto"/>
            <w:vAlign w:val="center"/>
            <w:hideMark/>
          </w:tcPr>
          <w:p w14:paraId="2C762A0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-209</w:t>
            </w:r>
          </w:p>
        </w:tc>
        <w:tc>
          <w:tcPr>
            <w:tcW w:w="1270" w:type="dxa"/>
            <w:tcBorders>
              <w:top w:val="nil"/>
              <w:left w:val="nil"/>
              <w:bottom w:val="single" w:sz="4" w:space="0" w:color="auto"/>
              <w:right w:val="single" w:sz="4" w:space="0" w:color="auto"/>
            </w:tcBorders>
            <w:shd w:val="clear" w:color="auto" w:fill="auto"/>
            <w:vAlign w:val="center"/>
            <w:hideMark/>
          </w:tcPr>
          <w:p w14:paraId="4C374C6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621</w:t>
            </w:r>
          </w:p>
        </w:tc>
        <w:tc>
          <w:tcPr>
            <w:tcW w:w="1270" w:type="dxa"/>
            <w:tcBorders>
              <w:top w:val="nil"/>
              <w:left w:val="nil"/>
              <w:bottom w:val="single" w:sz="4" w:space="0" w:color="auto"/>
              <w:right w:val="single" w:sz="4" w:space="0" w:color="auto"/>
            </w:tcBorders>
            <w:shd w:val="clear" w:color="auto" w:fill="auto"/>
            <w:vAlign w:val="center"/>
            <w:hideMark/>
          </w:tcPr>
          <w:p w14:paraId="007BAB12"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673</w:t>
            </w:r>
          </w:p>
        </w:tc>
        <w:tc>
          <w:tcPr>
            <w:tcW w:w="1179" w:type="dxa"/>
            <w:tcBorders>
              <w:top w:val="nil"/>
              <w:left w:val="nil"/>
              <w:bottom w:val="single" w:sz="4" w:space="0" w:color="auto"/>
              <w:right w:val="single" w:sz="4" w:space="0" w:color="auto"/>
            </w:tcBorders>
            <w:shd w:val="clear" w:color="auto" w:fill="auto"/>
            <w:vAlign w:val="center"/>
            <w:hideMark/>
          </w:tcPr>
          <w:p w14:paraId="235E913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w:t>
            </w:r>
          </w:p>
        </w:tc>
        <w:tc>
          <w:tcPr>
            <w:tcW w:w="1058" w:type="dxa"/>
            <w:tcBorders>
              <w:top w:val="nil"/>
              <w:left w:val="nil"/>
              <w:bottom w:val="single" w:sz="4" w:space="0" w:color="auto"/>
              <w:right w:val="single" w:sz="4" w:space="0" w:color="auto"/>
            </w:tcBorders>
            <w:shd w:val="clear" w:color="auto" w:fill="auto"/>
            <w:vAlign w:val="center"/>
            <w:hideMark/>
          </w:tcPr>
          <w:p w14:paraId="7DF6470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-261</w:t>
            </w:r>
          </w:p>
        </w:tc>
      </w:tr>
      <w:tr w:rsidR="00332B5B" w:rsidRPr="00157E40" w14:paraId="0BB8B1F7" w14:textId="77777777" w:rsidTr="001E4807">
        <w:trPr>
          <w:trHeight w:val="300"/>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8D41EA"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2003</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6226925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305</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7CC8CF6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521</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3EC953F2"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-216</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CA6474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612</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20A2D6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657</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7B7C15B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-45</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259024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-261</w:t>
            </w:r>
          </w:p>
        </w:tc>
      </w:tr>
      <w:tr w:rsidR="00332B5B" w:rsidRPr="00157E40" w14:paraId="32EC5F0D" w14:textId="77777777" w:rsidTr="00157E40">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478FFA3E"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2004</w:t>
            </w:r>
          </w:p>
        </w:tc>
        <w:tc>
          <w:tcPr>
            <w:tcW w:w="1346" w:type="dxa"/>
            <w:tcBorders>
              <w:top w:val="nil"/>
              <w:left w:val="nil"/>
              <w:bottom w:val="single" w:sz="4" w:space="0" w:color="auto"/>
              <w:right w:val="single" w:sz="4" w:space="0" w:color="auto"/>
            </w:tcBorders>
            <w:shd w:val="clear" w:color="auto" w:fill="auto"/>
            <w:vAlign w:val="center"/>
            <w:hideMark/>
          </w:tcPr>
          <w:p w14:paraId="797FE81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321</w:t>
            </w:r>
          </w:p>
        </w:tc>
        <w:tc>
          <w:tcPr>
            <w:tcW w:w="865" w:type="dxa"/>
            <w:tcBorders>
              <w:top w:val="nil"/>
              <w:left w:val="nil"/>
              <w:bottom w:val="single" w:sz="4" w:space="0" w:color="auto"/>
              <w:right w:val="single" w:sz="4" w:space="0" w:color="auto"/>
            </w:tcBorders>
            <w:shd w:val="clear" w:color="auto" w:fill="auto"/>
            <w:vAlign w:val="center"/>
            <w:hideMark/>
          </w:tcPr>
          <w:p w14:paraId="3AF8F80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503</w:t>
            </w:r>
          </w:p>
        </w:tc>
        <w:tc>
          <w:tcPr>
            <w:tcW w:w="1143" w:type="dxa"/>
            <w:tcBorders>
              <w:top w:val="nil"/>
              <w:left w:val="nil"/>
              <w:bottom w:val="single" w:sz="4" w:space="0" w:color="auto"/>
              <w:right w:val="single" w:sz="4" w:space="0" w:color="auto"/>
            </w:tcBorders>
            <w:shd w:val="clear" w:color="auto" w:fill="auto"/>
            <w:vAlign w:val="center"/>
            <w:hideMark/>
          </w:tcPr>
          <w:p w14:paraId="7C500DA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-182</w:t>
            </w:r>
          </w:p>
        </w:tc>
        <w:tc>
          <w:tcPr>
            <w:tcW w:w="1270" w:type="dxa"/>
            <w:tcBorders>
              <w:top w:val="nil"/>
              <w:left w:val="nil"/>
              <w:bottom w:val="single" w:sz="4" w:space="0" w:color="auto"/>
              <w:right w:val="single" w:sz="4" w:space="0" w:color="auto"/>
            </w:tcBorders>
            <w:shd w:val="clear" w:color="auto" w:fill="auto"/>
            <w:vAlign w:val="center"/>
            <w:hideMark/>
          </w:tcPr>
          <w:p w14:paraId="26292CE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680</w:t>
            </w:r>
          </w:p>
        </w:tc>
        <w:tc>
          <w:tcPr>
            <w:tcW w:w="1270" w:type="dxa"/>
            <w:tcBorders>
              <w:top w:val="nil"/>
              <w:left w:val="nil"/>
              <w:bottom w:val="single" w:sz="4" w:space="0" w:color="auto"/>
              <w:right w:val="single" w:sz="4" w:space="0" w:color="auto"/>
            </w:tcBorders>
            <w:shd w:val="clear" w:color="auto" w:fill="auto"/>
            <w:vAlign w:val="center"/>
            <w:hideMark/>
          </w:tcPr>
          <w:p w14:paraId="14AC03A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760</w:t>
            </w:r>
          </w:p>
        </w:tc>
        <w:tc>
          <w:tcPr>
            <w:tcW w:w="1179" w:type="dxa"/>
            <w:tcBorders>
              <w:top w:val="nil"/>
              <w:left w:val="nil"/>
              <w:bottom w:val="single" w:sz="4" w:space="0" w:color="auto"/>
              <w:right w:val="single" w:sz="4" w:space="0" w:color="auto"/>
            </w:tcBorders>
            <w:shd w:val="clear" w:color="auto" w:fill="auto"/>
            <w:vAlign w:val="center"/>
            <w:hideMark/>
          </w:tcPr>
          <w:p w14:paraId="26156C9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-80</w:t>
            </w:r>
          </w:p>
        </w:tc>
        <w:tc>
          <w:tcPr>
            <w:tcW w:w="1058" w:type="dxa"/>
            <w:tcBorders>
              <w:top w:val="nil"/>
              <w:left w:val="nil"/>
              <w:bottom w:val="single" w:sz="4" w:space="0" w:color="auto"/>
              <w:right w:val="single" w:sz="4" w:space="0" w:color="auto"/>
            </w:tcBorders>
            <w:shd w:val="clear" w:color="auto" w:fill="auto"/>
            <w:vAlign w:val="center"/>
            <w:hideMark/>
          </w:tcPr>
          <w:p w14:paraId="1EF4DDC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-262</w:t>
            </w:r>
          </w:p>
        </w:tc>
      </w:tr>
      <w:tr w:rsidR="00332B5B" w:rsidRPr="00157E40" w14:paraId="1934E0E1" w14:textId="77777777" w:rsidTr="00157E40">
        <w:trPr>
          <w:trHeight w:val="300"/>
        </w:trPr>
        <w:tc>
          <w:tcPr>
            <w:tcW w:w="6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74E10"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lastRenderedPageBreak/>
              <w:t>2005</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004A9B9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314</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493F0F1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454</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1334055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-140</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DBE6E4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650</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D990A5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681</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132F353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519C8B1"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-171</w:t>
            </w:r>
          </w:p>
        </w:tc>
      </w:tr>
      <w:tr w:rsidR="00332B5B" w:rsidRPr="00157E40" w14:paraId="1316C59F"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1CA3E285"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2006</w:t>
            </w:r>
          </w:p>
        </w:tc>
        <w:tc>
          <w:tcPr>
            <w:tcW w:w="1346" w:type="dxa"/>
            <w:tcBorders>
              <w:top w:val="nil"/>
              <w:left w:val="nil"/>
              <w:bottom w:val="single" w:sz="4" w:space="0" w:color="auto"/>
              <w:right w:val="single" w:sz="4" w:space="0" w:color="auto"/>
            </w:tcBorders>
            <w:shd w:val="clear" w:color="auto" w:fill="auto"/>
            <w:vAlign w:val="center"/>
            <w:hideMark/>
          </w:tcPr>
          <w:p w14:paraId="5635C66E"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339</w:t>
            </w:r>
          </w:p>
        </w:tc>
        <w:tc>
          <w:tcPr>
            <w:tcW w:w="865" w:type="dxa"/>
            <w:tcBorders>
              <w:top w:val="nil"/>
              <w:left w:val="nil"/>
              <w:bottom w:val="single" w:sz="4" w:space="0" w:color="auto"/>
              <w:right w:val="single" w:sz="4" w:space="0" w:color="auto"/>
            </w:tcBorders>
            <w:shd w:val="clear" w:color="auto" w:fill="auto"/>
            <w:vAlign w:val="center"/>
            <w:hideMark/>
          </w:tcPr>
          <w:p w14:paraId="680A5A0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509</w:t>
            </w:r>
          </w:p>
        </w:tc>
        <w:tc>
          <w:tcPr>
            <w:tcW w:w="1143" w:type="dxa"/>
            <w:tcBorders>
              <w:top w:val="nil"/>
              <w:left w:val="nil"/>
              <w:bottom w:val="single" w:sz="4" w:space="0" w:color="auto"/>
              <w:right w:val="single" w:sz="4" w:space="0" w:color="auto"/>
            </w:tcBorders>
            <w:shd w:val="clear" w:color="auto" w:fill="auto"/>
            <w:vAlign w:val="center"/>
            <w:hideMark/>
          </w:tcPr>
          <w:p w14:paraId="702D9AB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-170</w:t>
            </w:r>
          </w:p>
        </w:tc>
        <w:tc>
          <w:tcPr>
            <w:tcW w:w="1270" w:type="dxa"/>
            <w:tcBorders>
              <w:top w:val="nil"/>
              <w:left w:val="nil"/>
              <w:bottom w:val="single" w:sz="4" w:space="0" w:color="auto"/>
              <w:right w:val="single" w:sz="4" w:space="0" w:color="auto"/>
            </w:tcBorders>
            <w:shd w:val="clear" w:color="auto" w:fill="auto"/>
            <w:vAlign w:val="center"/>
            <w:hideMark/>
          </w:tcPr>
          <w:p w14:paraId="2095FB5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653</w:t>
            </w:r>
          </w:p>
        </w:tc>
        <w:tc>
          <w:tcPr>
            <w:tcW w:w="1270" w:type="dxa"/>
            <w:tcBorders>
              <w:top w:val="nil"/>
              <w:left w:val="nil"/>
              <w:bottom w:val="single" w:sz="4" w:space="0" w:color="auto"/>
              <w:right w:val="single" w:sz="4" w:space="0" w:color="auto"/>
            </w:tcBorders>
            <w:shd w:val="clear" w:color="auto" w:fill="auto"/>
            <w:vAlign w:val="center"/>
            <w:hideMark/>
          </w:tcPr>
          <w:p w14:paraId="34D8C2F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711</w:t>
            </w:r>
          </w:p>
        </w:tc>
        <w:tc>
          <w:tcPr>
            <w:tcW w:w="1179" w:type="dxa"/>
            <w:tcBorders>
              <w:top w:val="nil"/>
              <w:left w:val="nil"/>
              <w:bottom w:val="single" w:sz="4" w:space="0" w:color="auto"/>
              <w:right w:val="single" w:sz="4" w:space="0" w:color="auto"/>
            </w:tcBorders>
            <w:shd w:val="clear" w:color="auto" w:fill="auto"/>
            <w:vAlign w:val="center"/>
            <w:hideMark/>
          </w:tcPr>
          <w:p w14:paraId="7ABCC06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-58</w:t>
            </w:r>
          </w:p>
        </w:tc>
        <w:tc>
          <w:tcPr>
            <w:tcW w:w="1058" w:type="dxa"/>
            <w:tcBorders>
              <w:top w:val="nil"/>
              <w:left w:val="nil"/>
              <w:bottom w:val="single" w:sz="4" w:space="0" w:color="auto"/>
              <w:right w:val="single" w:sz="4" w:space="0" w:color="auto"/>
            </w:tcBorders>
            <w:shd w:val="clear" w:color="auto" w:fill="auto"/>
            <w:vAlign w:val="center"/>
            <w:hideMark/>
          </w:tcPr>
          <w:p w14:paraId="362DB8C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-228</w:t>
            </w:r>
          </w:p>
        </w:tc>
      </w:tr>
      <w:tr w:rsidR="00332B5B" w:rsidRPr="00157E40" w14:paraId="1F03E0F1"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BA82CFE"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2007</w:t>
            </w:r>
          </w:p>
        </w:tc>
        <w:tc>
          <w:tcPr>
            <w:tcW w:w="1346" w:type="dxa"/>
            <w:tcBorders>
              <w:top w:val="nil"/>
              <w:left w:val="nil"/>
              <w:bottom w:val="single" w:sz="4" w:space="0" w:color="auto"/>
              <w:right w:val="single" w:sz="4" w:space="0" w:color="auto"/>
            </w:tcBorders>
            <w:shd w:val="clear" w:color="000000" w:fill="FFFFFF"/>
            <w:vAlign w:val="center"/>
            <w:hideMark/>
          </w:tcPr>
          <w:p w14:paraId="2DD2EA0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371</w:t>
            </w:r>
          </w:p>
        </w:tc>
        <w:tc>
          <w:tcPr>
            <w:tcW w:w="865" w:type="dxa"/>
            <w:tcBorders>
              <w:top w:val="nil"/>
              <w:left w:val="nil"/>
              <w:bottom w:val="single" w:sz="4" w:space="0" w:color="auto"/>
              <w:right w:val="single" w:sz="4" w:space="0" w:color="auto"/>
            </w:tcBorders>
            <w:shd w:val="clear" w:color="auto" w:fill="auto"/>
            <w:vAlign w:val="center"/>
            <w:hideMark/>
          </w:tcPr>
          <w:p w14:paraId="0F68318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562</w:t>
            </w:r>
          </w:p>
        </w:tc>
        <w:tc>
          <w:tcPr>
            <w:tcW w:w="1143" w:type="dxa"/>
            <w:tcBorders>
              <w:top w:val="nil"/>
              <w:left w:val="nil"/>
              <w:bottom w:val="single" w:sz="4" w:space="0" w:color="auto"/>
              <w:right w:val="single" w:sz="4" w:space="0" w:color="auto"/>
            </w:tcBorders>
            <w:shd w:val="clear" w:color="auto" w:fill="auto"/>
            <w:vAlign w:val="center"/>
            <w:hideMark/>
          </w:tcPr>
          <w:p w14:paraId="2B4204D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-191</w:t>
            </w:r>
          </w:p>
        </w:tc>
        <w:tc>
          <w:tcPr>
            <w:tcW w:w="1270" w:type="dxa"/>
            <w:tcBorders>
              <w:top w:val="nil"/>
              <w:left w:val="nil"/>
              <w:bottom w:val="single" w:sz="4" w:space="0" w:color="auto"/>
              <w:right w:val="single" w:sz="4" w:space="0" w:color="auto"/>
            </w:tcBorders>
            <w:shd w:val="clear" w:color="auto" w:fill="auto"/>
            <w:vAlign w:val="center"/>
            <w:hideMark/>
          </w:tcPr>
          <w:p w14:paraId="1EC0169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765</w:t>
            </w:r>
          </w:p>
        </w:tc>
        <w:tc>
          <w:tcPr>
            <w:tcW w:w="1270" w:type="dxa"/>
            <w:tcBorders>
              <w:top w:val="nil"/>
              <w:left w:val="nil"/>
              <w:bottom w:val="single" w:sz="4" w:space="0" w:color="auto"/>
              <w:right w:val="single" w:sz="4" w:space="0" w:color="auto"/>
            </w:tcBorders>
            <w:shd w:val="clear" w:color="auto" w:fill="auto"/>
            <w:vAlign w:val="center"/>
            <w:hideMark/>
          </w:tcPr>
          <w:p w14:paraId="4A2FE6C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814</w:t>
            </w:r>
          </w:p>
        </w:tc>
        <w:tc>
          <w:tcPr>
            <w:tcW w:w="1179" w:type="dxa"/>
            <w:tcBorders>
              <w:top w:val="nil"/>
              <w:left w:val="nil"/>
              <w:bottom w:val="single" w:sz="4" w:space="0" w:color="auto"/>
              <w:right w:val="single" w:sz="4" w:space="0" w:color="auto"/>
            </w:tcBorders>
            <w:shd w:val="clear" w:color="auto" w:fill="auto"/>
            <w:vAlign w:val="center"/>
            <w:hideMark/>
          </w:tcPr>
          <w:p w14:paraId="2AB4B85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-49</w:t>
            </w:r>
          </w:p>
        </w:tc>
        <w:tc>
          <w:tcPr>
            <w:tcW w:w="1058" w:type="dxa"/>
            <w:tcBorders>
              <w:top w:val="nil"/>
              <w:left w:val="nil"/>
              <w:bottom w:val="single" w:sz="4" w:space="0" w:color="auto"/>
              <w:right w:val="single" w:sz="4" w:space="0" w:color="auto"/>
            </w:tcBorders>
            <w:shd w:val="clear" w:color="auto" w:fill="auto"/>
            <w:vAlign w:val="center"/>
            <w:hideMark/>
          </w:tcPr>
          <w:p w14:paraId="72115C0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-240</w:t>
            </w:r>
          </w:p>
        </w:tc>
      </w:tr>
      <w:tr w:rsidR="00332B5B" w:rsidRPr="00157E40" w14:paraId="10533C6D"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72D94F25"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2008</w:t>
            </w:r>
          </w:p>
        </w:tc>
        <w:tc>
          <w:tcPr>
            <w:tcW w:w="1346" w:type="dxa"/>
            <w:tcBorders>
              <w:top w:val="nil"/>
              <w:left w:val="nil"/>
              <w:bottom w:val="single" w:sz="4" w:space="0" w:color="auto"/>
              <w:right w:val="single" w:sz="4" w:space="0" w:color="auto"/>
            </w:tcBorders>
            <w:shd w:val="clear" w:color="000000" w:fill="FFFFFF"/>
            <w:vAlign w:val="center"/>
            <w:hideMark/>
          </w:tcPr>
          <w:p w14:paraId="15BE373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376</w:t>
            </w:r>
          </w:p>
        </w:tc>
        <w:tc>
          <w:tcPr>
            <w:tcW w:w="865" w:type="dxa"/>
            <w:tcBorders>
              <w:top w:val="nil"/>
              <w:left w:val="nil"/>
              <w:bottom w:val="single" w:sz="4" w:space="0" w:color="auto"/>
              <w:right w:val="single" w:sz="4" w:space="0" w:color="auto"/>
            </w:tcBorders>
            <w:shd w:val="clear" w:color="auto" w:fill="auto"/>
            <w:vAlign w:val="center"/>
            <w:hideMark/>
          </w:tcPr>
          <w:p w14:paraId="3D597E6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535</w:t>
            </w:r>
          </w:p>
        </w:tc>
        <w:tc>
          <w:tcPr>
            <w:tcW w:w="1143" w:type="dxa"/>
            <w:tcBorders>
              <w:top w:val="nil"/>
              <w:left w:val="nil"/>
              <w:bottom w:val="single" w:sz="4" w:space="0" w:color="auto"/>
              <w:right w:val="single" w:sz="4" w:space="0" w:color="auto"/>
            </w:tcBorders>
            <w:shd w:val="clear" w:color="auto" w:fill="auto"/>
            <w:vAlign w:val="center"/>
            <w:hideMark/>
          </w:tcPr>
          <w:p w14:paraId="2D539A4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-159</w:t>
            </w:r>
          </w:p>
        </w:tc>
        <w:tc>
          <w:tcPr>
            <w:tcW w:w="1270" w:type="dxa"/>
            <w:tcBorders>
              <w:top w:val="nil"/>
              <w:left w:val="nil"/>
              <w:bottom w:val="single" w:sz="4" w:space="0" w:color="auto"/>
              <w:right w:val="single" w:sz="4" w:space="0" w:color="auto"/>
            </w:tcBorders>
            <w:shd w:val="clear" w:color="auto" w:fill="auto"/>
            <w:vAlign w:val="center"/>
            <w:hideMark/>
          </w:tcPr>
          <w:p w14:paraId="7B5158B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710</w:t>
            </w:r>
          </w:p>
        </w:tc>
        <w:tc>
          <w:tcPr>
            <w:tcW w:w="1270" w:type="dxa"/>
            <w:tcBorders>
              <w:top w:val="nil"/>
              <w:left w:val="nil"/>
              <w:bottom w:val="single" w:sz="4" w:space="0" w:color="auto"/>
              <w:right w:val="single" w:sz="4" w:space="0" w:color="auto"/>
            </w:tcBorders>
            <w:shd w:val="clear" w:color="auto" w:fill="auto"/>
            <w:vAlign w:val="center"/>
            <w:hideMark/>
          </w:tcPr>
          <w:p w14:paraId="7AC68CD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750</w:t>
            </w:r>
          </w:p>
        </w:tc>
        <w:tc>
          <w:tcPr>
            <w:tcW w:w="1179" w:type="dxa"/>
            <w:tcBorders>
              <w:top w:val="nil"/>
              <w:left w:val="nil"/>
              <w:bottom w:val="single" w:sz="4" w:space="0" w:color="auto"/>
              <w:right w:val="single" w:sz="4" w:space="0" w:color="auto"/>
            </w:tcBorders>
            <w:shd w:val="clear" w:color="auto" w:fill="auto"/>
            <w:vAlign w:val="center"/>
            <w:hideMark/>
          </w:tcPr>
          <w:p w14:paraId="2E17400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w:t>
            </w:r>
          </w:p>
        </w:tc>
        <w:tc>
          <w:tcPr>
            <w:tcW w:w="1058" w:type="dxa"/>
            <w:tcBorders>
              <w:top w:val="nil"/>
              <w:left w:val="nil"/>
              <w:bottom w:val="single" w:sz="4" w:space="0" w:color="auto"/>
              <w:right w:val="single" w:sz="4" w:space="0" w:color="auto"/>
            </w:tcBorders>
            <w:shd w:val="clear" w:color="auto" w:fill="auto"/>
            <w:vAlign w:val="center"/>
            <w:hideMark/>
          </w:tcPr>
          <w:p w14:paraId="4CFFE72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-199</w:t>
            </w:r>
          </w:p>
        </w:tc>
      </w:tr>
      <w:tr w:rsidR="00332B5B" w:rsidRPr="00157E40" w14:paraId="31089DD9"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441EE19"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2009</w:t>
            </w:r>
          </w:p>
        </w:tc>
        <w:tc>
          <w:tcPr>
            <w:tcW w:w="1346" w:type="dxa"/>
            <w:tcBorders>
              <w:top w:val="nil"/>
              <w:left w:val="nil"/>
              <w:bottom w:val="single" w:sz="4" w:space="0" w:color="auto"/>
              <w:right w:val="single" w:sz="4" w:space="0" w:color="auto"/>
            </w:tcBorders>
            <w:shd w:val="clear" w:color="000000" w:fill="FFFFFF"/>
            <w:vAlign w:val="center"/>
            <w:hideMark/>
          </w:tcPr>
          <w:p w14:paraId="50582061"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423</w:t>
            </w:r>
          </w:p>
        </w:tc>
        <w:tc>
          <w:tcPr>
            <w:tcW w:w="865" w:type="dxa"/>
            <w:tcBorders>
              <w:top w:val="nil"/>
              <w:left w:val="nil"/>
              <w:bottom w:val="single" w:sz="4" w:space="0" w:color="auto"/>
              <w:right w:val="single" w:sz="4" w:space="0" w:color="auto"/>
            </w:tcBorders>
            <w:shd w:val="clear" w:color="auto" w:fill="auto"/>
            <w:vAlign w:val="center"/>
            <w:hideMark/>
          </w:tcPr>
          <w:p w14:paraId="5FDF074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537</w:t>
            </w:r>
          </w:p>
        </w:tc>
        <w:tc>
          <w:tcPr>
            <w:tcW w:w="1143" w:type="dxa"/>
            <w:tcBorders>
              <w:top w:val="nil"/>
              <w:left w:val="nil"/>
              <w:bottom w:val="single" w:sz="4" w:space="0" w:color="auto"/>
              <w:right w:val="single" w:sz="4" w:space="0" w:color="auto"/>
            </w:tcBorders>
            <w:shd w:val="clear" w:color="auto" w:fill="auto"/>
            <w:vAlign w:val="center"/>
            <w:hideMark/>
          </w:tcPr>
          <w:p w14:paraId="0A26E0B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-114</w:t>
            </w:r>
          </w:p>
        </w:tc>
        <w:tc>
          <w:tcPr>
            <w:tcW w:w="1270" w:type="dxa"/>
            <w:tcBorders>
              <w:top w:val="nil"/>
              <w:left w:val="nil"/>
              <w:bottom w:val="single" w:sz="4" w:space="0" w:color="auto"/>
              <w:right w:val="single" w:sz="4" w:space="0" w:color="auto"/>
            </w:tcBorders>
            <w:shd w:val="clear" w:color="auto" w:fill="auto"/>
            <w:vAlign w:val="center"/>
            <w:hideMark/>
          </w:tcPr>
          <w:p w14:paraId="1086E57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620</w:t>
            </w:r>
          </w:p>
        </w:tc>
        <w:tc>
          <w:tcPr>
            <w:tcW w:w="1270" w:type="dxa"/>
            <w:tcBorders>
              <w:top w:val="nil"/>
              <w:left w:val="nil"/>
              <w:bottom w:val="single" w:sz="4" w:space="0" w:color="auto"/>
              <w:right w:val="single" w:sz="4" w:space="0" w:color="auto"/>
            </w:tcBorders>
            <w:shd w:val="clear" w:color="auto" w:fill="auto"/>
            <w:vAlign w:val="center"/>
            <w:hideMark/>
          </w:tcPr>
          <w:p w14:paraId="221D765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667</w:t>
            </w:r>
          </w:p>
        </w:tc>
        <w:tc>
          <w:tcPr>
            <w:tcW w:w="1179" w:type="dxa"/>
            <w:tcBorders>
              <w:top w:val="nil"/>
              <w:left w:val="nil"/>
              <w:bottom w:val="single" w:sz="4" w:space="0" w:color="auto"/>
              <w:right w:val="single" w:sz="4" w:space="0" w:color="auto"/>
            </w:tcBorders>
            <w:shd w:val="clear" w:color="auto" w:fill="auto"/>
            <w:vAlign w:val="center"/>
            <w:hideMark/>
          </w:tcPr>
          <w:p w14:paraId="5F51FAB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-47</w:t>
            </w:r>
          </w:p>
        </w:tc>
        <w:tc>
          <w:tcPr>
            <w:tcW w:w="1058" w:type="dxa"/>
            <w:tcBorders>
              <w:top w:val="nil"/>
              <w:left w:val="nil"/>
              <w:bottom w:val="single" w:sz="4" w:space="0" w:color="auto"/>
              <w:right w:val="single" w:sz="4" w:space="0" w:color="auto"/>
            </w:tcBorders>
            <w:shd w:val="clear" w:color="auto" w:fill="auto"/>
            <w:vAlign w:val="center"/>
            <w:hideMark/>
          </w:tcPr>
          <w:p w14:paraId="670B2147"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-161</w:t>
            </w:r>
          </w:p>
        </w:tc>
      </w:tr>
      <w:tr w:rsidR="00332B5B" w:rsidRPr="00157E40" w14:paraId="4E11CD38"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329C6DBE"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2010</w:t>
            </w:r>
          </w:p>
        </w:tc>
        <w:tc>
          <w:tcPr>
            <w:tcW w:w="1346" w:type="dxa"/>
            <w:tcBorders>
              <w:top w:val="nil"/>
              <w:left w:val="nil"/>
              <w:bottom w:val="single" w:sz="4" w:space="0" w:color="auto"/>
              <w:right w:val="single" w:sz="4" w:space="0" w:color="auto"/>
            </w:tcBorders>
            <w:shd w:val="clear" w:color="000000" w:fill="FFFFFF"/>
            <w:vAlign w:val="center"/>
            <w:hideMark/>
          </w:tcPr>
          <w:p w14:paraId="362AD8A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407</w:t>
            </w:r>
          </w:p>
        </w:tc>
        <w:tc>
          <w:tcPr>
            <w:tcW w:w="865" w:type="dxa"/>
            <w:tcBorders>
              <w:top w:val="nil"/>
              <w:left w:val="nil"/>
              <w:bottom w:val="single" w:sz="4" w:space="0" w:color="auto"/>
              <w:right w:val="single" w:sz="4" w:space="0" w:color="auto"/>
            </w:tcBorders>
            <w:shd w:val="clear" w:color="auto" w:fill="auto"/>
            <w:vAlign w:val="center"/>
            <w:hideMark/>
          </w:tcPr>
          <w:p w14:paraId="24C77011"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473</w:t>
            </w:r>
          </w:p>
        </w:tc>
        <w:tc>
          <w:tcPr>
            <w:tcW w:w="1143" w:type="dxa"/>
            <w:tcBorders>
              <w:top w:val="nil"/>
              <w:left w:val="nil"/>
              <w:bottom w:val="single" w:sz="4" w:space="0" w:color="auto"/>
              <w:right w:val="single" w:sz="4" w:space="0" w:color="auto"/>
            </w:tcBorders>
            <w:shd w:val="clear" w:color="auto" w:fill="auto"/>
            <w:vAlign w:val="center"/>
            <w:hideMark/>
          </w:tcPr>
          <w:p w14:paraId="1223026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-66</w:t>
            </w:r>
          </w:p>
        </w:tc>
        <w:tc>
          <w:tcPr>
            <w:tcW w:w="1270" w:type="dxa"/>
            <w:tcBorders>
              <w:top w:val="nil"/>
              <w:left w:val="nil"/>
              <w:bottom w:val="single" w:sz="4" w:space="0" w:color="auto"/>
              <w:right w:val="single" w:sz="4" w:space="0" w:color="auto"/>
            </w:tcBorders>
            <w:shd w:val="clear" w:color="auto" w:fill="auto"/>
            <w:vAlign w:val="center"/>
            <w:hideMark/>
          </w:tcPr>
          <w:p w14:paraId="641F4B02"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603</w:t>
            </w:r>
          </w:p>
        </w:tc>
        <w:tc>
          <w:tcPr>
            <w:tcW w:w="1270" w:type="dxa"/>
            <w:tcBorders>
              <w:top w:val="nil"/>
              <w:left w:val="nil"/>
              <w:bottom w:val="single" w:sz="4" w:space="0" w:color="auto"/>
              <w:right w:val="single" w:sz="4" w:space="0" w:color="auto"/>
            </w:tcBorders>
            <w:shd w:val="clear" w:color="auto" w:fill="auto"/>
            <w:vAlign w:val="center"/>
            <w:hideMark/>
          </w:tcPr>
          <w:p w14:paraId="1F8D6AA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726</w:t>
            </w:r>
          </w:p>
        </w:tc>
        <w:tc>
          <w:tcPr>
            <w:tcW w:w="1179" w:type="dxa"/>
            <w:tcBorders>
              <w:top w:val="nil"/>
              <w:left w:val="nil"/>
              <w:bottom w:val="single" w:sz="4" w:space="0" w:color="auto"/>
              <w:right w:val="single" w:sz="4" w:space="0" w:color="auto"/>
            </w:tcBorders>
            <w:shd w:val="clear" w:color="auto" w:fill="auto"/>
            <w:vAlign w:val="center"/>
            <w:hideMark/>
          </w:tcPr>
          <w:p w14:paraId="0F41B48F"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-123</w:t>
            </w:r>
          </w:p>
        </w:tc>
        <w:tc>
          <w:tcPr>
            <w:tcW w:w="1058" w:type="dxa"/>
            <w:tcBorders>
              <w:top w:val="nil"/>
              <w:left w:val="nil"/>
              <w:bottom w:val="single" w:sz="4" w:space="0" w:color="auto"/>
              <w:right w:val="single" w:sz="4" w:space="0" w:color="auto"/>
            </w:tcBorders>
            <w:shd w:val="clear" w:color="auto" w:fill="auto"/>
            <w:vAlign w:val="center"/>
            <w:hideMark/>
          </w:tcPr>
          <w:p w14:paraId="66B8794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-189</w:t>
            </w:r>
          </w:p>
        </w:tc>
      </w:tr>
      <w:tr w:rsidR="00332B5B" w:rsidRPr="00157E40" w14:paraId="42986B75"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1BFAC62C"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2011</w:t>
            </w:r>
          </w:p>
        </w:tc>
        <w:tc>
          <w:tcPr>
            <w:tcW w:w="1346" w:type="dxa"/>
            <w:tcBorders>
              <w:top w:val="nil"/>
              <w:left w:val="nil"/>
              <w:bottom w:val="single" w:sz="4" w:space="0" w:color="auto"/>
              <w:right w:val="single" w:sz="4" w:space="0" w:color="auto"/>
            </w:tcBorders>
            <w:shd w:val="clear" w:color="000000" w:fill="FFFFFF"/>
            <w:vAlign w:val="center"/>
            <w:hideMark/>
          </w:tcPr>
          <w:p w14:paraId="7E913DE1"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389</w:t>
            </w:r>
          </w:p>
        </w:tc>
        <w:tc>
          <w:tcPr>
            <w:tcW w:w="865" w:type="dxa"/>
            <w:tcBorders>
              <w:top w:val="nil"/>
              <w:left w:val="nil"/>
              <w:bottom w:val="single" w:sz="4" w:space="0" w:color="auto"/>
              <w:right w:val="single" w:sz="4" w:space="0" w:color="auto"/>
            </w:tcBorders>
            <w:shd w:val="clear" w:color="auto" w:fill="auto"/>
            <w:vAlign w:val="center"/>
            <w:hideMark/>
          </w:tcPr>
          <w:p w14:paraId="24FFCDE9"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485</w:t>
            </w:r>
          </w:p>
        </w:tc>
        <w:tc>
          <w:tcPr>
            <w:tcW w:w="1143" w:type="dxa"/>
            <w:tcBorders>
              <w:top w:val="nil"/>
              <w:left w:val="nil"/>
              <w:bottom w:val="single" w:sz="4" w:space="0" w:color="auto"/>
              <w:right w:val="single" w:sz="4" w:space="0" w:color="auto"/>
            </w:tcBorders>
            <w:shd w:val="clear" w:color="auto" w:fill="auto"/>
            <w:vAlign w:val="center"/>
            <w:hideMark/>
          </w:tcPr>
          <w:p w14:paraId="048B3026"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-96</w:t>
            </w:r>
          </w:p>
        </w:tc>
        <w:tc>
          <w:tcPr>
            <w:tcW w:w="1270" w:type="dxa"/>
            <w:tcBorders>
              <w:top w:val="nil"/>
              <w:left w:val="nil"/>
              <w:bottom w:val="single" w:sz="4" w:space="0" w:color="auto"/>
              <w:right w:val="single" w:sz="4" w:space="0" w:color="auto"/>
            </w:tcBorders>
            <w:shd w:val="clear" w:color="auto" w:fill="auto"/>
            <w:vAlign w:val="center"/>
            <w:hideMark/>
          </w:tcPr>
          <w:p w14:paraId="6AC2E6B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583</w:t>
            </w:r>
          </w:p>
        </w:tc>
        <w:tc>
          <w:tcPr>
            <w:tcW w:w="1270" w:type="dxa"/>
            <w:tcBorders>
              <w:top w:val="nil"/>
              <w:left w:val="nil"/>
              <w:bottom w:val="single" w:sz="4" w:space="0" w:color="auto"/>
              <w:right w:val="single" w:sz="4" w:space="0" w:color="auto"/>
            </w:tcBorders>
            <w:shd w:val="clear" w:color="auto" w:fill="auto"/>
            <w:vAlign w:val="center"/>
            <w:hideMark/>
          </w:tcPr>
          <w:p w14:paraId="521ABEB2"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758</w:t>
            </w:r>
          </w:p>
        </w:tc>
        <w:tc>
          <w:tcPr>
            <w:tcW w:w="1179" w:type="dxa"/>
            <w:tcBorders>
              <w:top w:val="nil"/>
              <w:left w:val="nil"/>
              <w:bottom w:val="single" w:sz="4" w:space="0" w:color="auto"/>
              <w:right w:val="single" w:sz="4" w:space="0" w:color="auto"/>
            </w:tcBorders>
            <w:shd w:val="clear" w:color="auto" w:fill="auto"/>
            <w:vAlign w:val="center"/>
            <w:hideMark/>
          </w:tcPr>
          <w:p w14:paraId="67128AE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-175</w:t>
            </w:r>
          </w:p>
        </w:tc>
        <w:tc>
          <w:tcPr>
            <w:tcW w:w="1058" w:type="dxa"/>
            <w:tcBorders>
              <w:top w:val="nil"/>
              <w:left w:val="nil"/>
              <w:bottom w:val="single" w:sz="4" w:space="0" w:color="auto"/>
              <w:right w:val="single" w:sz="4" w:space="0" w:color="auto"/>
            </w:tcBorders>
            <w:shd w:val="clear" w:color="auto" w:fill="auto"/>
            <w:vAlign w:val="center"/>
            <w:hideMark/>
          </w:tcPr>
          <w:p w14:paraId="4D68A54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-271</w:t>
            </w:r>
          </w:p>
        </w:tc>
      </w:tr>
      <w:tr w:rsidR="00332B5B" w:rsidRPr="00157E40" w14:paraId="2BB727CC"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6C5F2DDC"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2012</w:t>
            </w:r>
          </w:p>
        </w:tc>
        <w:tc>
          <w:tcPr>
            <w:tcW w:w="1346" w:type="dxa"/>
            <w:tcBorders>
              <w:top w:val="nil"/>
              <w:left w:val="nil"/>
              <w:bottom w:val="single" w:sz="4" w:space="0" w:color="auto"/>
              <w:right w:val="single" w:sz="4" w:space="0" w:color="auto"/>
            </w:tcBorders>
            <w:shd w:val="clear" w:color="000000" w:fill="FFFFFF"/>
            <w:vAlign w:val="center"/>
            <w:hideMark/>
          </w:tcPr>
          <w:p w14:paraId="1A6F404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389</w:t>
            </w:r>
          </w:p>
        </w:tc>
        <w:tc>
          <w:tcPr>
            <w:tcW w:w="865" w:type="dxa"/>
            <w:tcBorders>
              <w:top w:val="nil"/>
              <w:left w:val="nil"/>
              <w:bottom w:val="single" w:sz="4" w:space="0" w:color="auto"/>
              <w:right w:val="single" w:sz="4" w:space="0" w:color="auto"/>
            </w:tcBorders>
            <w:shd w:val="clear" w:color="auto" w:fill="auto"/>
            <w:vAlign w:val="center"/>
            <w:hideMark/>
          </w:tcPr>
          <w:p w14:paraId="3901478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518</w:t>
            </w:r>
          </w:p>
        </w:tc>
        <w:tc>
          <w:tcPr>
            <w:tcW w:w="1143" w:type="dxa"/>
            <w:tcBorders>
              <w:top w:val="nil"/>
              <w:left w:val="nil"/>
              <w:bottom w:val="single" w:sz="4" w:space="0" w:color="auto"/>
              <w:right w:val="single" w:sz="4" w:space="0" w:color="auto"/>
            </w:tcBorders>
            <w:shd w:val="clear" w:color="auto" w:fill="auto"/>
            <w:vAlign w:val="center"/>
            <w:hideMark/>
          </w:tcPr>
          <w:p w14:paraId="01228D5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-129</w:t>
            </w:r>
          </w:p>
        </w:tc>
        <w:tc>
          <w:tcPr>
            <w:tcW w:w="1270" w:type="dxa"/>
            <w:tcBorders>
              <w:top w:val="nil"/>
              <w:left w:val="nil"/>
              <w:bottom w:val="single" w:sz="4" w:space="0" w:color="auto"/>
              <w:right w:val="single" w:sz="4" w:space="0" w:color="auto"/>
            </w:tcBorders>
            <w:shd w:val="clear" w:color="auto" w:fill="auto"/>
            <w:vAlign w:val="center"/>
            <w:hideMark/>
          </w:tcPr>
          <w:p w14:paraId="2595276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595</w:t>
            </w:r>
          </w:p>
        </w:tc>
        <w:tc>
          <w:tcPr>
            <w:tcW w:w="1270" w:type="dxa"/>
            <w:tcBorders>
              <w:top w:val="nil"/>
              <w:left w:val="nil"/>
              <w:bottom w:val="single" w:sz="4" w:space="0" w:color="auto"/>
              <w:right w:val="single" w:sz="4" w:space="0" w:color="auto"/>
            </w:tcBorders>
            <w:shd w:val="clear" w:color="auto" w:fill="auto"/>
            <w:vAlign w:val="center"/>
            <w:hideMark/>
          </w:tcPr>
          <w:p w14:paraId="6614C034"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645</w:t>
            </w:r>
          </w:p>
        </w:tc>
        <w:tc>
          <w:tcPr>
            <w:tcW w:w="1179" w:type="dxa"/>
            <w:tcBorders>
              <w:top w:val="nil"/>
              <w:left w:val="nil"/>
              <w:bottom w:val="single" w:sz="4" w:space="0" w:color="auto"/>
              <w:right w:val="single" w:sz="4" w:space="0" w:color="auto"/>
            </w:tcBorders>
            <w:shd w:val="clear" w:color="auto" w:fill="auto"/>
            <w:vAlign w:val="center"/>
            <w:hideMark/>
          </w:tcPr>
          <w:p w14:paraId="451E7BE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-50</w:t>
            </w:r>
          </w:p>
        </w:tc>
        <w:tc>
          <w:tcPr>
            <w:tcW w:w="1058" w:type="dxa"/>
            <w:tcBorders>
              <w:top w:val="nil"/>
              <w:left w:val="nil"/>
              <w:bottom w:val="single" w:sz="4" w:space="0" w:color="auto"/>
              <w:right w:val="single" w:sz="4" w:space="0" w:color="auto"/>
            </w:tcBorders>
            <w:shd w:val="clear" w:color="auto" w:fill="auto"/>
            <w:vAlign w:val="center"/>
            <w:hideMark/>
          </w:tcPr>
          <w:p w14:paraId="3D84D39E"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-179</w:t>
            </w:r>
          </w:p>
        </w:tc>
      </w:tr>
      <w:tr w:rsidR="00332B5B" w:rsidRPr="00157E40" w14:paraId="6BD2D977"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2C7E76F5"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2013</w:t>
            </w:r>
          </w:p>
        </w:tc>
        <w:tc>
          <w:tcPr>
            <w:tcW w:w="1346" w:type="dxa"/>
            <w:tcBorders>
              <w:top w:val="nil"/>
              <w:left w:val="nil"/>
              <w:bottom w:val="single" w:sz="4" w:space="0" w:color="auto"/>
              <w:right w:val="single" w:sz="4" w:space="0" w:color="auto"/>
            </w:tcBorders>
            <w:shd w:val="clear" w:color="000000" w:fill="FFFFFF"/>
            <w:vAlign w:val="center"/>
            <w:hideMark/>
          </w:tcPr>
          <w:p w14:paraId="0AA6512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406</w:t>
            </w:r>
          </w:p>
        </w:tc>
        <w:tc>
          <w:tcPr>
            <w:tcW w:w="865" w:type="dxa"/>
            <w:tcBorders>
              <w:top w:val="nil"/>
              <w:left w:val="nil"/>
              <w:bottom w:val="single" w:sz="4" w:space="0" w:color="auto"/>
              <w:right w:val="single" w:sz="4" w:space="0" w:color="auto"/>
            </w:tcBorders>
            <w:shd w:val="clear" w:color="auto" w:fill="auto"/>
            <w:vAlign w:val="center"/>
            <w:hideMark/>
          </w:tcPr>
          <w:p w14:paraId="2984D95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498</w:t>
            </w:r>
          </w:p>
        </w:tc>
        <w:tc>
          <w:tcPr>
            <w:tcW w:w="1143" w:type="dxa"/>
            <w:tcBorders>
              <w:top w:val="nil"/>
              <w:left w:val="nil"/>
              <w:bottom w:val="single" w:sz="4" w:space="0" w:color="auto"/>
              <w:right w:val="single" w:sz="4" w:space="0" w:color="auto"/>
            </w:tcBorders>
            <w:shd w:val="clear" w:color="auto" w:fill="auto"/>
            <w:vAlign w:val="center"/>
            <w:hideMark/>
          </w:tcPr>
          <w:p w14:paraId="68933FC3"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-92</w:t>
            </w:r>
          </w:p>
        </w:tc>
        <w:tc>
          <w:tcPr>
            <w:tcW w:w="1270" w:type="dxa"/>
            <w:tcBorders>
              <w:top w:val="nil"/>
              <w:left w:val="nil"/>
              <w:bottom w:val="single" w:sz="4" w:space="0" w:color="auto"/>
              <w:right w:val="single" w:sz="4" w:space="0" w:color="auto"/>
            </w:tcBorders>
            <w:shd w:val="clear" w:color="auto" w:fill="auto"/>
            <w:vAlign w:val="center"/>
            <w:hideMark/>
          </w:tcPr>
          <w:p w14:paraId="7402158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547</w:t>
            </w:r>
          </w:p>
        </w:tc>
        <w:tc>
          <w:tcPr>
            <w:tcW w:w="1270" w:type="dxa"/>
            <w:tcBorders>
              <w:top w:val="nil"/>
              <w:left w:val="nil"/>
              <w:bottom w:val="single" w:sz="4" w:space="0" w:color="auto"/>
              <w:right w:val="single" w:sz="4" w:space="0" w:color="auto"/>
            </w:tcBorders>
            <w:shd w:val="clear" w:color="auto" w:fill="auto"/>
            <w:vAlign w:val="center"/>
            <w:hideMark/>
          </w:tcPr>
          <w:p w14:paraId="0F008EE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671</w:t>
            </w:r>
          </w:p>
        </w:tc>
        <w:tc>
          <w:tcPr>
            <w:tcW w:w="1179" w:type="dxa"/>
            <w:tcBorders>
              <w:top w:val="nil"/>
              <w:left w:val="nil"/>
              <w:bottom w:val="single" w:sz="4" w:space="0" w:color="auto"/>
              <w:right w:val="single" w:sz="4" w:space="0" w:color="auto"/>
            </w:tcBorders>
            <w:shd w:val="clear" w:color="auto" w:fill="auto"/>
            <w:vAlign w:val="center"/>
            <w:hideMark/>
          </w:tcPr>
          <w:p w14:paraId="2377B41A"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-124</w:t>
            </w:r>
          </w:p>
        </w:tc>
        <w:tc>
          <w:tcPr>
            <w:tcW w:w="1058" w:type="dxa"/>
            <w:tcBorders>
              <w:top w:val="nil"/>
              <w:left w:val="nil"/>
              <w:bottom w:val="single" w:sz="4" w:space="0" w:color="auto"/>
              <w:right w:val="single" w:sz="4" w:space="0" w:color="auto"/>
            </w:tcBorders>
            <w:shd w:val="clear" w:color="auto" w:fill="auto"/>
            <w:vAlign w:val="center"/>
            <w:hideMark/>
          </w:tcPr>
          <w:p w14:paraId="4244FE0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-216</w:t>
            </w:r>
          </w:p>
        </w:tc>
      </w:tr>
      <w:tr w:rsidR="00332B5B" w:rsidRPr="00157E40" w14:paraId="332542BA" w14:textId="77777777" w:rsidTr="00332B5B">
        <w:trPr>
          <w:trHeight w:val="300"/>
        </w:trPr>
        <w:tc>
          <w:tcPr>
            <w:tcW w:w="689" w:type="dxa"/>
            <w:tcBorders>
              <w:top w:val="nil"/>
              <w:left w:val="single" w:sz="4" w:space="0" w:color="auto"/>
              <w:bottom w:val="single" w:sz="4" w:space="0" w:color="auto"/>
              <w:right w:val="single" w:sz="4" w:space="0" w:color="auto"/>
            </w:tcBorders>
            <w:shd w:val="clear" w:color="000000" w:fill="FFFFFF"/>
            <w:vAlign w:val="center"/>
            <w:hideMark/>
          </w:tcPr>
          <w:p w14:paraId="12ED9289" w14:textId="77777777" w:rsidR="00332B5B" w:rsidRPr="00157E40" w:rsidRDefault="00332B5B" w:rsidP="00332B5B">
            <w:pPr>
              <w:spacing w:after="0" w:line="240" w:lineRule="auto"/>
              <w:jc w:val="center"/>
              <w:rPr>
                <w:rFonts w:ascii="Times New Roman" w:eastAsia="Times New Roman" w:hAnsi="Times New Roman" w:cs="Times New Roman"/>
                <w:b/>
                <w:bCs/>
                <w:color w:val="000000"/>
                <w:sz w:val="20"/>
                <w:szCs w:val="20"/>
                <w:lang w:eastAsia="sk-SK"/>
              </w:rPr>
            </w:pPr>
            <w:r w:rsidRPr="00157E40">
              <w:rPr>
                <w:rFonts w:ascii="Times New Roman" w:eastAsia="Times New Roman" w:hAnsi="Times New Roman" w:cs="Times New Roman"/>
                <w:b/>
                <w:bCs/>
                <w:color w:val="000000"/>
                <w:sz w:val="20"/>
                <w:szCs w:val="20"/>
                <w:lang w:eastAsia="sk-SK"/>
              </w:rPr>
              <w:t>2014</w:t>
            </w:r>
          </w:p>
        </w:tc>
        <w:tc>
          <w:tcPr>
            <w:tcW w:w="1346" w:type="dxa"/>
            <w:tcBorders>
              <w:top w:val="nil"/>
              <w:left w:val="nil"/>
              <w:bottom w:val="single" w:sz="4" w:space="0" w:color="auto"/>
              <w:right w:val="single" w:sz="4" w:space="0" w:color="auto"/>
            </w:tcBorders>
            <w:shd w:val="clear" w:color="000000" w:fill="FFFFFF"/>
            <w:vAlign w:val="center"/>
            <w:hideMark/>
          </w:tcPr>
          <w:p w14:paraId="3F1B3F4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351</w:t>
            </w:r>
          </w:p>
        </w:tc>
        <w:tc>
          <w:tcPr>
            <w:tcW w:w="865" w:type="dxa"/>
            <w:tcBorders>
              <w:top w:val="nil"/>
              <w:left w:val="nil"/>
              <w:bottom w:val="single" w:sz="4" w:space="0" w:color="auto"/>
              <w:right w:val="single" w:sz="4" w:space="0" w:color="auto"/>
            </w:tcBorders>
            <w:shd w:val="clear" w:color="auto" w:fill="auto"/>
            <w:vAlign w:val="center"/>
            <w:hideMark/>
          </w:tcPr>
          <w:p w14:paraId="13565DE8"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457</w:t>
            </w:r>
          </w:p>
        </w:tc>
        <w:tc>
          <w:tcPr>
            <w:tcW w:w="1143" w:type="dxa"/>
            <w:tcBorders>
              <w:top w:val="nil"/>
              <w:left w:val="nil"/>
              <w:bottom w:val="single" w:sz="4" w:space="0" w:color="auto"/>
              <w:right w:val="single" w:sz="4" w:space="0" w:color="auto"/>
            </w:tcBorders>
            <w:shd w:val="clear" w:color="auto" w:fill="auto"/>
            <w:vAlign w:val="center"/>
            <w:hideMark/>
          </w:tcPr>
          <w:p w14:paraId="735D5715"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-106</w:t>
            </w:r>
          </w:p>
        </w:tc>
        <w:tc>
          <w:tcPr>
            <w:tcW w:w="1270" w:type="dxa"/>
            <w:tcBorders>
              <w:top w:val="nil"/>
              <w:left w:val="nil"/>
              <w:bottom w:val="single" w:sz="4" w:space="0" w:color="auto"/>
              <w:right w:val="single" w:sz="4" w:space="0" w:color="auto"/>
            </w:tcBorders>
            <w:shd w:val="clear" w:color="auto" w:fill="auto"/>
            <w:vAlign w:val="center"/>
            <w:hideMark/>
          </w:tcPr>
          <w:p w14:paraId="5EE2BD9C"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656</w:t>
            </w:r>
          </w:p>
        </w:tc>
        <w:tc>
          <w:tcPr>
            <w:tcW w:w="1270" w:type="dxa"/>
            <w:tcBorders>
              <w:top w:val="nil"/>
              <w:left w:val="nil"/>
              <w:bottom w:val="single" w:sz="4" w:space="0" w:color="auto"/>
              <w:right w:val="single" w:sz="4" w:space="0" w:color="auto"/>
            </w:tcBorders>
            <w:shd w:val="clear" w:color="auto" w:fill="auto"/>
            <w:vAlign w:val="center"/>
            <w:hideMark/>
          </w:tcPr>
          <w:p w14:paraId="3B90E29D"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760</w:t>
            </w:r>
          </w:p>
        </w:tc>
        <w:tc>
          <w:tcPr>
            <w:tcW w:w="1179" w:type="dxa"/>
            <w:tcBorders>
              <w:top w:val="nil"/>
              <w:left w:val="nil"/>
              <w:bottom w:val="single" w:sz="4" w:space="0" w:color="auto"/>
              <w:right w:val="single" w:sz="4" w:space="0" w:color="auto"/>
            </w:tcBorders>
            <w:shd w:val="clear" w:color="auto" w:fill="auto"/>
            <w:vAlign w:val="center"/>
            <w:hideMark/>
          </w:tcPr>
          <w:p w14:paraId="40526BD0"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-104</w:t>
            </w:r>
          </w:p>
        </w:tc>
        <w:tc>
          <w:tcPr>
            <w:tcW w:w="1058" w:type="dxa"/>
            <w:tcBorders>
              <w:top w:val="nil"/>
              <w:left w:val="nil"/>
              <w:bottom w:val="single" w:sz="4" w:space="0" w:color="auto"/>
              <w:right w:val="single" w:sz="4" w:space="0" w:color="auto"/>
            </w:tcBorders>
            <w:shd w:val="clear" w:color="auto" w:fill="auto"/>
            <w:vAlign w:val="center"/>
            <w:hideMark/>
          </w:tcPr>
          <w:p w14:paraId="34FEEF0B" w14:textId="77777777" w:rsidR="00332B5B" w:rsidRPr="00157E40" w:rsidRDefault="00332B5B" w:rsidP="00332B5B">
            <w:pPr>
              <w:spacing w:after="0" w:line="240" w:lineRule="auto"/>
              <w:jc w:val="center"/>
              <w:rPr>
                <w:rFonts w:ascii="Times New Roman" w:eastAsia="Times New Roman" w:hAnsi="Times New Roman" w:cs="Times New Roman"/>
                <w:color w:val="000000"/>
                <w:sz w:val="20"/>
                <w:szCs w:val="20"/>
                <w:lang w:eastAsia="sk-SK"/>
              </w:rPr>
            </w:pPr>
            <w:r w:rsidRPr="00157E40">
              <w:rPr>
                <w:rFonts w:ascii="Times New Roman" w:eastAsia="Times New Roman" w:hAnsi="Times New Roman" w:cs="Times New Roman"/>
                <w:color w:val="000000"/>
                <w:sz w:val="20"/>
                <w:szCs w:val="20"/>
                <w:lang w:eastAsia="sk-SK"/>
              </w:rPr>
              <w:t>-210</w:t>
            </w:r>
          </w:p>
        </w:tc>
      </w:tr>
    </w:tbl>
    <w:p w14:paraId="377DA938" w14:textId="77777777" w:rsidR="00157E40" w:rsidRDefault="00157E40" w:rsidP="00157E40">
      <w:pPr>
        <w:spacing w:after="0" w:line="360" w:lineRule="auto"/>
        <w:rPr>
          <w:rFonts w:ascii="Times New Roman" w:hAnsi="Times New Roman" w:cs="Times New Roman"/>
          <w:b/>
          <w:sz w:val="20"/>
          <w:szCs w:val="20"/>
        </w:rPr>
      </w:pPr>
    </w:p>
    <w:p w14:paraId="6AD1A667" w14:textId="77777777" w:rsidR="00332B5B" w:rsidRPr="00EE3313" w:rsidRDefault="00E225CE" w:rsidP="00157E40">
      <w:pPr>
        <w:spacing w:after="0" w:line="360" w:lineRule="auto"/>
        <w:rPr>
          <w:rFonts w:ascii="Times New Roman" w:hAnsi="Times New Roman" w:cs="Times New Roman"/>
          <w:b/>
          <w:sz w:val="20"/>
          <w:szCs w:val="20"/>
        </w:rPr>
      </w:pPr>
      <w:r w:rsidRPr="00EE3313">
        <w:rPr>
          <w:rFonts w:ascii="Times New Roman" w:hAnsi="Times New Roman" w:cs="Times New Roman"/>
          <w:b/>
          <w:sz w:val="20"/>
          <w:szCs w:val="20"/>
        </w:rPr>
        <w:t xml:space="preserve">Graf </w:t>
      </w:r>
      <w:r w:rsidR="00332B5B" w:rsidRPr="00EE3313">
        <w:rPr>
          <w:rFonts w:ascii="Times New Roman" w:hAnsi="Times New Roman" w:cs="Times New Roman"/>
          <w:b/>
          <w:sz w:val="20"/>
          <w:szCs w:val="20"/>
        </w:rPr>
        <w:t>3.1.5</w:t>
      </w:r>
      <w:r w:rsidRPr="00EE3313">
        <w:rPr>
          <w:rFonts w:ascii="Times New Roman" w:hAnsi="Times New Roman" w:cs="Times New Roman"/>
          <w:b/>
          <w:sz w:val="20"/>
          <w:szCs w:val="20"/>
        </w:rPr>
        <w:t xml:space="preserve"> Vývoj pohybu obyvateľstva v Kopaničiarskom regióne za roky 1996-20</w:t>
      </w:r>
      <w:r w:rsidR="00332B5B" w:rsidRPr="00EE3313">
        <w:rPr>
          <w:rFonts w:ascii="Times New Roman" w:hAnsi="Times New Roman" w:cs="Times New Roman"/>
          <w:b/>
          <w:sz w:val="20"/>
          <w:szCs w:val="20"/>
        </w:rPr>
        <w:t>14</w:t>
      </w:r>
    </w:p>
    <w:p w14:paraId="07E9AE30" w14:textId="77777777" w:rsidR="00E225CE" w:rsidRPr="00332B5B" w:rsidRDefault="00362E8C" w:rsidP="00157E40">
      <w:pPr>
        <w:spacing w:after="0" w:line="360" w:lineRule="auto"/>
        <w:rPr>
          <w:rFonts w:ascii="Times New Roman" w:hAnsi="Times New Roman" w:cs="Times New Roman"/>
          <w:b/>
          <w:sz w:val="24"/>
          <w:szCs w:val="24"/>
        </w:rPr>
      </w:pPr>
      <w:r>
        <w:rPr>
          <w:noProof/>
          <w:lang w:eastAsia="sk-SK"/>
        </w:rPr>
        <w:drawing>
          <wp:inline distT="0" distB="0" distL="0" distR="0" wp14:anchorId="634E9557" wp14:editId="58C40D49">
            <wp:extent cx="5724525" cy="3214370"/>
            <wp:effectExtent l="0" t="0" r="9525" b="508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CC2927" w14:textId="77777777" w:rsidR="00E225CE" w:rsidRDefault="00157E40" w:rsidP="00B6690C">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Trend poklesu obyvateľstva, ktorý sledujeme v celom regióne je spätý aj so starnutím obyvateľstva, či už zdola, alebo zhora</w:t>
      </w:r>
      <w:r w:rsidR="00EC0EFB">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Kopaničiarsky región je vzhľadom na celoslovenské pomery regiónom s výrazne starnúcim obyvateľstvom, kde podiel mladých ľudí neustále ubúda. </w:t>
      </w:r>
      <w:r w:rsidR="00EC0EFB">
        <w:rPr>
          <w:rFonts w:ascii="Times New Roman" w:hAnsi="Times New Roman" w:cs="Times New Roman"/>
          <w:sz w:val="24"/>
          <w:szCs w:val="24"/>
        </w:rPr>
        <w:t>S</w:t>
      </w:r>
      <w:r w:rsidR="00E225CE" w:rsidRPr="00E225CE">
        <w:rPr>
          <w:rFonts w:ascii="Times New Roman" w:hAnsi="Times New Roman" w:cs="Times New Roman"/>
          <w:sz w:val="24"/>
          <w:szCs w:val="24"/>
        </w:rPr>
        <w:t xml:space="preserve">tarnutie obyvateľstva v Kopaničiarskom regióne sa pripisuje aj religióznej štruktúre obyvateľstva, keď na celkom území Slovenska pozorujeme, že regióny s dominanciou protestantských kresťanských cirkví, dosahujú nižšie hodnoty natality ako regióny s dominanciou katolíckeho, či pravoslávneho vierovyznania. Netreba však zabúdať aj na to, že tento región v ostatných rokoch prechádza výraznou hospodárskou transformáciou, ktorej predchádzal úpadok hospodárstva. To malo za následok stratu sociálnych istôt potenciálnych rodičov, či zvýšenú mieru emigrácie obyvateľov v reprodukčnom veku do hospodársky </w:t>
      </w:r>
      <w:r w:rsidR="00E225CE" w:rsidRPr="00E225CE">
        <w:rPr>
          <w:rFonts w:ascii="Times New Roman" w:hAnsi="Times New Roman" w:cs="Times New Roman"/>
          <w:sz w:val="24"/>
          <w:szCs w:val="24"/>
        </w:rPr>
        <w:lastRenderedPageBreak/>
        <w:t xml:space="preserve">rozvinutejších regiónov. Aj tieto javy reprodukciu populácie ovplyvňujú negatívnym spôsobom. </w:t>
      </w:r>
    </w:p>
    <w:p w14:paraId="75537C1B" w14:textId="77777777" w:rsidR="00E225CE" w:rsidRPr="00B6690C" w:rsidRDefault="00E225CE" w:rsidP="00F560B2">
      <w:pPr>
        <w:spacing w:before="120" w:after="0" w:line="360" w:lineRule="auto"/>
        <w:jc w:val="both"/>
        <w:rPr>
          <w:rFonts w:ascii="Times New Roman" w:hAnsi="Times New Roman" w:cs="Times New Roman"/>
          <w:b/>
          <w:i/>
          <w:sz w:val="24"/>
          <w:szCs w:val="24"/>
        </w:rPr>
      </w:pPr>
      <w:r w:rsidRPr="00B6690C">
        <w:rPr>
          <w:rFonts w:ascii="Times New Roman" w:hAnsi="Times New Roman" w:cs="Times New Roman"/>
          <w:b/>
          <w:i/>
          <w:sz w:val="24"/>
          <w:szCs w:val="24"/>
        </w:rPr>
        <w:t>Národnostné a etnické zloženie obyvateľstva</w:t>
      </w:r>
    </w:p>
    <w:p w14:paraId="1ECD07D4" w14:textId="77777777" w:rsidR="00E225CE" w:rsidRPr="00E225CE" w:rsidRDefault="00157E40" w:rsidP="00157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hľadiska národnostnej a etnickej štruktúry možno Kopaničiarsky región považovať za takmer homogénny. Podľa štatistických údajov z roku 20</w:t>
      </w:r>
      <w:r w:rsidR="00522F0D">
        <w:rPr>
          <w:rFonts w:ascii="Times New Roman" w:hAnsi="Times New Roman" w:cs="Times New Roman"/>
          <w:sz w:val="24"/>
          <w:szCs w:val="24"/>
        </w:rPr>
        <w:t>11</w:t>
      </w:r>
      <w:r w:rsidR="00E225CE" w:rsidRPr="00E225CE">
        <w:rPr>
          <w:rFonts w:ascii="Times New Roman" w:hAnsi="Times New Roman" w:cs="Times New Roman"/>
          <w:sz w:val="24"/>
          <w:szCs w:val="24"/>
        </w:rPr>
        <w:t xml:space="preserve"> je typickou črtou výrazná dominancia slovenskej národnosti (9</w:t>
      </w:r>
      <w:r w:rsidR="00522F0D">
        <w:rPr>
          <w:rFonts w:ascii="Times New Roman" w:hAnsi="Times New Roman" w:cs="Times New Roman"/>
          <w:sz w:val="24"/>
          <w:szCs w:val="24"/>
        </w:rPr>
        <w:t>2,17</w:t>
      </w:r>
      <w:r w:rsidR="00E225CE" w:rsidRPr="00E225CE">
        <w:rPr>
          <w:rFonts w:ascii="Times New Roman" w:hAnsi="Times New Roman" w:cs="Times New Roman"/>
          <w:sz w:val="24"/>
          <w:szCs w:val="24"/>
        </w:rPr>
        <w:t xml:space="preserve"> %) a prítomnosť českej národnosti v každej obci regiónu</w:t>
      </w:r>
      <w:r w:rsidR="00522F0D">
        <w:rPr>
          <w:rFonts w:ascii="Times New Roman" w:hAnsi="Times New Roman" w:cs="Times New Roman"/>
          <w:sz w:val="24"/>
          <w:szCs w:val="24"/>
        </w:rPr>
        <w:t xml:space="preserve"> okrem obci Podkylava</w:t>
      </w:r>
      <w:r w:rsidR="00E225CE" w:rsidRPr="00E225CE">
        <w:rPr>
          <w:rFonts w:ascii="Times New Roman" w:hAnsi="Times New Roman" w:cs="Times New Roman"/>
          <w:sz w:val="24"/>
          <w:szCs w:val="24"/>
        </w:rPr>
        <w:t xml:space="preserve"> (celkovo </w:t>
      </w:r>
      <w:r w:rsidR="00522F0D">
        <w:rPr>
          <w:rFonts w:ascii="Times New Roman" w:hAnsi="Times New Roman" w:cs="Times New Roman"/>
          <w:sz w:val="24"/>
          <w:szCs w:val="24"/>
        </w:rPr>
        <w:t>0,90</w:t>
      </w:r>
      <w:r w:rsidR="00E225CE" w:rsidRPr="00E225CE">
        <w:rPr>
          <w:rFonts w:ascii="Times New Roman" w:hAnsi="Times New Roman" w:cs="Times New Roman"/>
          <w:sz w:val="24"/>
          <w:szCs w:val="24"/>
        </w:rPr>
        <w:t xml:space="preserve"> %). Túto skutočnosť možno jednoducho vysvetliť polohou regiónu na hranici s Českou republikou. Zo </w:t>
      </w:r>
      <w:r w:rsidR="00522F0D">
        <w:rPr>
          <w:rFonts w:ascii="Times New Roman" w:hAnsi="Times New Roman" w:cs="Times New Roman"/>
          <w:sz w:val="24"/>
          <w:szCs w:val="24"/>
        </w:rPr>
        <w:t>45 087</w:t>
      </w:r>
      <w:r w:rsidR="00E225CE" w:rsidRPr="00E225CE">
        <w:rPr>
          <w:rFonts w:ascii="Times New Roman" w:hAnsi="Times New Roman" w:cs="Times New Roman"/>
          <w:sz w:val="24"/>
          <w:szCs w:val="24"/>
        </w:rPr>
        <w:t xml:space="preserve"> obyvateľov Kopaničiarskeho regiónu v roku 20</w:t>
      </w:r>
      <w:r w:rsidR="00522F0D">
        <w:rPr>
          <w:rFonts w:ascii="Times New Roman" w:hAnsi="Times New Roman" w:cs="Times New Roman"/>
          <w:sz w:val="24"/>
          <w:szCs w:val="24"/>
        </w:rPr>
        <w:t>11</w:t>
      </w:r>
      <w:r w:rsidR="00E225CE" w:rsidRPr="00E225CE">
        <w:rPr>
          <w:rFonts w:ascii="Times New Roman" w:hAnsi="Times New Roman" w:cs="Times New Roman"/>
          <w:sz w:val="24"/>
          <w:szCs w:val="24"/>
        </w:rPr>
        <w:t xml:space="preserve"> sa </w:t>
      </w:r>
      <w:r w:rsidR="00522F0D">
        <w:rPr>
          <w:rFonts w:ascii="Times New Roman" w:hAnsi="Times New Roman" w:cs="Times New Roman"/>
          <w:sz w:val="24"/>
          <w:szCs w:val="24"/>
        </w:rPr>
        <w:t>41 556</w:t>
      </w:r>
      <w:r w:rsidR="00E225CE" w:rsidRPr="00E225CE">
        <w:rPr>
          <w:rFonts w:ascii="Times New Roman" w:hAnsi="Times New Roman" w:cs="Times New Roman"/>
          <w:sz w:val="24"/>
          <w:szCs w:val="24"/>
        </w:rPr>
        <w:t xml:space="preserve"> prihlásilo k slovenskej národnosti, k národnosti českej sa v tomto období hlásilo </w:t>
      </w:r>
      <w:r w:rsidR="00522F0D">
        <w:rPr>
          <w:rFonts w:ascii="Times New Roman" w:hAnsi="Times New Roman" w:cs="Times New Roman"/>
          <w:sz w:val="24"/>
          <w:szCs w:val="24"/>
        </w:rPr>
        <w:t>408</w:t>
      </w:r>
      <w:r w:rsidR="00522F0D"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obyvateľov.</w:t>
      </w:r>
    </w:p>
    <w:p w14:paraId="3AB218C6" w14:textId="77777777" w:rsidR="00E225CE" w:rsidRPr="00E225CE" w:rsidRDefault="00157E40" w:rsidP="00157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ostatných národností sa v regióne vyskytujú rómska (0,3</w:t>
      </w:r>
      <w:r w:rsidR="00522F0D">
        <w:rPr>
          <w:rFonts w:ascii="Times New Roman" w:hAnsi="Times New Roman" w:cs="Times New Roman"/>
          <w:sz w:val="24"/>
          <w:szCs w:val="24"/>
        </w:rPr>
        <w:t>1</w:t>
      </w:r>
      <w:r w:rsidR="00E225CE" w:rsidRPr="00E225CE">
        <w:rPr>
          <w:rFonts w:ascii="Times New Roman" w:hAnsi="Times New Roman" w:cs="Times New Roman"/>
          <w:sz w:val="24"/>
          <w:szCs w:val="24"/>
        </w:rPr>
        <w:t xml:space="preserve"> %), ukrajinská (0,</w:t>
      </w:r>
      <w:r w:rsidR="00522F0D">
        <w:rPr>
          <w:rFonts w:ascii="Times New Roman" w:hAnsi="Times New Roman" w:cs="Times New Roman"/>
          <w:sz w:val="24"/>
          <w:szCs w:val="24"/>
        </w:rPr>
        <w:t xml:space="preserve">11 </w:t>
      </w:r>
      <w:r w:rsidR="00E225CE" w:rsidRPr="00E225CE">
        <w:rPr>
          <w:rFonts w:ascii="Times New Roman" w:hAnsi="Times New Roman" w:cs="Times New Roman"/>
          <w:sz w:val="24"/>
          <w:szCs w:val="24"/>
        </w:rPr>
        <w:t>%), maďarská (0,</w:t>
      </w:r>
      <w:r w:rsidR="00522F0D">
        <w:rPr>
          <w:rFonts w:ascii="Times New Roman" w:hAnsi="Times New Roman" w:cs="Times New Roman"/>
          <w:sz w:val="24"/>
          <w:szCs w:val="24"/>
        </w:rPr>
        <w:t xml:space="preserve">10 </w:t>
      </w:r>
      <w:r w:rsidR="00E225CE" w:rsidRPr="00E225CE">
        <w:rPr>
          <w:rFonts w:ascii="Times New Roman" w:hAnsi="Times New Roman" w:cs="Times New Roman"/>
          <w:sz w:val="24"/>
          <w:szCs w:val="24"/>
        </w:rPr>
        <w:t>%), nemecká (0,0</w:t>
      </w:r>
      <w:r w:rsidR="00522F0D">
        <w:rPr>
          <w:rFonts w:ascii="Times New Roman" w:hAnsi="Times New Roman" w:cs="Times New Roman"/>
          <w:sz w:val="24"/>
          <w:szCs w:val="24"/>
        </w:rPr>
        <w:t>4</w:t>
      </w:r>
      <w:r w:rsidR="00E225CE" w:rsidRPr="00E225CE">
        <w:rPr>
          <w:rFonts w:ascii="Times New Roman" w:hAnsi="Times New Roman" w:cs="Times New Roman"/>
          <w:sz w:val="24"/>
          <w:szCs w:val="24"/>
        </w:rPr>
        <w:t xml:space="preserve"> %), poľská </w:t>
      </w:r>
      <w:r w:rsidR="00F1538F">
        <w:rPr>
          <w:rFonts w:ascii="Times New Roman" w:hAnsi="Times New Roman" w:cs="Times New Roman"/>
          <w:sz w:val="24"/>
          <w:szCs w:val="24"/>
        </w:rPr>
        <w:t>(</w:t>
      </w:r>
      <w:r w:rsidR="00E225CE" w:rsidRPr="00E225CE">
        <w:rPr>
          <w:rFonts w:ascii="Times New Roman" w:hAnsi="Times New Roman" w:cs="Times New Roman"/>
          <w:sz w:val="24"/>
          <w:szCs w:val="24"/>
        </w:rPr>
        <w:t>0,0</w:t>
      </w:r>
      <w:r w:rsidR="00522F0D">
        <w:rPr>
          <w:rFonts w:ascii="Times New Roman" w:hAnsi="Times New Roman" w:cs="Times New Roman"/>
          <w:sz w:val="24"/>
          <w:szCs w:val="24"/>
        </w:rPr>
        <w:t>3</w:t>
      </w:r>
      <w:r w:rsidR="00E225CE" w:rsidRPr="00E225CE">
        <w:rPr>
          <w:rFonts w:ascii="Times New Roman" w:hAnsi="Times New Roman" w:cs="Times New Roman"/>
          <w:sz w:val="24"/>
          <w:szCs w:val="24"/>
        </w:rPr>
        <w:t xml:space="preserve"> %), </w:t>
      </w:r>
      <w:r w:rsidR="00522F0D">
        <w:rPr>
          <w:rFonts w:ascii="Times New Roman" w:hAnsi="Times New Roman" w:cs="Times New Roman"/>
          <w:sz w:val="24"/>
          <w:szCs w:val="24"/>
        </w:rPr>
        <w:t>moravská (0,13 %), 5</w:t>
      </w:r>
      <w:r w:rsidR="00E225CE" w:rsidRPr="00E225CE">
        <w:rPr>
          <w:rFonts w:ascii="Times New Roman" w:hAnsi="Times New Roman" w:cs="Times New Roman"/>
          <w:sz w:val="24"/>
          <w:szCs w:val="24"/>
        </w:rPr>
        <w:t xml:space="preserve"> obyvatelia sa prihlásili k národnosti rusínskej</w:t>
      </w:r>
      <w:r w:rsidR="00522F0D">
        <w:rPr>
          <w:rFonts w:ascii="Times New Roman" w:hAnsi="Times New Roman" w:cs="Times New Roman"/>
          <w:sz w:val="24"/>
          <w:szCs w:val="24"/>
        </w:rPr>
        <w:t>, 4 k chorvátskej, po dvoch k srbskej a židovskej národnosti a po troch k ruskej a bulharskej národnosti. Iná a nezistená národnosť predstavuje 6,19 %.</w:t>
      </w:r>
    </w:p>
    <w:p w14:paraId="5D6D25B7" w14:textId="77777777" w:rsidR="00E225CE" w:rsidRPr="00E225CE" w:rsidRDefault="00157E40" w:rsidP="00157E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pohľadu jednotlivých obcí možno konštatovať, že najviac národností bolo zastúpených v mestách Myjava</w:t>
      </w:r>
      <w:r w:rsidR="00FE4264">
        <w:rPr>
          <w:rFonts w:ascii="Times New Roman" w:hAnsi="Times New Roman" w:cs="Times New Roman"/>
          <w:sz w:val="24"/>
          <w:szCs w:val="24"/>
        </w:rPr>
        <w:t>, S</w:t>
      </w:r>
      <w:r w:rsidR="00E225CE" w:rsidRPr="00E225CE">
        <w:rPr>
          <w:rFonts w:ascii="Times New Roman" w:hAnsi="Times New Roman" w:cs="Times New Roman"/>
          <w:sz w:val="24"/>
          <w:szCs w:val="24"/>
        </w:rPr>
        <w:t>tará Turá</w:t>
      </w:r>
      <w:r w:rsidR="00FE4264">
        <w:rPr>
          <w:rFonts w:ascii="Times New Roman" w:hAnsi="Times New Roman" w:cs="Times New Roman"/>
          <w:sz w:val="24"/>
          <w:szCs w:val="24"/>
        </w:rPr>
        <w:t xml:space="preserve"> a Brezová pod Bradlom</w:t>
      </w:r>
      <w:r w:rsidR="00E225CE" w:rsidRPr="00E225CE">
        <w:rPr>
          <w:rFonts w:ascii="Times New Roman" w:hAnsi="Times New Roman" w:cs="Times New Roman"/>
          <w:sz w:val="24"/>
          <w:szCs w:val="24"/>
        </w:rPr>
        <w:t>. Najvyšší podiel obyvateľov so slovenskou národnosťou zaznamenala ob</w:t>
      </w:r>
      <w:r w:rsidR="00FE4264">
        <w:rPr>
          <w:rFonts w:ascii="Times New Roman" w:hAnsi="Times New Roman" w:cs="Times New Roman"/>
          <w:sz w:val="24"/>
          <w:szCs w:val="24"/>
        </w:rPr>
        <w:t>ce Podbranč, Višňové a Hrašné (nad 97 %) a ďalších 5 obcí nad 96</w:t>
      </w:r>
      <w:r w:rsidR="00F1538F">
        <w:rPr>
          <w:rFonts w:ascii="Times New Roman" w:hAnsi="Times New Roman" w:cs="Times New Roman"/>
          <w:sz w:val="24"/>
          <w:szCs w:val="24"/>
        </w:rPr>
        <w:t>.</w:t>
      </w:r>
    </w:p>
    <w:p w14:paraId="3F4CC9C1" w14:textId="77777777" w:rsidR="00654706" w:rsidRDefault="009613C9" w:rsidP="00654706">
      <w:pPr>
        <w:spacing w:after="0" w:line="360" w:lineRule="auto"/>
        <w:jc w:val="both"/>
      </w:pPr>
      <w:r>
        <w:rPr>
          <w:rFonts w:ascii="Times New Roman" w:hAnsi="Times New Roman" w:cs="Times New Roman"/>
          <w:sz w:val="24"/>
          <w:szCs w:val="24"/>
        </w:rPr>
        <w:tab/>
      </w:r>
      <w:r w:rsidR="00FE4264">
        <w:rPr>
          <w:rFonts w:ascii="Times New Roman" w:hAnsi="Times New Roman" w:cs="Times New Roman"/>
          <w:sz w:val="24"/>
          <w:szCs w:val="24"/>
        </w:rPr>
        <w:t xml:space="preserve">Česká národnosť nebola zastúpená v obci Podkylava, v obciach Bukovec, Vaďovce a Prašník sa hlásil k českej národnosti len jeden obyvateľ. </w:t>
      </w:r>
      <w:r w:rsidR="00E225CE" w:rsidRPr="00E225CE">
        <w:rPr>
          <w:rFonts w:ascii="Times New Roman" w:hAnsi="Times New Roman" w:cs="Times New Roman"/>
          <w:sz w:val="24"/>
          <w:szCs w:val="24"/>
        </w:rPr>
        <w:t xml:space="preserve">Naproti tomu, v </w:t>
      </w:r>
      <w:r w:rsidR="00FE4264">
        <w:rPr>
          <w:rFonts w:ascii="Times New Roman" w:hAnsi="Times New Roman" w:cs="Times New Roman"/>
          <w:sz w:val="24"/>
          <w:szCs w:val="24"/>
        </w:rPr>
        <w:t>9</w:t>
      </w:r>
      <w:r w:rsidR="00E225CE" w:rsidRPr="00E225CE">
        <w:rPr>
          <w:rFonts w:ascii="Times New Roman" w:hAnsi="Times New Roman" w:cs="Times New Roman"/>
          <w:sz w:val="24"/>
          <w:szCs w:val="24"/>
        </w:rPr>
        <w:t xml:space="preserve"> obciach bol podiel českej národnosti vyšší ako 1 %  a najvyšší podiel obyvateľov českej národnosti bol v obci </w:t>
      </w:r>
      <w:r w:rsidR="00FE4264">
        <w:rPr>
          <w:rFonts w:ascii="Times New Roman" w:hAnsi="Times New Roman" w:cs="Times New Roman"/>
          <w:sz w:val="24"/>
          <w:szCs w:val="24"/>
        </w:rPr>
        <w:t>Polianka</w:t>
      </w:r>
      <w:r w:rsidR="00FE4264"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(2,</w:t>
      </w:r>
      <w:r w:rsidR="00FE4264">
        <w:rPr>
          <w:rFonts w:ascii="Times New Roman" w:hAnsi="Times New Roman" w:cs="Times New Roman"/>
          <w:sz w:val="24"/>
          <w:szCs w:val="24"/>
        </w:rPr>
        <w:t>4</w:t>
      </w:r>
      <w:r w:rsidR="00E225CE" w:rsidRPr="00E225CE">
        <w:rPr>
          <w:rFonts w:ascii="Times New Roman" w:hAnsi="Times New Roman" w:cs="Times New Roman"/>
          <w:sz w:val="24"/>
          <w:szCs w:val="24"/>
        </w:rPr>
        <w:t xml:space="preserve"> %). Jedinou obcou, kde bol v roku 20</w:t>
      </w:r>
      <w:r w:rsidR="00FE4264">
        <w:rPr>
          <w:rFonts w:ascii="Times New Roman" w:hAnsi="Times New Roman" w:cs="Times New Roman"/>
          <w:sz w:val="24"/>
          <w:szCs w:val="24"/>
        </w:rPr>
        <w:t>11</w:t>
      </w:r>
      <w:r w:rsidR="00E225CE" w:rsidRPr="00E225CE">
        <w:rPr>
          <w:rFonts w:ascii="Times New Roman" w:hAnsi="Times New Roman" w:cs="Times New Roman"/>
          <w:sz w:val="24"/>
          <w:szCs w:val="24"/>
        </w:rPr>
        <w:t xml:space="preserve"> zaznamenaný</w:t>
      </w:r>
      <w:r w:rsidR="00FE4264">
        <w:rPr>
          <w:rFonts w:ascii="Times New Roman" w:hAnsi="Times New Roman" w:cs="Times New Roman"/>
          <w:sz w:val="24"/>
          <w:szCs w:val="24"/>
        </w:rPr>
        <w:t xml:space="preserve"> až vyše 7 %-ný podiel r</w:t>
      </w:r>
      <w:r w:rsidR="00E225CE" w:rsidRPr="00E225CE">
        <w:rPr>
          <w:rFonts w:ascii="Times New Roman" w:hAnsi="Times New Roman" w:cs="Times New Roman"/>
          <w:sz w:val="24"/>
          <w:szCs w:val="24"/>
        </w:rPr>
        <w:t xml:space="preserve">ómskej národnosti  je obec </w:t>
      </w:r>
      <w:r w:rsidR="00FE4264">
        <w:rPr>
          <w:rFonts w:ascii="Times New Roman" w:hAnsi="Times New Roman" w:cs="Times New Roman"/>
          <w:sz w:val="24"/>
          <w:szCs w:val="24"/>
        </w:rPr>
        <w:t>Prašník</w:t>
      </w:r>
      <w:r w:rsidR="00FE4264"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w:t>
      </w:r>
      <w:r w:rsidR="00FE4264">
        <w:rPr>
          <w:rFonts w:ascii="Times New Roman" w:hAnsi="Times New Roman" w:cs="Times New Roman"/>
          <w:sz w:val="24"/>
          <w:szCs w:val="24"/>
        </w:rPr>
        <w:t>7</w:t>
      </w:r>
      <w:r w:rsidR="00E225CE" w:rsidRPr="00E225CE">
        <w:rPr>
          <w:rFonts w:ascii="Times New Roman" w:hAnsi="Times New Roman" w:cs="Times New Roman"/>
          <w:sz w:val="24"/>
          <w:szCs w:val="24"/>
        </w:rPr>
        <w:t>,</w:t>
      </w:r>
      <w:r w:rsidR="00FE4264">
        <w:rPr>
          <w:rFonts w:ascii="Times New Roman" w:hAnsi="Times New Roman" w:cs="Times New Roman"/>
          <w:sz w:val="24"/>
          <w:szCs w:val="24"/>
        </w:rPr>
        <w:t>23</w:t>
      </w:r>
      <w:r w:rsidR="00E225CE" w:rsidRPr="00E225CE">
        <w:rPr>
          <w:rFonts w:ascii="Times New Roman" w:hAnsi="Times New Roman" w:cs="Times New Roman"/>
          <w:sz w:val="24"/>
          <w:szCs w:val="24"/>
        </w:rPr>
        <w:t xml:space="preserve"> %).</w:t>
      </w:r>
      <w:r w:rsidR="00654706">
        <w:rPr>
          <w:rFonts w:ascii="Times New Roman" w:hAnsi="Times New Roman" w:cs="Times New Roman"/>
          <w:sz w:val="24"/>
          <w:szCs w:val="24"/>
        </w:rPr>
        <w:t xml:space="preserve"> </w:t>
      </w:r>
      <w:r w:rsidR="00654706">
        <w:rPr>
          <w:rFonts w:ascii="Times New Roman" w:hAnsi="Times New Roman"/>
          <w:sz w:val="24"/>
          <w:szCs w:val="24"/>
        </w:rPr>
        <w:t>Obec sa nachádza aj v Atlase marginalizovaných rómskych komunít 2013. Zvýšený podiel občanov rómskej národnosti bol zaznamenaný i do opustených domov v obciach Hrachovište a Vaďovce ale aj v meste Myjava. Títo sa však nehlásia k rómskej národnosti.</w:t>
      </w:r>
    </w:p>
    <w:p w14:paraId="7FE4B6A5" w14:textId="77777777" w:rsidR="00E225CE" w:rsidRPr="001E4807" w:rsidRDefault="00E225CE" w:rsidP="00B6690C">
      <w:pPr>
        <w:spacing w:before="120" w:after="0" w:line="360" w:lineRule="auto"/>
        <w:rPr>
          <w:rFonts w:ascii="Times New Roman" w:hAnsi="Times New Roman" w:cs="Times New Roman"/>
          <w:b/>
          <w:sz w:val="20"/>
          <w:szCs w:val="20"/>
        </w:rPr>
      </w:pPr>
      <w:r w:rsidRPr="001E4807">
        <w:rPr>
          <w:rFonts w:ascii="Times New Roman" w:hAnsi="Times New Roman" w:cs="Times New Roman"/>
          <w:b/>
          <w:sz w:val="20"/>
          <w:szCs w:val="20"/>
        </w:rPr>
        <w:t xml:space="preserve">Tabuľka </w:t>
      </w:r>
      <w:r w:rsidR="005D2703" w:rsidRPr="001E4807">
        <w:rPr>
          <w:rFonts w:ascii="Times New Roman" w:hAnsi="Times New Roman" w:cs="Times New Roman"/>
          <w:b/>
          <w:sz w:val="20"/>
          <w:szCs w:val="20"/>
        </w:rPr>
        <w:t>3.1.8</w:t>
      </w:r>
      <w:r w:rsidRPr="001E4807">
        <w:rPr>
          <w:rFonts w:ascii="Times New Roman" w:hAnsi="Times New Roman" w:cs="Times New Roman"/>
          <w:b/>
          <w:sz w:val="20"/>
          <w:szCs w:val="20"/>
        </w:rPr>
        <w:t xml:space="preserve"> Národnostné zloženie obyvateľstva Kopaničiarskeho regiónu v roku </w:t>
      </w:r>
      <w:r w:rsidR="005D2703" w:rsidRPr="001E4807">
        <w:rPr>
          <w:rFonts w:ascii="Times New Roman" w:hAnsi="Times New Roman" w:cs="Times New Roman"/>
          <w:b/>
          <w:sz w:val="20"/>
          <w:szCs w:val="20"/>
        </w:rPr>
        <w:t xml:space="preserve">2011 </w:t>
      </w:r>
      <w:r w:rsidRPr="001E4807">
        <w:rPr>
          <w:rFonts w:ascii="Times New Roman" w:hAnsi="Times New Roman" w:cs="Times New Roman"/>
          <w:b/>
          <w:sz w:val="20"/>
          <w:szCs w:val="20"/>
        </w:rPr>
        <w:t xml:space="preserve">(%) </w:t>
      </w:r>
    </w:p>
    <w:tbl>
      <w:tblPr>
        <w:tblW w:w="8804" w:type="dxa"/>
        <w:tblInd w:w="55" w:type="dxa"/>
        <w:tblCellMar>
          <w:left w:w="70" w:type="dxa"/>
          <w:right w:w="70" w:type="dxa"/>
        </w:tblCellMar>
        <w:tblLook w:val="04A0" w:firstRow="1" w:lastRow="0" w:firstColumn="1" w:lastColumn="0" w:noHBand="0" w:noVBand="1"/>
      </w:tblPr>
      <w:tblGrid>
        <w:gridCol w:w="1600"/>
        <w:gridCol w:w="1250"/>
        <w:gridCol w:w="1134"/>
        <w:gridCol w:w="1134"/>
        <w:gridCol w:w="1134"/>
        <w:gridCol w:w="1418"/>
        <w:gridCol w:w="1134"/>
      </w:tblGrid>
      <w:tr w:rsidR="005D2703" w:rsidRPr="009613C9" w14:paraId="33BDC4D2" w14:textId="77777777" w:rsidTr="005D2703">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3FC75D"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Národnosť</w:t>
            </w:r>
          </w:p>
        </w:tc>
        <w:tc>
          <w:tcPr>
            <w:tcW w:w="1250" w:type="dxa"/>
            <w:tcBorders>
              <w:top w:val="single" w:sz="4" w:space="0" w:color="auto"/>
              <w:left w:val="nil"/>
              <w:bottom w:val="single" w:sz="4" w:space="0" w:color="auto"/>
              <w:right w:val="single" w:sz="4" w:space="0" w:color="auto"/>
            </w:tcBorders>
            <w:shd w:val="clear" w:color="000000" w:fill="D9D9D9"/>
            <w:noWrap/>
            <w:vAlign w:val="center"/>
            <w:hideMark/>
          </w:tcPr>
          <w:p w14:paraId="1DCFF22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Slovenská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89CB4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Maďarská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3A4898CB"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 xml:space="preserve">Rómska </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0E1A8575"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Rusínska</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2A7E8796"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Ukrajinská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5324542B"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Česká</w:t>
            </w:r>
          </w:p>
        </w:tc>
      </w:tr>
      <w:tr w:rsidR="005D2703" w:rsidRPr="009613C9" w14:paraId="05F7364B" w14:textId="77777777" w:rsidTr="005D2703">
        <w:trPr>
          <w:trHeight w:val="300"/>
        </w:trPr>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14:paraId="123485E8"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Počet obyv.</w:t>
            </w:r>
          </w:p>
        </w:tc>
        <w:tc>
          <w:tcPr>
            <w:tcW w:w="1250" w:type="dxa"/>
            <w:tcBorders>
              <w:top w:val="nil"/>
              <w:left w:val="nil"/>
              <w:bottom w:val="single" w:sz="4" w:space="0" w:color="auto"/>
              <w:right w:val="single" w:sz="4" w:space="0" w:color="auto"/>
            </w:tcBorders>
            <w:shd w:val="clear" w:color="auto" w:fill="auto"/>
            <w:noWrap/>
            <w:vAlign w:val="center"/>
            <w:hideMark/>
          </w:tcPr>
          <w:p w14:paraId="0401D20D"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41 556</w:t>
            </w:r>
          </w:p>
        </w:tc>
        <w:tc>
          <w:tcPr>
            <w:tcW w:w="1134" w:type="dxa"/>
            <w:tcBorders>
              <w:top w:val="nil"/>
              <w:left w:val="nil"/>
              <w:bottom w:val="single" w:sz="4" w:space="0" w:color="auto"/>
              <w:right w:val="single" w:sz="4" w:space="0" w:color="auto"/>
            </w:tcBorders>
            <w:shd w:val="clear" w:color="auto" w:fill="auto"/>
            <w:noWrap/>
            <w:vAlign w:val="center"/>
            <w:hideMark/>
          </w:tcPr>
          <w:p w14:paraId="54E3FC1C"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94BB1A3"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77EA9087"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5</w:t>
            </w:r>
          </w:p>
        </w:tc>
        <w:tc>
          <w:tcPr>
            <w:tcW w:w="1418" w:type="dxa"/>
            <w:tcBorders>
              <w:top w:val="nil"/>
              <w:left w:val="nil"/>
              <w:bottom w:val="single" w:sz="4" w:space="0" w:color="auto"/>
              <w:right w:val="single" w:sz="4" w:space="0" w:color="auto"/>
            </w:tcBorders>
            <w:shd w:val="clear" w:color="auto" w:fill="auto"/>
            <w:noWrap/>
            <w:vAlign w:val="center"/>
            <w:hideMark/>
          </w:tcPr>
          <w:p w14:paraId="7CB794D5"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51</w:t>
            </w:r>
          </w:p>
        </w:tc>
        <w:tc>
          <w:tcPr>
            <w:tcW w:w="1134" w:type="dxa"/>
            <w:tcBorders>
              <w:top w:val="nil"/>
              <w:left w:val="nil"/>
              <w:bottom w:val="single" w:sz="4" w:space="0" w:color="auto"/>
              <w:right w:val="single" w:sz="4" w:space="0" w:color="auto"/>
            </w:tcBorders>
            <w:shd w:val="clear" w:color="auto" w:fill="auto"/>
            <w:noWrap/>
            <w:vAlign w:val="center"/>
            <w:hideMark/>
          </w:tcPr>
          <w:p w14:paraId="29D5B115"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408</w:t>
            </w:r>
          </w:p>
        </w:tc>
      </w:tr>
      <w:tr w:rsidR="005D2703" w:rsidRPr="009613C9" w14:paraId="1BB8D237" w14:textId="77777777" w:rsidTr="005D2703">
        <w:trPr>
          <w:trHeight w:val="300"/>
        </w:trPr>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14:paraId="77EA8F8B"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Počet obyv. (%)</w:t>
            </w:r>
          </w:p>
        </w:tc>
        <w:tc>
          <w:tcPr>
            <w:tcW w:w="1250" w:type="dxa"/>
            <w:tcBorders>
              <w:top w:val="nil"/>
              <w:left w:val="nil"/>
              <w:bottom w:val="single" w:sz="4" w:space="0" w:color="auto"/>
              <w:right w:val="single" w:sz="4" w:space="0" w:color="auto"/>
            </w:tcBorders>
            <w:shd w:val="clear" w:color="auto" w:fill="auto"/>
            <w:noWrap/>
            <w:vAlign w:val="center"/>
            <w:hideMark/>
          </w:tcPr>
          <w:p w14:paraId="7C91BF74"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98,46</w:t>
            </w:r>
          </w:p>
        </w:tc>
        <w:tc>
          <w:tcPr>
            <w:tcW w:w="1134" w:type="dxa"/>
            <w:tcBorders>
              <w:top w:val="nil"/>
              <w:left w:val="nil"/>
              <w:bottom w:val="single" w:sz="4" w:space="0" w:color="auto"/>
              <w:right w:val="single" w:sz="4" w:space="0" w:color="auto"/>
            </w:tcBorders>
            <w:shd w:val="clear" w:color="auto" w:fill="auto"/>
            <w:noWrap/>
            <w:vAlign w:val="center"/>
            <w:hideMark/>
          </w:tcPr>
          <w:p w14:paraId="7E6ABDFF"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0,11</w:t>
            </w:r>
          </w:p>
        </w:tc>
        <w:tc>
          <w:tcPr>
            <w:tcW w:w="1134" w:type="dxa"/>
            <w:tcBorders>
              <w:top w:val="nil"/>
              <w:left w:val="nil"/>
              <w:bottom w:val="single" w:sz="4" w:space="0" w:color="auto"/>
              <w:right w:val="single" w:sz="4" w:space="0" w:color="auto"/>
            </w:tcBorders>
            <w:shd w:val="clear" w:color="auto" w:fill="auto"/>
            <w:noWrap/>
            <w:vAlign w:val="center"/>
            <w:hideMark/>
          </w:tcPr>
          <w:p w14:paraId="6007DF63"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0,33</w:t>
            </w:r>
          </w:p>
        </w:tc>
        <w:tc>
          <w:tcPr>
            <w:tcW w:w="1134" w:type="dxa"/>
            <w:tcBorders>
              <w:top w:val="nil"/>
              <w:left w:val="nil"/>
              <w:bottom w:val="single" w:sz="4" w:space="0" w:color="auto"/>
              <w:right w:val="single" w:sz="4" w:space="0" w:color="auto"/>
            </w:tcBorders>
            <w:shd w:val="clear" w:color="auto" w:fill="auto"/>
            <w:noWrap/>
            <w:vAlign w:val="center"/>
            <w:hideMark/>
          </w:tcPr>
          <w:p w14:paraId="2911CDA1"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0,01</w:t>
            </w:r>
          </w:p>
        </w:tc>
        <w:tc>
          <w:tcPr>
            <w:tcW w:w="1418" w:type="dxa"/>
            <w:tcBorders>
              <w:top w:val="nil"/>
              <w:left w:val="nil"/>
              <w:bottom w:val="single" w:sz="4" w:space="0" w:color="auto"/>
              <w:right w:val="single" w:sz="4" w:space="0" w:color="auto"/>
            </w:tcBorders>
            <w:shd w:val="clear" w:color="auto" w:fill="auto"/>
            <w:noWrap/>
            <w:vAlign w:val="center"/>
            <w:hideMark/>
          </w:tcPr>
          <w:p w14:paraId="2B0A6C36"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49E61B7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0,97</w:t>
            </w:r>
          </w:p>
        </w:tc>
      </w:tr>
      <w:tr w:rsidR="005D2703" w:rsidRPr="009613C9" w14:paraId="6FD82413" w14:textId="77777777" w:rsidTr="005D2703">
        <w:trPr>
          <w:trHeight w:val="300"/>
        </w:trPr>
        <w:tc>
          <w:tcPr>
            <w:tcW w:w="1600" w:type="dxa"/>
            <w:tcBorders>
              <w:top w:val="nil"/>
              <w:left w:val="nil"/>
              <w:bottom w:val="nil"/>
              <w:right w:val="nil"/>
            </w:tcBorders>
            <w:shd w:val="clear" w:color="auto" w:fill="auto"/>
            <w:noWrap/>
            <w:vAlign w:val="bottom"/>
            <w:hideMark/>
          </w:tcPr>
          <w:p w14:paraId="1C6558FB"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250" w:type="dxa"/>
            <w:tcBorders>
              <w:top w:val="nil"/>
              <w:left w:val="nil"/>
              <w:bottom w:val="nil"/>
              <w:right w:val="nil"/>
            </w:tcBorders>
            <w:shd w:val="clear" w:color="auto" w:fill="auto"/>
            <w:noWrap/>
            <w:vAlign w:val="bottom"/>
            <w:hideMark/>
          </w:tcPr>
          <w:p w14:paraId="77135638"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134" w:type="dxa"/>
            <w:tcBorders>
              <w:top w:val="nil"/>
              <w:left w:val="nil"/>
              <w:bottom w:val="nil"/>
              <w:right w:val="nil"/>
            </w:tcBorders>
            <w:shd w:val="clear" w:color="auto" w:fill="auto"/>
            <w:noWrap/>
            <w:vAlign w:val="bottom"/>
            <w:hideMark/>
          </w:tcPr>
          <w:p w14:paraId="3BDF95A9"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134" w:type="dxa"/>
            <w:tcBorders>
              <w:top w:val="nil"/>
              <w:left w:val="nil"/>
              <w:bottom w:val="nil"/>
              <w:right w:val="nil"/>
            </w:tcBorders>
            <w:shd w:val="clear" w:color="auto" w:fill="auto"/>
            <w:noWrap/>
            <w:vAlign w:val="bottom"/>
            <w:hideMark/>
          </w:tcPr>
          <w:p w14:paraId="0B7D3CDB"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134" w:type="dxa"/>
            <w:tcBorders>
              <w:top w:val="nil"/>
              <w:left w:val="nil"/>
              <w:bottom w:val="nil"/>
              <w:right w:val="nil"/>
            </w:tcBorders>
            <w:shd w:val="clear" w:color="auto" w:fill="auto"/>
            <w:noWrap/>
            <w:vAlign w:val="bottom"/>
            <w:hideMark/>
          </w:tcPr>
          <w:p w14:paraId="5E944379"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418" w:type="dxa"/>
            <w:tcBorders>
              <w:top w:val="nil"/>
              <w:left w:val="nil"/>
              <w:bottom w:val="nil"/>
              <w:right w:val="nil"/>
            </w:tcBorders>
            <w:shd w:val="clear" w:color="auto" w:fill="auto"/>
            <w:noWrap/>
            <w:vAlign w:val="bottom"/>
            <w:hideMark/>
          </w:tcPr>
          <w:p w14:paraId="78ED4F59"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c>
          <w:tcPr>
            <w:tcW w:w="1134" w:type="dxa"/>
            <w:tcBorders>
              <w:top w:val="nil"/>
              <w:left w:val="nil"/>
              <w:bottom w:val="nil"/>
              <w:right w:val="nil"/>
            </w:tcBorders>
            <w:shd w:val="clear" w:color="auto" w:fill="auto"/>
            <w:noWrap/>
            <w:vAlign w:val="bottom"/>
            <w:hideMark/>
          </w:tcPr>
          <w:p w14:paraId="4309F3BB" w14:textId="77777777" w:rsidR="005D2703" w:rsidRPr="009613C9" w:rsidRDefault="005D2703" w:rsidP="005D2703">
            <w:pPr>
              <w:spacing w:after="0" w:line="240" w:lineRule="auto"/>
              <w:rPr>
                <w:rFonts w:ascii="Calibri" w:eastAsia="Times New Roman" w:hAnsi="Calibri" w:cs="Times New Roman"/>
                <w:color w:val="000000"/>
                <w:sz w:val="20"/>
                <w:szCs w:val="20"/>
                <w:lang w:eastAsia="sk-SK"/>
              </w:rPr>
            </w:pPr>
          </w:p>
        </w:tc>
      </w:tr>
      <w:tr w:rsidR="005D2703" w:rsidRPr="009613C9" w14:paraId="23A16689" w14:textId="77777777" w:rsidTr="005D2703">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ECD042"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Národnosť</w:t>
            </w:r>
          </w:p>
        </w:tc>
        <w:tc>
          <w:tcPr>
            <w:tcW w:w="1250" w:type="dxa"/>
            <w:tcBorders>
              <w:top w:val="single" w:sz="4" w:space="0" w:color="auto"/>
              <w:left w:val="nil"/>
              <w:bottom w:val="single" w:sz="4" w:space="0" w:color="auto"/>
              <w:right w:val="single" w:sz="4" w:space="0" w:color="auto"/>
            </w:tcBorders>
            <w:shd w:val="clear" w:color="000000" w:fill="D9D9D9"/>
            <w:noWrap/>
            <w:vAlign w:val="center"/>
            <w:hideMark/>
          </w:tcPr>
          <w:p w14:paraId="04FE486D"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Nemecká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A2D25E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Poľská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1142AD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Moravská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DBC7A16"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Iná</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62A45AC2"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Iná/nezistená</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563AAA3A"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Spolu</w:t>
            </w:r>
          </w:p>
        </w:tc>
      </w:tr>
      <w:tr w:rsidR="005D2703" w:rsidRPr="009613C9" w14:paraId="6264BFD7" w14:textId="77777777" w:rsidTr="005D2703">
        <w:trPr>
          <w:trHeight w:val="300"/>
        </w:trPr>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14:paraId="01E76C17"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Počet obyv.</w:t>
            </w:r>
          </w:p>
        </w:tc>
        <w:tc>
          <w:tcPr>
            <w:tcW w:w="1250" w:type="dxa"/>
            <w:tcBorders>
              <w:top w:val="nil"/>
              <w:left w:val="nil"/>
              <w:bottom w:val="single" w:sz="4" w:space="0" w:color="auto"/>
              <w:right w:val="single" w:sz="4" w:space="0" w:color="auto"/>
            </w:tcBorders>
            <w:shd w:val="clear" w:color="auto" w:fill="auto"/>
            <w:noWrap/>
            <w:vAlign w:val="center"/>
            <w:hideMark/>
          </w:tcPr>
          <w:p w14:paraId="262A6B6D"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18</w:t>
            </w:r>
          </w:p>
        </w:tc>
        <w:tc>
          <w:tcPr>
            <w:tcW w:w="1134" w:type="dxa"/>
            <w:tcBorders>
              <w:top w:val="nil"/>
              <w:left w:val="nil"/>
              <w:bottom w:val="single" w:sz="4" w:space="0" w:color="auto"/>
              <w:right w:val="single" w:sz="4" w:space="0" w:color="auto"/>
            </w:tcBorders>
            <w:shd w:val="clear" w:color="auto" w:fill="auto"/>
            <w:noWrap/>
            <w:vAlign w:val="center"/>
            <w:hideMark/>
          </w:tcPr>
          <w:p w14:paraId="4467E980"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14</w:t>
            </w:r>
          </w:p>
        </w:tc>
        <w:tc>
          <w:tcPr>
            <w:tcW w:w="1134" w:type="dxa"/>
            <w:tcBorders>
              <w:top w:val="nil"/>
              <w:left w:val="nil"/>
              <w:bottom w:val="single" w:sz="4" w:space="0" w:color="auto"/>
              <w:right w:val="single" w:sz="4" w:space="0" w:color="auto"/>
            </w:tcBorders>
            <w:shd w:val="clear" w:color="auto" w:fill="auto"/>
            <w:noWrap/>
            <w:vAlign w:val="center"/>
            <w:hideMark/>
          </w:tcPr>
          <w:p w14:paraId="6175A71E"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59</w:t>
            </w:r>
          </w:p>
        </w:tc>
        <w:tc>
          <w:tcPr>
            <w:tcW w:w="1134" w:type="dxa"/>
            <w:tcBorders>
              <w:top w:val="nil"/>
              <w:left w:val="nil"/>
              <w:bottom w:val="single" w:sz="4" w:space="0" w:color="auto"/>
              <w:right w:val="single" w:sz="4" w:space="0" w:color="auto"/>
            </w:tcBorders>
            <w:shd w:val="clear" w:color="auto" w:fill="auto"/>
            <w:noWrap/>
            <w:vAlign w:val="bottom"/>
            <w:hideMark/>
          </w:tcPr>
          <w:p w14:paraId="79991F02"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76</w:t>
            </w:r>
          </w:p>
        </w:tc>
        <w:tc>
          <w:tcPr>
            <w:tcW w:w="1418" w:type="dxa"/>
            <w:tcBorders>
              <w:top w:val="nil"/>
              <w:left w:val="nil"/>
              <w:bottom w:val="single" w:sz="4" w:space="0" w:color="auto"/>
              <w:right w:val="single" w:sz="4" w:space="0" w:color="auto"/>
            </w:tcBorders>
            <w:shd w:val="clear" w:color="auto" w:fill="auto"/>
            <w:noWrap/>
            <w:vAlign w:val="center"/>
            <w:hideMark/>
          </w:tcPr>
          <w:p w14:paraId="02478C43"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2 714</w:t>
            </w:r>
          </w:p>
        </w:tc>
        <w:tc>
          <w:tcPr>
            <w:tcW w:w="1134" w:type="dxa"/>
            <w:tcBorders>
              <w:top w:val="nil"/>
              <w:left w:val="nil"/>
              <w:bottom w:val="single" w:sz="4" w:space="0" w:color="auto"/>
              <w:right w:val="single" w:sz="4" w:space="0" w:color="auto"/>
            </w:tcBorders>
            <w:shd w:val="clear" w:color="auto" w:fill="auto"/>
            <w:noWrap/>
            <w:vAlign w:val="center"/>
            <w:hideMark/>
          </w:tcPr>
          <w:p w14:paraId="0DDC959F"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42 206</w:t>
            </w:r>
          </w:p>
        </w:tc>
      </w:tr>
      <w:tr w:rsidR="005D2703" w:rsidRPr="009613C9" w14:paraId="1B9C2C80" w14:textId="77777777" w:rsidTr="005D2703">
        <w:trPr>
          <w:trHeight w:val="300"/>
        </w:trPr>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14:paraId="4E208C19" w14:textId="77777777" w:rsidR="005D2703" w:rsidRPr="009613C9" w:rsidRDefault="005D2703" w:rsidP="005D2703">
            <w:pPr>
              <w:spacing w:after="0" w:line="240" w:lineRule="auto"/>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Počet obyv. (%)</w:t>
            </w:r>
          </w:p>
        </w:tc>
        <w:tc>
          <w:tcPr>
            <w:tcW w:w="1250" w:type="dxa"/>
            <w:tcBorders>
              <w:top w:val="nil"/>
              <w:left w:val="nil"/>
              <w:bottom w:val="single" w:sz="4" w:space="0" w:color="auto"/>
              <w:right w:val="single" w:sz="4" w:space="0" w:color="auto"/>
            </w:tcBorders>
            <w:shd w:val="clear" w:color="auto" w:fill="auto"/>
            <w:noWrap/>
            <w:vAlign w:val="center"/>
            <w:hideMark/>
          </w:tcPr>
          <w:p w14:paraId="51AB71A0"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3932D919"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6EBF62FB"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3F451B4A"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0,18</w:t>
            </w:r>
          </w:p>
        </w:tc>
        <w:tc>
          <w:tcPr>
            <w:tcW w:w="1418" w:type="dxa"/>
            <w:tcBorders>
              <w:top w:val="nil"/>
              <w:left w:val="nil"/>
              <w:bottom w:val="single" w:sz="4" w:space="0" w:color="auto"/>
              <w:right w:val="single" w:sz="4" w:space="0" w:color="auto"/>
            </w:tcBorders>
            <w:shd w:val="clear" w:color="auto" w:fill="auto"/>
            <w:noWrap/>
            <w:vAlign w:val="center"/>
            <w:hideMark/>
          </w:tcPr>
          <w:p w14:paraId="5934B322"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6,43</w:t>
            </w:r>
          </w:p>
        </w:tc>
        <w:tc>
          <w:tcPr>
            <w:tcW w:w="1134" w:type="dxa"/>
            <w:tcBorders>
              <w:top w:val="nil"/>
              <w:left w:val="nil"/>
              <w:bottom w:val="single" w:sz="4" w:space="0" w:color="auto"/>
              <w:right w:val="single" w:sz="4" w:space="0" w:color="auto"/>
            </w:tcBorders>
            <w:shd w:val="clear" w:color="auto" w:fill="auto"/>
            <w:noWrap/>
            <w:vAlign w:val="center"/>
            <w:hideMark/>
          </w:tcPr>
          <w:p w14:paraId="55C9039B" w14:textId="77777777" w:rsidR="005D2703" w:rsidRPr="009613C9" w:rsidRDefault="005D2703" w:rsidP="005D2703">
            <w:pPr>
              <w:spacing w:after="0" w:line="240" w:lineRule="auto"/>
              <w:jc w:val="center"/>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100,00</w:t>
            </w:r>
          </w:p>
        </w:tc>
      </w:tr>
    </w:tbl>
    <w:p w14:paraId="5163E026" w14:textId="77777777" w:rsidR="00E225CE" w:rsidRPr="00B6690C" w:rsidRDefault="00E225CE" w:rsidP="00B6690C">
      <w:pPr>
        <w:spacing w:before="120" w:after="0" w:line="360" w:lineRule="auto"/>
        <w:rPr>
          <w:rFonts w:ascii="Times New Roman" w:hAnsi="Times New Roman" w:cs="Times New Roman"/>
          <w:b/>
          <w:i/>
          <w:sz w:val="24"/>
          <w:szCs w:val="24"/>
        </w:rPr>
      </w:pPr>
      <w:r w:rsidRPr="00B6690C">
        <w:rPr>
          <w:rFonts w:ascii="Times New Roman" w:hAnsi="Times New Roman" w:cs="Times New Roman"/>
          <w:b/>
          <w:i/>
          <w:sz w:val="24"/>
          <w:szCs w:val="24"/>
        </w:rPr>
        <w:lastRenderedPageBreak/>
        <w:t>Vierovyznanie</w:t>
      </w:r>
    </w:p>
    <w:p w14:paraId="7F9AEDBD"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Religiózna skladba obyvateľstva Kopaničiarskeho regiónu je v porovnaní s národnostnou značne pestrejšia. Vzhľadom na celoslovenský priemer, je špecifikom tohto regiónu  dominancia </w:t>
      </w:r>
      <w:r w:rsidR="00853D57">
        <w:rPr>
          <w:rFonts w:ascii="Times New Roman" w:hAnsi="Times New Roman" w:cs="Times New Roman"/>
          <w:sz w:val="24"/>
          <w:szCs w:val="24"/>
        </w:rPr>
        <w:t>e</w:t>
      </w:r>
      <w:r w:rsidR="00E225CE" w:rsidRPr="00E225CE">
        <w:rPr>
          <w:rFonts w:ascii="Times New Roman" w:hAnsi="Times New Roman" w:cs="Times New Roman"/>
          <w:sz w:val="24"/>
          <w:szCs w:val="24"/>
        </w:rPr>
        <w:t xml:space="preserve">vanjelickej cirkvi </w:t>
      </w:r>
      <w:r w:rsidR="00853D57">
        <w:rPr>
          <w:rFonts w:ascii="Times New Roman" w:hAnsi="Times New Roman" w:cs="Times New Roman"/>
          <w:sz w:val="24"/>
          <w:szCs w:val="24"/>
        </w:rPr>
        <w:t>(</w:t>
      </w:r>
      <w:r w:rsidR="00E225CE" w:rsidRPr="00E225CE">
        <w:rPr>
          <w:rFonts w:ascii="Times New Roman" w:hAnsi="Times New Roman" w:cs="Times New Roman"/>
          <w:sz w:val="24"/>
          <w:szCs w:val="24"/>
        </w:rPr>
        <w:t>augsburského vyznania</w:t>
      </w:r>
      <w:r w:rsidR="00853D57">
        <w:rPr>
          <w:rFonts w:ascii="Times New Roman" w:hAnsi="Times New Roman" w:cs="Times New Roman"/>
          <w:sz w:val="24"/>
          <w:szCs w:val="24"/>
        </w:rPr>
        <w:t xml:space="preserve"> a metodistická)</w:t>
      </w:r>
      <w:r w:rsidR="00E225CE" w:rsidRPr="00E225CE">
        <w:rPr>
          <w:rFonts w:ascii="Times New Roman" w:hAnsi="Times New Roman" w:cs="Times New Roman"/>
          <w:sz w:val="24"/>
          <w:szCs w:val="24"/>
        </w:rPr>
        <w:t>, ku ktorej sa v roku 20</w:t>
      </w:r>
      <w:r w:rsidR="00853D57">
        <w:rPr>
          <w:rFonts w:ascii="Times New Roman" w:hAnsi="Times New Roman" w:cs="Times New Roman"/>
          <w:sz w:val="24"/>
          <w:szCs w:val="24"/>
        </w:rPr>
        <w:t>11</w:t>
      </w:r>
      <w:r w:rsidR="00E225CE" w:rsidRPr="00E225CE">
        <w:rPr>
          <w:rFonts w:ascii="Times New Roman" w:hAnsi="Times New Roman" w:cs="Times New Roman"/>
          <w:sz w:val="24"/>
          <w:szCs w:val="24"/>
        </w:rPr>
        <w:t xml:space="preserve"> prihlásilo </w:t>
      </w:r>
      <w:r w:rsidR="00853D57">
        <w:rPr>
          <w:rFonts w:ascii="Times New Roman" w:hAnsi="Times New Roman" w:cs="Times New Roman"/>
          <w:sz w:val="24"/>
          <w:szCs w:val="24"/>
        </w:rPr>
        <w:t>22 047</w:t>
      </w:r>
      <w:r w:rsidR="00E225CE" w:rsidRPr="00E225CE">
        <w:rPr>
          <w:rFonts w:ascii="Times New Roman" w:hAnsi="Times New Roman" w:cs="Times New Roman"/>
          <w:sz w:val="24"/>
          <w:szCs w:val="24"/>
        </w:rPr>
        <w:t xml:space="preserve"> obyvateľov, teda </w:t>
      </w:r>
      <w:r w:rsidR="00853D57">
        <w:rPr>
          <w:rFonts w:ascii="Times New Roman" w:hAnsi="Times New Roman" w:cs="Times New Roman"/>
          <w:sz w:val="24"/>
          <w:szCs w:val="24"/>
        </w:rPr>
        <w:t>48,9</w:t>
      </w:r>
      <w:r w:rsidR="00E225CE" w:rsidRPr="00E225CE">
        <w:rPr>
          <w:rFonts w:ascii="Times New Roman" w:hAnsi="Times New Roman" w:cs="Times New Roman"/>
          <w:sz w:val="24"/>
          <w:szCs w:val="24"/>
        </w:rPr>
        <w:t xml:space="preserve"> % (tabuľka 2.3.6 a graf 2.3.7). Toto vierovyznanie je dominantné vo všetkých obciach regiónu s výnimkou obce Hrachovište. Najvyšší podiel evanjelikov bol zaznamenaný v obciach Chvojnica</w:t>
      </w:r>
      <w:r w:rsidR="00853D57">
        <w:rPr>
          <w:rFonts w:ascii="Times New Roman" w:hAnsi="Times New Roman" w:cs="Times New Roman"/>
          <w:sz w:val="24"/>
          <w:szCs w:val="24"/>
        </w:rPr>
        <w:t xml:space="preserve"> (vyše 86 %)</w:t>
      </w:r>
      <w:r w:rsidR="00E225CE" w:rsidRPr="00E225CE">
        <w:rPr>
          <w:rFonts w:ascii="Times New Roman" w:hAnsi="Times New Roman" w:cs="Times New Roman"/>
          <w:sz w:val="24"/>
          <w:szCs w:val="24"/>
        </w:rPr>
        <w:t xml:space="preserve"> a</w:t>
      </w:r>
      <w:r w:rsidR="00853D57">
        <w:rPr>
          <w:rFonts w:ascii="Times New Roman" w:hAnsi="Times New Roman" w:cs="Times New Roman"/>
          <w:sz w:val="24"/>
          <w:szCs w:val="24"/>
        </w:rPr>
        <w:t> </w:t>
      </w:r>
      <w:r w:rsidR="00E225CE" w:rsidRPr="00E225CE">
        <w:rPr>
          <w:rFonts w:ascii="Times New Roman" w:hAnsi="Times New Roman" w:cs="Times New Roman"/>
          <w:sz w:val="24"/>
          <w:szCs w:val="24"/>
        </w:rPr>
        <w:t>Vrbovce</w:t>
      </w:r>
      <w:r w:rsidR="00853D57">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vyše </w:t>
      </w:r>
      <w:r w:rsidR="00853D57">
        <w:rPr>
          <w:rFonts w:ascii="Times New Roman" w:hAnsi="Times New Roman" w:cs="Times New Roman"/>
          <w:sz w:val="24"/>
          <w:szCs w:val="24"/>
        </w:rPr>
        <w:t>7</w:t>
      </w:r>
      <w:r w:rsidR="00E225CE" w:rsidRPr="00E225CE">
        <w:rPr>
          <w:rFonts w:ascii="Times New Roman" w:hAnsi="Times New Roman" w:cs="Times New Roman"/>
          <w:sz w:val="24"/>
          <w:szCs w:val="24"/>
        </w:rPr>
        <w:t>7 %</w:t>
      </w:r>
      <w:r w:rsidR="00A714B0">
        <w:rPr>
          <w:rFonts w:ascii="Times New Roman" w:hAnsi="Times New Roman" w:cs="Times New Roman"/>
          <w:sz w:val="24"/>
          <w:szCs w:val="24"/>
        </w:rPr>
        <w:t>)</w:t>
      </w:r>
      <w:r w:rsidR="00E225CE" w:rsidRPr="00E225CE">
        <w:rPr>
          <w:rFonts w:ascii="Times New Roman" w:hAnsi="Times New Roman" w:cs="Times New Roman"/>
          <w:sz w:val="24"/>
          <w:szCs w:val="24"/>
        </w:rPr>
        <w:t xml:space="preserve">, v ďalších </w:t>
      </w:r>
      <w:r w:rsidR="00A714B0">
        <w:rPr>
          <w:rFonts w:ascii="Times New Roman" w:hAnsi="Times New Roman" w:cs="Times New Roman"/>
          <w:sz w:val="24"/>
          <w:szCs w:val="24"/>
        </w:rPr>
        <w:t>5</w:t>
      </w:r>
      <w:r w:rsidR="00E225CE" w:rsidRPr="00E225CE">
        <w:rPr>
          <w:rFonts w:ascii="Times New Roman" w:hAnsi="Times New Roman" w:cs="Times New Roman"/>
          <w:sz w:val="24"/>
          <w:szCs w:val="24"/>
        </w:rPr>
        <w:t xml:space="preserve"> obciach však podiel tohto vyznania presahuje </w:t>
      </w:r>
      <w:r w:rsidR="00A714B0">
        <w:rPr>
          <w:rFonts w:ascii="Times New Roman" w:hAnsi="Times New Roman" w:cs="Times New Roman"/>
          <w:sz w:val="24"/>
          <w:szCs w:val="24"/>
        </w:rPr>
        <w:t>7</w:t>
      </w:r>
      <w:r w:rsidR="00E225CE" w:rsidRPr="00E225CE">
        <w:rPr>
          <w:rFonts w:ascii="Times New Roman" w:hAnsi="Times New Roman" w:cs="Times New Roman"/>
          <w:sz w:val="24"/>
          <w:szCs w:val="24"/>
        </w:rPr>
        <w:t xml:space="preserve">0 %. </w:t>
      </w:r>
    </w:p>
    <w:p w14:paraId="759F66FD"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Druhou najvýznamnejšou skupinou obyvateľstva z hľadiska religióznej štruktúry s</w:t>
      </w:r>
      <w:r w:rsidR="00A714B0">
        <w:rPr>
          <w:rFonts w:ascii="Times New Roman" w:hAnsi="Times New Roman" w:cs="Times New Roman"/>
          <w:sz w:val="24"/>
          <w:szCs w:val="24"/>
        </w:rPr>
        <w:t>ú</w:t>
      </w:r>
      <w:r w:rsidR="00E225CE" w:rsidRPr="00E225CE">
        <w:rPr>
          <w:rFonts w:ascii="Times New Roman" w:hAnsi="Times New Roman" w:cs="Times New Roman"/>
          <w:sz w:val="24"/>
          <w:szCs w:val="24"/>
        </w:rPr>
        <w:t xml:space="preserve"> obyvatelia bez vyznania. Tí dosahujú až </w:t>
      </w:r>
      <w:r w:rsidR="00A714B0">
        <w:rPr>
          <w:rFonts w:ascii="Times New Roman" w:hAnsi="Times New Roman" w:cs="Times New Roman"/>
          <w:sz w:val="24"/>
          <w:szCs w:val="24"/>
        </w:rPr>
        <w:t xml:space="preserve">21,55 </w:t>
      </w:r>
      <w:r w:rsidR="00E225CE" w:rsidRPr="00E225CE">
        <w:rPr>
          <w:rFonts w:ascii="Times New Roman" w:hAnsi="Times New Roman" w:cs="Times New Roman"/>
          <w:sz w:val="24"/>
          <w:szCs w:val="24"/>
        </w:rPr>
        <w:t>%-ný podiel na celkovej populácii. Treba konštatovať, že o tento stav je najmä v mestách kde kategória bez vyznania presahuje 20 %. Len o niečo nižší  podiel (</w:t>
      </w:r>
      <w:r w:rsidR="00A714B0">
        <w:rPr>
          <w:rFonts w:ascii="Times New Roman" w:hAnsi="Times New Roman" w:cs="Times New Roman"/>
          <w:sz w:val="24"/>
          <w:szCs w:val="24"/>
        </w:rPr>
        <w:t>17,74</w:t>
      </w:r>
      <w:r w:rsidR="00E225CE" w:rsidRPr="00E225CE">
        <w:rPr>
          <w:rFonts w:ascii="Times New Roman" w:hAnsi="Times New Roman" w:cs="Times New Roman"/>
          <w:sz w:val="24"/>
          <w:szCs w:val="24"/>
        </w:rPr>
        <w:t xml:space="preserve"> %) dosahujú v Kopaničiarskom regióne obyvatelia hlásiaci sa k Rímskokatolíckej cirkvi. Ide o</w:t>
      </w:r>
      <w:r w:rsidR="00B6690C">
        <w:rPr>
          <w:rFonts w:ascii="Times New Roman" w:hAnsi="Times New Roman" w:cs="Times New Roman"/>
          <w:sz w:val="24"/>
          <w:szCs w:val="24"/>
        </w:rPr>
        <w:t> </w:t>
      </w:r>
      <w:r w:rsidR="00E225CE" w:rsidRPr="00E225CE">
        <w:rPr>
          <w:rFonts w:ascii="Times New Roman" w:hAnsi="Times New Roman" w:cs="Times New Roman"/>
          <w:sz w:val="24"/>
          <w:szCs w:val="24"/>
        </w:rPr>
        <w:t>ďalšiu</w:t>
      </w:r>
      <w:r w:rsidR="00B6690C">
        <w:rPr>
          <w:rFonts w:ascii="Times New Roman" w:hAnsi="Times New Roman" w:cs="Times New Roman"/>
          <w:sz w:val="24"/>
          <w:szCs w:val="24"/>
        </w:rPr>
        <w:t xml:space="preserve"> </w:t>
      </w:r>
      <w:r w:rsidR="00E225CE" w:rsidRPr="00E225CE">
        <w:rPr>
          <w:rFonts w:ascii="Times New Roman" w:hAnsi="Times New Roman" w:cs="Times New Roman"/>
          <w:sz w:val="24"/>
          <w:szCs w:val="24"/>
        </w:rPr>
        <w:t>skupinu obyvateľov, ktorá je prítomná v každej obci regiónu. V obci Hrachovište je rímskokatolícke vyznanie dominantnou relígiou (</w:t>
      </w:r>
      <w:r w:rsidR="00A714B0">
        <w:rPr>
          <w:rFonts w:ascii="Times New Roman" w:hAnsi="Times New Roman" w:cs="Times New Roman"/>
          <w:sz w:val="24"/>
          <w:szCs w:val="24"/>
        </w:rPr>
        <w:t>48,52</w:t>
      </w:r>
      <w:r w:rsidR="00E225CE" w:rsidRPr="00E225CE">
        <w:rPr>
          <w:rFonts w:ascii="Times New Roman" w:hAnsi="Times New Roman" w:cs="Times New Roman"/>
          <w:sz w:val="24"/>
          <w:szCs w:val="24"/>
        </w:rPr>
        <w:t xml:space="preserve"> %). V 1</w:t>
      </w:r>
      <w:r w:rsidR="00A714B0">
        <w:rPr>
          <w:rFonts w:ascii="Times New Roman" w:hAnsi="Times New Roman" w:cs="Times New Roman"/>
          <w:sz w:val="24"/>
          <w:szCs w:val="24"/>
        </w:rPr>
        <w:t>1</w:t>
      </w:r>
      <w:r w:rsidR="00E225CE" w:rsidRPr="00E225CE">
        <w:rPr>
          <w:rFonts w:ascii="Times New Roman" w:hAnsi="Times New Roman" w:cs="Times New Roman"/>
          <w:sz w:val="24"/>
          <w:szCs w:val="24"/>
        </w:rPr>
        <w:t xml:space="preserve"> obciach však rím</w:t>
      </w:r>
      <w:r w:rsidR="00B6690C">
        <w:rPr>
          <w:rFonts w:ascii="Times New Roman" w:hAnsi="Times New Roman" w:cs="Times New Roman"/>
          <w:sz w:val="24"/>
          <w:szCs w:val="24"/>
        </w:rPr>
        <w:t>sk</w:t>
      </w:r>
      <w:r w:rsidR="00E225CE" w:rsidRPr="00E225CE">
        <w:rPr>
          <w:rFonts w:ascii="Times New Roman" w:hAnsi="Times New Roman" w:cs="Times New Roman"/>
          <w:sz w:val="24"/>
          <w:szCs w:val="24"/>
        </w:rPr>
        <w:t>okatolíci nedosahujú ani 10</w:t>
      </w:r>
      <w:r w:rsidR="00A714B0">
        <w:rPr>
          <w:rFonts w:ascii="Times New Roman" w:hAnsi="Times New Roman" w:cs="Times New Roman"/>
          <w:sz w:val="24"/>
          <w:szCs w:val="24"/>
        </w:rPr>
        <w:t xml:space="preserve"> </w:t>
      </w:r>
      <w:r w:rsidR="00E225CE" w:rsidRPr="00E225CE">
        <w:rPr>
          <w:rFonts w:ascii="Times New Roman" w:hAnsi="Times New Roman" w:cs="Times New Roman"/>
          <w:sz w:val="24"/>
          <w:szCs w:val="24"/>
        </w:rPr>
        <w:t>%</w:t>
      </w:r>
      <w:r w:rsidR="00A714B0">
        <w:rPr>
          <w:rFonts w:ascii="Times New Roman" w:hAnsi="Times New Roman" w:cs="Times New Roman"/>
          <w:sz w:val="24"/>
          <w:szCs w:val="24"/>
        </w:rPr>
        <w:t>-ný</w:t>
      </w:r>
      <w:r w:rsidR="00E225CE" w:rsidRPr="00E225CE">
        <w:rPr>
          <w:rFonts w:ascii="Times New Roman" w:hAnsi="Times New Roman" w:cs="Times New Roman"/>
          <w:sz w:val="24"/>
          <w:szCs w:val="24"/>
        </w:rPr>
        <w:t xml:space="preserve"> podiel. Obcou s najnižším podielom príslušníkov tejto relígie je Brestovec (</w:t>
      </w:r>
      <w:r w:rsidR="00A714B0">
        <w:rPr>
          <w:rFonts w:ascii="Times New Roman" w:hAnsi="Times New Roman" w:cs="Times New Roman"/>
          <w:sz w:val="24"/>
          <w:szCs w:val="24"/>
        </w:rPr>
        <w:t>5,2</w:t>
      </w:r>
      <w:r w:rsidR="00E225CE" w:rsidRPr="00E225CE">
        <w:rPr>
          <w:rFonts w:ascii="Times New Roman" w:hAnsi="Times New Roman" w:cs="Times New Roman"/>
          <w:sz w:val="24"/>
          <w:szCs w:val="24"/>
        </w:rPr>
        <w:t xml:space="preserve"> %). </w:t>
      </w:r>
    </w:p>
    <w:p w14:paraId="7F3EF782"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sú prítomní občania hlásiaci sa aj k ďalším relígiám (Gréckokatolícka cirkev, Pravoslávna cirkev, Reformovaná kresťanská cirkev, Apoštolská cirkev, Starokatolícka cirkev, Bratská jednota baptistov, Cirkev československá husitská, Cirkev adventistov siedmeho dňa, Cirkev bratská, Kresťanské zbory, Židovská náboženská obec, Náboženská spoločnosť Jehovovi svedkovia a iné). K žiadnej z týchto relígií sa však nehlási viac ako 1 % občanov regiónu. </w:t>
      </w:r>
    </w:p>
    <w:p w14:paraId="2DAA4351" w14:textId="77777777" w:rsidR="00A714B0" w:rsidRPr="00EE3313" w:rsidRDefault="00E225CE" w:rsidP="00BF7391">
      <w:pPr>
        <w:keepNext/>
        <w:spacing w:before="120" w:after="0" w:line="360" w:lineRule="auto"/>
        <w:rPr>
          <w:rFonts w:ascii="Times New Roman" w:hAnsi="Times New Roman" w:cs="Times New Roman"/>
          <w:b/>
          <w:sz w:val="20"/>
          <w:szCs w:val="20"/>
        </w:rPr>
      </w:pPr>
      <w:r w:rsidRPr="00EE3313">
        <w:rPr>
          <w:rFonts w:ascii="Times New Roman" w:hAnsi="Times New Roman" w:cs="Times New Roman"/>
          <w:b/>
          <w:sz w:val="20"/>
          <w:szCs w:val="20"/>
        </w:rPr>
        <w:t xml:space="preserve">Tabuľka </w:t>
      </w:r>
      <w:r w:rsidR="00BF7391" w:rsidRPr="00EE3313">
        <w:rPr>
          <w:rFonts w:ascii="Times New Roman" w:hAnsi="Times New Roman" w:cs="Times New Roman"/>
          <w:b/>
          <w:sz w:val="20"/>
          <w:szCs w:val="20"/>
        </w:rPr>
        <w:t>3.1.9</w:t>
      </w:r>
      <w:r w:rsidRPr="00EE3313">
        <w:rPr>
          <w:rFonts w:ascii="Times New Roman" w:hAnsi="Times New Roman" w:cs="Times New Roman"/>
          <w:b/>
          <w:sz w:val="20"/>
          <w:szCs w:val="20"/>
        </w:rPr>
        <w:t xml:space="preserve"> Vierovyznanie v Kopaničiarskom  regióne v roku 20</w:t>
      </w:r>
      <w:r w:rsidR="00A714B0" w:rsidRPr="00EE3313">
        <w:rPr>
          <w:rFonts w:ascii="Times New Roman" w:hAnsi="Times New Roman" w:cs="Times New Roman"/>
          <w:b/>
          <w:sz w:val="20"/>
          <w:szCs w:val="20"/>
        </w:rPr>
        <w:t>11</w:t>
      </w:r>
    </w:p>
    <w:tbl>
      <w:tblPr>
        <w:tblW w:w="7480" w:type="dxa"/>
        <w:tblInd w:w="55" w:type="dxa"/>
        <w:tblCellMar>
          <w:left w:w="70" w:type="dxa"/>
          <w:right w:w="70" w:type="dxa"/>
        </w:tblCellMar>
        <w:tblLook w:val="04A0" w:firstRow="1" w:lastRow="0" w:firstColumn="1" w:lastColumn="0" w:noHBand="0" w:noVBand="1"/>
      </w:tblPr>
      <w:tblGrid>
        <w:gridCol w:w="3100"/>
        <w:gridCol w:w="1960"/>
        <w:gridCol w:w="1160"/>
        <w:gridCol w:w="1260"/>
      </w:tblGrid>
      <w:tr w:rsidR="00BF7391" w:rsidRPr="009613C9" w14:paraId="3053C3EA" w14:textId="77777777" w:rsidTr="00BF7391">
        <w:trPr>
          <w:trHeight w:val="315"/>
        </w:trPr>
        <w:tc>
          <w:tcPr>
            <w:tcW w:w="506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E55576"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Vierovyznanie</w:t>
            </w:r>
          </w:p>
        </w:tc>
        <w:tc>
          <w:tcPr>
            <w:tcW w:w="1160" w:type="dxa"/>
            <w:tcBorders>
              <w:top w:val="single" w:sz="4" w:space="0" w:color="auto"/>
              <w:left w:val="nil"/>
              <w:bottom w:val="single" w:sz="4" w:space="0" w:color="auto"/>
              <w:right w:val="single" w:sz="4" w:space="0" w:color="auto"/>
            </w:tcBorders>
            <w:shd w:val="clear" w:color="000000" w:fill="D9D9D9"/>
            <w:noWrap/>
            <w:vAlign w:val="bottom"/>
            <w:hideMark/>
          </w:tcPr>
          <w:p w14:paraId="340C844F" w14:textId="77777777" w:rsidR="00BF7391" w:rsidRPr="009613C9" w:rsidRDefault="00BF7391" w:rsidP="00BF7391">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Počet</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5F3C88AA" w14:textId="77777777" w:rsidR="00BF7391" w:rsidRPr="009613C9" w:rsidRDefault="00BF7391" w:rsidP="00BF7391">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Percento</w:t>
            </w:r>
          </w:p>
        </w:tc>
      </w:tr>
      <w:tr w:rsidR="00BF7391" w:rsidRPr="009613C9" w14:paraId="57FA006A" w14:textId="77777777" w:rsidTr="00BF7391">
        <w:trPr>
          <w:trHeight w:val="570"/>
        </w:trPr>
        <w:tc>
          <w:tcPr>
            <w:tcW w:w="3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88FBFE7"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Veriaci, hlásiaci sa k cirkvi</w:t>
            </w:r>
          </w:p>
        </w:tc>
        <w:tc>
          <w:tcPr>
            <w:tcW w:w="1960" w:type="dxa"/>
            <w:tcBorders>
              <w:top w:val="nil"/>
              <w:left w:val="nil"/>
              <w:bottom w:val="single" w:sz="4" w:space="0" w:color="auto"/>
              <w:right w:val="single" w:sz="4" w:space="0" w:color="auto"/>
            </w:tcBorders>
            <w:shd w:val="clear" w:color="000000" w:fill="D9D9D9"/>
            <w:vAlign w:val="center"/>
            <w:hideMark/>
          </w:tcPr>
          <w:p w14:paraId="5DC1B6DD" w14:textId="77777777" w:rsidR="00BF7391" w:rsidRPr="009613C9" w:rsidRDefault="00BF7391" w:rsidP="00BF7391">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Rímskokatolícka cirkev</w:t>
            </w:r>
          </w:p>
        </w:tc>
        <w:tc>
          <w:tcPr>
            <w:tcW w:w="1160" w:type="dxa"/>
            <w:tcBorders>
              <w:top w:val="nil"/>
              <w:left w:val="nil"/>
              <w:bottom w:val="single" w:sz="4" w:space="0" w:color="auto"/>
              <w:right w:val="single" w:sz="4" w:space="0" w:color="auto"/>
            </w:tcBorders>
            <w:shd w:val="clear" w:color="auto" w:fill="auto"/>
            <w:noWrap/>
            <w:vAlign w:val="bottom"/>
            <w:hideMark/>
          </w:tcPr>
          <w:p w14:paraId="6B913418"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7 999</w:t>
            </w:r>
          </w:p>
        </w:tc>
        <w:tc>
          <w:tcPr>
            <w:tcW w:w="1260" w:type="dxa"/>
            <w:tcBorders>
              <w:top w:val="nil"/>
              <w:left w:val="nil"/>
              <w:bottom w:val="single" w:sz="4" w:space="0" w:color="auto"/>
              <w:right w:val="single" w:sz="4" w:space="0" w:color="auto"/>
            </w:tcBorders>
            <w:shd w:val="clear" w:color="auto" w:fill="auto"/>
            <w:noWrap/>
            <w:vAlign w:val="bottom"/>
            <w:hideMark/>
          </w:tcPr>
          <w:p w14:paraId="3C886791"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17,74</w:t>
            </w:r>
          </w:p>
        </w:tc>
      </w:tr>
      <w:tr w:rsidR="00BF7391" w:rsidRPr="009613C9" w14:paraId="7BF59515" w14:textId="77777777" w:rsidTr="00BF7391">
        <w:trPr>
          <w:trHeight w:val="1425"/>
        </w:trPr>
        <w:tc>
          <w:tcPr>
            <w:tcW w:w="3100" w:type="dxa"/>
            <w:vMerge/>
            <w:tcBorders>
              <w:top w:val="nil"/>
              <w:left w:val="single" w:sz="4" w:space="0" w:color="auto"/>
              <w:bottom w:val="single" w:sz="4" w:space="0" w:color="auto"/>
              <w:right w:val="single" w:sz="4" w:space="0" w:color="auto"/>
            </w:tcBorders>
            <w:vAlign w:val="center"/>
            <w:hideMark/>
          </w:tcPr>
          <w:p w14:paraId="2CEEBB13"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p>
        </w:tc>
        <w:tc>
          <w:tcPr>
            <w:tcW w:w="1960" w:type="dxa"/>
            <w:tcBorders>
              <w:top w:val="nil"/>
              <w:left w:val="nil"/>
              <w:bottom w:val="single" w:sz="4" w:space="0" w:color="auto"/>
              <w:right w:val="single" w:sz="4" w:space="0" w:color="auto"/>
            </w:tcBorders>
            <w:shd w:val="clear" w:color="000000" w:fill="D9D9D9"/>
            <w:vAlign w:val="center"/>
            <w:hideMark/>
          </w:tcPr>
          <w:p w14:paraId="5D8B9633" w14:textId="77777777" w:rsidR="00BF7391" w:rsidRPr="009613C9" w:rsidRDefault="00BF7391" w:rsidP="00BF7391">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Evanjelická cirkev (augsburského vyznania a metodistická)</w:t>
            </w:r>
          </w:p>
        </w:tc>
        <w:tc>
          <w:tcPr>
            <w:tcW w:w="1160" w:type="dxa"/>
            <w:tcBorders>
              <w:top w:val="nil"/>
              <w:left w:val="nil"/>
              <w:bottom w:val="single" w:sz="4" w:space="0" w:color="auto"/>
              <w:right w:val="single" w:sz="4" w:space="0" w:color="auto"/>
            </w:tcBorders>
            <w:shd w:val="clear" w:color="auto" w:fill="auto"/>
            <w:noWrap/>
            <w:vAlign w:val="center"/>
            <w:hideMark/>
          </w:tcPr>
          <w:p w14:paraId="4F0E1B9C" w14:textId="77777777" w:rsidR="00BF7391" w:rsidRPr="009613C9" w:rsidRDefault="00BF7391" w:rsidP="00BF7391">
            <w:pPr>
              <w:spacing w:after="0" w:line="240" w:lineRule="auto"/>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22 047</w:t>
            </w:r>
          </w:p>
        </w:tc>
        <w:tc>
          <w:tcPr>
            <w:tcW w:w="1260" w:type="dxa"/>
            <w:tcBorders>
              <w:top w:val="nil"/>
              <w:left w:val="nil"/>
              <w:bottom w:val="single" w:sz="4" w:space="0" w:color="auto"/>
              <w:right w:val="single" w:sz="4" w:space="0" w:color="auto"/>
            </w:tcBorders>
            <w:shd w:val="clear" w:color="auto" w:fill="auto"/>
            <w:noWrap/>
            <w:vAlign w:val="center"/>
            <w:hideMark/>
          </w:tcPr>
          <w:p w14:paraId="6B461DE4"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48,90</w:t>
            </w:r>
          </w:p>
        </w:tc>
      </w:tr>
      <w:tr w:rsidR="00BF7391" w:rsidRPr="009613C9" w14:paraId="390D8EFE" w14:textId="77777777" w:rsidTr="00BF7391">
        <w:trPr>
          <w:trHeight w:val="315"/>
        </w:trPr>
        <w:tc>
          <w:tcPr>
            <w:tcW w:w="3100" w:type="dxa"/>
            <w:vMerge/>
            <w:tcBorders>
              <w:top w:val="nil"/>
              <w:left w:val="single" w:sz="4" w:space="0" w:color="auto"/>
              <w:bottom w:val="single" w:sz="4" w:space="0" w:color="auto"/>
              <w:right w:val="single" w:sz="4" w:space="0" w:color="auto"/>
            </w:tcBorders>
            <w:vAlign w:val="center"/>
            <w:hideMark/>
          </w:tcPr>
          <w:p w14:paraId="17653E24"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p>
        </w:tc>
        <w:tc>
          <w:tcPr>
            <w:tcW w:w="1960" w:type="dxa"/>
            <w:tcBorders>
              <w:top w:val="nil"/>
              <w:left w:val="nil"/>
              <w:bottom w:val="single" w:sz="4" w:space="0" w:color="auto"/>
              <w:right w:val="single" w:sz="4" w:space="0" w:color="auto"/>
            </w:tcBorders>
            <w:shd w:val="clear" w:color="000000" w:fill="D9D9D9"/>
            <w:vAlign w:val="center"/>
            <w:hideMark/>
          </w:tcPr>
          <w:p w14:paraId="220DBA21" w14:textId="77777777" w:rsidR="00BF7391" w:rsidRPr="009613C9" w:rsidRDefault="00BF7391" w:rsidP="00BF7391">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Ostatné cirkvi*</w:t>
            </w:r>
          </w:p>
        </w:tc>
        <w:tc>
          <w:tcPr>
            <w:tcW w:w="1160" w:type="dxa"/>
            <w:tcBorders>
              <w:top w:val="nil"/>
              <w:left w:val="nil"/>
              <w:bottom w:val="single" w:sz="4" w:space="0" w:color="auto"/>
              <w:right w:val="single" w:sz="4" w:space="0" w:color="auto"/>
            </w:tcBorders>
            <w:shd w:val="clear" w:color="auto" w:fill="auto"/>
            <w:noWrap/>
            <w:vAlign w:val="bottom"/>
            <w:hideMark/>
          </w:tcPr>
          <w:p w14:paraId="03AA4FAB"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704</w:t>
            </w:r>
          </w:p>
        </w:tc>
        <w:tc>
          <w:tcPr>
            <w:tcW w:w="1260" w:type="dxa"/>
            <w:tcBorders>
              <w:top w:val="nil"/>
              <w:left w:val="nil"/>
              <w:bottom w:val="single" w:sz="4" w:space="0" w:color="auto"/>
              <w:right w:val="single" w:sz="4" w:space="0" w:color="auto"/>
            </w:tcBorders>
            <w:shd w:val="clear" w:color="auto" w:fill="auto"/>
            <w:noWrap/>
            <w:vAlign w:val="bottom"/>
            <w:hideMark/>
          </w:tcPr>
          <w:p w14:paraId="37BF1822"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1,56</w:t>
            </w:r>
          </w:p>
        </w:tc>
      </w:tr>
      <w:tr w:rsidR="00BF7391" w:rsidRPr="009613C9" w14:paraId="448494C2" w14:textId="77777777" w:rsidTr="00BF7391">
        <w:trPr>
          <w:trHeight w:val="315"/>
        </w:trPr>
        <w:tc>
          <w:tcPr>
            <w:tcW w:w="506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8337A6B"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Veriaci, nehlásiaci sa k cirkvi</w:t>
            </w:r>
          </w:p>
        </w:tc>
        <w:tc>
          <w:tcPr>
            <w:tcW w:w="1160" w:type="dxa"/>
            <w:tcBorders>
              <w:top w:val="nil"/>
              <w:left w:val="nil"/>
              <w:bottom w:val="single" w:sz="4" w:space="0" w:color="auto"/>
              <w:right w:val="single" w:sz="4" w:space="0" w:color="auto"/>
            </w:tcBorders>
            <w:shd w:val="clear" w:color="auto" w:fill="auto"/>
            <w:noWrap/>
            <w:vAlign w:val="bottom"/>
            <w:hideMark/>
          </w:tcPr>
          <w:p w14:paraId="49EC3409"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209</w:t>
            </w:r>
          </w:p>
        </w:tc>
        <w:tc>
          <w:tcPr>
            <w:tcW w:w="1260" w:type="dxa"/>
            <w:tcBorders>
              <w:top w:val="nil"/>
              <w:left w:val="nil"/>
              <w:bottom w:val="single" w:sz="4" w:space="0" w:color="auto"/>
              <w:right w:val="single" w:sz="4" w:space="0" w:color="auto"/>
            </w:tcBorders>
            <w:shd w:val="clear" w:color="auto" w:fill="auto"/>
            <w:noWrap/>
            <w:vAlign w:val="bottom"/>
            <w:hideMark/>
          </w:tcPr>
          <w:p w14:paraId="05951CF5"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0,46</w:t>
            </w:r>
          </w:p>
        </w:tc>
      </w:tr>
      <w:tr w:rsidR="00BF7391" w:rsidRPr="009613C9" w14:paraId="658B4CA0" w14:textId="77777777" w:rsidTr="00BF7391">
        <w:trPr>
          <w:trHeight w:val="315"/>
        </w:trPr>
        <w:tc>
          <w:tcPr>
            <w:tcW w:w="506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D4BA155"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Bez viery</w:t>
            </w:r>
          </w:p>
        </w:tc>
        <w:tc>
          <w:tcPr>
            <w:tcW w:w="1160" w:type="dxa"/>
            <w:tcBorders>
              <w:top w:val="nil"/>
              <w:left w:val="nil"/>
              <w:bottom w:val="single" w:sz="4" w:space="0" w:color="auto"/>
              <w:right w:val="single" w:sz="4" w:space="0" w:color="auto"/>
            </w:tcBorders>
            <w:shd w:val="clear" w:color="auto" w:fill="auto"/>
            <w:noWrap/>
            <w:vAlign w:val="bottom"/>
            <w:hideMark/>
          </w:tcPr>
          <w:p w14:paraId="4978FEF6"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9 715</w:t>
            </w:r>
          </w:p>
        </w:tc>
        <w:tc>
          <w:tcPr>
            <w:tcW w:w="1260" w:type="dxa"/>
            <w:tcBorders>
              <w:top w:val="nil"/>
              <w:left w:val="nil"/>
              <w:bottom w:val="single" w:sz="4" w:space="0" w:color="auto"/>
              <w:right w:val="single" w:sz="4" w:space="0" w:color="auto"/>
            </w:tcBorders>
            <w:shd w:val="clear" w:color="auto" w:fill="auto"/>
            <w:noWrap/>
            <w:vAlign w:val="bottom"/>
            <w:hideMark/>
          </w:tcPr>
          <w:p w14:paraId="41DA0F57"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21,55</w:t>
            </w:r>
          </w:p>
        </w:tc>
      </w:tr>
      <w:tr w:rsidR="00BF7391" w:rsidRPr="009613C9" w14:paraId="69CF8A6D" w14:textId="77777777" w:rsidTr="00BF7391">
        <w:trPr>
          <w:trHeight w:val="315"/>
        </w:trPr>
        <w:tc>
          <w:tcPr>
            <w:tcW w:w="506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C079607" w14:textId="77777777" w:rsidR="00BF7391" w:rsidRPr="009613C9" w:rsidRDefault="00BF7391" w:rsidP="00BF7391">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Neuvedené</w:t>
            </w:r>
          </w:p>
        </w:tc>
        <w:tc>
          <w:tcPr>
            <w:tcW w:w="1160" w:type="dxa"/>
            <w:tcBorders>
              <w:top w:val="nil"/>
              <w:left w:val="nil"/>
              <w:bottom w:val="single" w:sz="4" w:space="0" w:color="auto"/>
              <w:right w:val="single" w:sz="4" w:space="0" w:color="auto"/>
            </w:tcBorders>
            <w:shd w:val="clear" w:color="auto" w:fill="auto"/>
            <w:noWrap/>
            <w:vAlign w:val="bottom"/>
            <w:hideMark/>
          </w:tcPr>
          <w:p w14:paraId="3A1366B5"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4 413</w:t>
            </w:r>
          </w:p>
        </w:tc>
        <w:tc>
          <w:tcPr>
            <w:tcW w:w="1260" w:type="dxa"/>
            <w:tcBorders>
              <w:top w:val="nil"/>
              <w:left w:val="nil"/>
              <w:bottom w:val="single" w:sz="4" w:space="0" w:color="auto"/>
              <w:right w:val="single" w:sz="4" w:space="0" w:color="auto"/>
            </w:tcBorders>
            <w:shd w:val="clear" w:color="auto" w:fill="auto"/>
            <w:noWrap/>
            <w:vAlign w:val="bottom"/>
            <w:hideMark/>
          </w:tcPr>
          <w:p w14:paraId="1557F144" w14:textId="77777777" w:rsidR="00BF7391" w:rsidRPr="009613C9" w:rsidRDefault="00BF7391"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9,79</w:t>
            </w:r>
          </w:p>
        </w:tc>
      </w:tr>
    </w:tbl>
    <w:p w14:paraId="59FE77CC" w14:textId="77777777" w:rsidR="00B63D93" w:rsidRPr="00EE3313" w:rsidRDefault="00B63D93" w:rsidP="00BF7391">
      <w:pPr>
        <w:keepNext/>
        <w:spacing w:after="0" w:line="360" w:lineRule="auto"/>
        <w:rPr>
          <w:rFonts w:ascii="Times New Roman" w:hAnsi="Times New Roman" w:cs="Times New Roman"/>
          <w:b/>
          <w:sz w:val="20"/>
          <w:szCs w:val="20"/>
        </w:rPr>
      </w:pPr>
      <w:r w:rsidRPr="00EE3313">
        <w:rPr>
          <w:rFonts w:ascii="Times New Roman" w:hAnsi="Times New Roman" w:cs="Times New Roman"/>
          <w:b/>
          <w:sz w:val="20"/>
          <w:szCs w:val="20"/>
        </w:rPr>
        <w:lastRenderedPageBreak/>
        <w:t xml:space="preserve">Graf </w:t>
      </w:r>
      <w:r w:rsidR="00BF7391" w:rsidRPr="00EE3313">
        <w:rPr>
          <w:rFonts w:ascii="Times New Roman" w:hAnsi="Times New Roman" w:cs="Times New Roman"/>
          <w:b/>
          <w:sz w:val="20"/>
          <w:szCs w:val="20"/>
        </w:rPr>
        <w:t>3.1.6</w:t>
      </w:r>
      <w:r w:rsidRPr="00EE3313">
        <w:rPr>
          <w:rFonts w:ascii="Times New Roman" w:hAnsi="Times New Roman" w:cs="Times New Roman"/>
          <w:b/>
          <w:sz w:val="20"/>
          <w:szCs w:val="20"/>
        </w:rPr>
        <w:t xml:space="preserve"> Vierovyznanie v Kopaničiarskom regióne v roku 2011</w:t>
      </w:r>
    </w:p>
    <w:p w14:paraId="1246C526" w14:textId="77777777" w:rsidR="00B63D93" w:rsidRDefault="00362E8C" w:rsidP="00E225CE">
      <w:pPr>
        <w:spacing w:after="0" w:line="360" w:lineRule="auto"/>
        <w:rPr>
          <w:rFonts w:ascii="Times New Roman" w:hAnsi="Times New Roman" w:cs="Times New Roman"/>
          <w:sz w:val="24"/>
          <w:szCs w:val="24"/>
        </w:rPr>
      </w:pPr>
      <w:r>
        <w:rPr>
          <w:noProof/>
          <w:lang w:eastAsia="sk-SK"/>
        </w:rPr>
        <w:drawing>
          <wp:inline distT="0" distB="0" distL="0" distR="0" wp14:anchorId="743E8BD3" wp14:editId="72F97356">
            <wp:extent cx="4572000" cy="2271713"/>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05F5D5" w14:textId="77777777" w:rsidR="00E225CE" w:rsidRPr="00E225CE" w:rsidRDefault="00E225CE" w:rsidP="00E225CE">
      <w:pPr>
        <w:spacing w:after="0" w:line="360" w:lineRule="auto"/>
        <w:rPr>
          <w:rFonts w:ascii="Times New Roman" w:hAnsi="Times New Roman" w:cs="Times New Roman"/>
          <w:sz w:val="24"/>
          <w:szCs w:val="24"/>
        </w:rPr>
      </w:pPr>
    </w:p>
    <w:p w14:paraId="3FB4BA9B" w14:textId="77777777" w:rsidR="00E225CE" w:rsidRPr="00B6690C" w:rsidRDefault="00E225CE" w:rsidP="00B6690C">
      <w:pPr>
        <w:spacing w:before="120" w:after="0" w:line="360" w:lineRule="auto"/>
        <w:rPr>
          <w:rFonts w:ascii="Times New Roman" w:hAnsi="Times New Roman" w:cs="Times New Roman"/>
          <w:b/>
          <w:i/>
          <w:sz w:val="24"/>
          <w:szCs w:val="24"/>
        </w:rPr>
      </w:pPr>
      <w:r w:rsidRPr="00B6690C">
        <w:rPr>
          <w:rFonts w:ascii="Times New Roman" w:hAnsi="Times New Roman" w:cs="Times New Roman"/>
          <w:b/>
          <w:i/>
          <w:sz w:val="24"/>
          <w:szCs w:val="24"/>
        </w:rPr>
        <w:t>Vzdelanostná úroveň – stupeň, druhy, vývojové trendy vo vzdelanosti</w:t>
      </w:r>
    </w:p>
    <w:p w14:paraId="13679810"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hľadiska ľudských zdrojov je z jedným zo zásadných faktorov, ktoré ovplyvňujú ekonomický rozvoj regiónu, vzdelanostná úroveň obyvateľstva a najmä podiel vysokoškolsky vzdelaných na celkovej populácii, ktorý v Kopaničiarskom regióne v roku 20</w:t>
      </w:r>
      <w:r w:rsidR="00B63D93">
        <w:rPr>
          <w:rFonts w:ascii="Times New Roman" w:hAnsi="Times New Roman" w:cs="Times New Roman"/>
          <w:sz w:val="24"/>
          <w:szCs w:val="24"/>
        </w:rPr>
        <w:t>11</w:t>
      </w:r>
      <w:r w:rsidR="00E225CE" w:rsidRPr="00E225CE">
        <w:rPr>
          <w:rFonts w:ascii="Times New Roman" w:hAnsi="Times New Roman" w:cs="Times New Roman"/>
          <w:sz w:val="24"/>
          <w:szCs w:val="24"/>
        </w:rPr>
        <w:t xml:space="preserve"> dosahoval </w:t>
      </w:r>
      <w:r w:rsidR="00FB4D4D">
        <w:rPr>
          <w:rFonts w:ascii="Times New Roman" w:hAnsi="Times New Roman" w:cs="Times New Roman"/>
          <w:sz w:val="24"/>
          <w:szCs w:val="24"/>
        </w:rPr>
        <w:t>11,85</w:t>
      </w:r>
      <w:r w:rsidR="00E225CE" w:rsidRPr="00E225CE">
        <w:rPr>
          <w:rFonts w:ascii="Times New Roman" w:hAnsi="Times New Roman" w:cs="Times New Roman"/>
          <w:sz w:val="24"/>
          <w:szCs w:val="24"/>
        </w:rPr>
        <w:t xml:space="preserve"> % (v dvoch obciach cez 1</w:t>
      </w:r>
      <w:r w:rsidR="00FB4D4D">
        <w:rPr>
          <w:rFonts w:ascii="Times New Roman" w:hAnsi="Times New Roman" w:cs="Times New Roman"/>
          <w:sz w:val="24"/>
          <w:szCs w:val="24"/>
        </w:rPr>
        <w:t>4</w:t>
      </w:r>
      <w:r w:rsidR="00E225CE" w:rsidRPr="00E225CE">
        <w:rPr>
          <w:rFonts w:ascii="Times New Roman" w:hAnsi="Times New Roman" w:cs="Times New Roman"/>
          <w:sz w:val="24"/>
          <w:szCs w:val="24"/>
        </w:rPr>
        <w:t xml:space="preserve"> % - Košariská, Myjava</w:t>
      </w:r>
      <w:r w:rsidR="00FB4D4D">
        <w:rPr>
          <w:rFonts w:ascii="Times New Roman" w:hAnsi="Times New Roman" w:cs="Times New Roman"/>
          <w:sz w:val="24"/>
          <w:szCs w:val="24"/>
        </w:rPr>
        <w:t xml:space="preserve">. </w:t>
      </w:r>
      <w:r w:rsidR="00E225CE" w:rsidRPr="00E225CE">
        <w:rPr>
          <w:rFonts w:ascii="Times New Roman" w:hAnsi="Times New Roman" w:cs="Times New Roman"/>
          <w:sz w:val="24"/>
          <w:szCs w:val="24"/>
        </w:rPr>
        <w:t>Podľa zamerania vysokoško</w:t>
      </w:r>
      <w:r w:rsidR="00B6690C">
        <w:rPr>
          <w:rFonts w:ascii="Times New Roman" w:hAnsi="Times New Roman" w:cs="Times New Roman"/>
          <w:sz w:val="24"/>
          <w:szCs w:val="24"/>
        </w:rPr>
        <w:t>l</w:t>
      </w:r>
      <w:r w:rsidR="00E225CE" w:rsidRPr="00E225CE">
        <w:rPr>
          <w:rFonts w:ascii="Times New Roman" w:hAnsi="Times New Roman" w:cs="Times New Roman"/>
          <w:sz w:val="24"/>
          <w:szCs w:val="24"/>
        </w:rPr>
        <w:t>ského vzdelania dominujú v regióne obyvatelia s ukončeným univerzitným zameraním, nasleduje zameranie technické a na treťom mieste je zameranie ekonomické (SODB 2001</w:t>
      </w:r>
      <w:r w:rsidR="000F776C">
        <w:rPr>
          <w:rFonts w:ascii="Times New Roman" w:hAnsi="Times New Roman" w:cs="Times New Roman"/>
          <w:sz w:val="24"/>
          <w:szCs w:val="24"/>
        </w:rPr>
        <w:t>1</w:t>
      </w:r>
      <w:r w:rsidR="00E225CE" w:rsidRPr="00E225CE">
        <w:rPr>
          <w:rFonts w:ascii="Times New Roman" w:hAnsi="Times New Roman" w:cs="Times New Roman"/>
          <w:sz w:val="24"/>
          <w:szCs w:val="24"/>
        </w:rPr>
        <w:t xml:space="preserve">). </w:t>
      </w:r>
    </w:p>
    <w:p w14:paraId="084169CB"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Celkovo však v</w:t>
      </w:r>
      <w:r w:rsidR="00B6690C">
        <w:rPr>
          <w:rFonts w:ascii="Times New Roman" w:hAnsi="Times New Roman" w:cs="Times New Roman"/>
          <w:sz w:val="24"/>
          <w:szCs w:val="24"/>
        </w:rPr>
        <w:t xml:space="preserve"> </w:t>
      </w:r>
      <w:r w:rsidR="00E225CE" w:rsidRPr="00E225CE">
        <w:rPr>
          <w:rFonts w:ascii="Times New Roman" w:hAnsi="Times New Roman" w:cs="Times New Roman"/>
          <w:sz w:val="24"/>
          <w:szCs w:val="24"/>
        </w:rPr>
        <w:t>rám</w:t>
      </w:r>
      <w:r w:rsidR="00B6690C">
        <w:rPr>
          <w:rFonts w:ascii="Times New Roman" w:hAnsi="Times New Roman" w:cs="Times New Roman"/>
          <w:sz w:val="24"/>
          <w:szCs w:val="24"/>
        </w:rPr>
        <w:t>c</w:t>
      </w:r>
      <w:r w:rsidR="00E225CE" w:rsidRPr="00E225CE">
        <w:rPr>
          <w:rFonts w:ascii="Times New Roman" w:hAnsi="Times New Roman" w:cs="Times New Roman"/>
          <w:sz w:val="24"/>
          <w:szCs w:val="24"/>
        </w:rPr>
        <w:t>i vzdelanostnej úrovne najvyšší podiel dosahuje</w:t>
      </w:r>
      <w:r w:rsidR="00FB4D4D" w:rsidRPr="00FB4D4D">
        <w:rPr>
          <w:rFonts w:ascii="Times New Roman" w:hAnsi="Times New Roman" w:cs="Times New Roman"/>
          <w:sz w:val="24"/>
          <w:szCs w:val="24"/>
        </w:rPr>
        <w:t xml:space="preserve"> </w:t>
      </w:r>
      <w:r w:rsidR="00FB4D4D" w:rsidRPr="00E225CE">
        <w:rPr>
          <w:rFonts w:ascii="Times New Roman" w:hAnsi="Times New Roman" w:cs="Times New Roman"/>
          <w:sz w:val="24"/>
          <w:szCs w:val="24"/>
        </w:rPr>
        <w:t>úpln</w:t>
      </w:r>
      <w:r w:rsidR="00FB4D4D">
        <w:rPr>
          <w:rFonts w:ascii="Times New Roman" w:hAnsi="Times New Roman" w:cs="Times New Roman"/>
          <w:sz w:val="24"/>
          <w:szCs w:val="24"/>
        </w:rPr>
        <w:t xml:space="preserve">é stredné </w:t>
      </w:r>
      <w:r w:rsidR="00FB4D4D" w:rsidRPr="00E225CE">
        <w:rPr>
          <w:rFonts w:ascii="Times New Roman" w:hAnsi="Times New Roman" w:cs="Times New Roman"/>
          <w:sz w:val="24"/>
          <w:szCs w:val="24"/>
        </w:rPr>
        <w:t>odborn</w:t>
      </w:r>
      <w:r w:rsidR="00FB4D4D">
        <w:rPr>
          <w:rFonts w:ascii="Times New Roman" w:hAnsi="Times New Roman" w:cs="Times New Roman"/>
          <w:sz w:val="24"/>
          <w:szCs w:val="24"/>
        </w:rPr>
        <w:t>é</w:t>
      </w:r>
      <w:r w:rsidR="00FB4D4D" w:rsidRPr="00E225CE">
        <w:rPr>
          <w:rFonts w:ascii="Times New Roman" w:hAnsi="Times New Roman" w:cs="Times New Roman"/>
          <w:sz w:val="24"/>
          <w:szCs w:val="24"/>
        </w:rPr>
        <w:t xml:space="preserve"> s maturitou (</w:t>
      </w:r>
      <w:r w:rsidR="00FB4D4D">
        <w:rPr>
          <w:rFonts w:ascii="Times New Roman" w:hAnsi="Times New Roman" w:cs="Times New Roman"/>
          <w:sz w:val="24"/>
          <w:szCs w:val="24"/>
        </w:rPr>
        <w:t>30,38</w:t>
      </w:r>
      <w:r w:rsidR="00FB4D4D" w:rsidRPr="00E225CE">
        <w:rPr>
          <w:rFonts w:ascii="Times New Roman" w:hAnsi="Times New Roman" w:cs="Times New Roman"/>
          <w:sz w:val="24"/>
          <w:szCs w:val="24"/>
        </w:rPr>
        <w:t xml:space="preserve"> %)</w:t>
      </w:r>
      <w:r w:rsidR="00FB4D4D">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r w:rsidR="00992FDA">
        <w:rPr>
          <w:rFonts w:ascii="Times New Roman" w:hAnsi="Times New Roman" w:cs="Times New Roman"/>
          <w:sz w:val="24"/>
          <w:szCs w:val="24"/>
        </w:rPr>
        <w:t xml:space="preserve">nasledované </w:t>
      </w:r>
      <w:r w:rsidR="00E225CE" w:rsidRPr="00E225CE">
        <w:rPr>
          <w:rFonts w:ascii="Times New Roman" w:hAnsi="Times New Roman" w:cs="Times New Roman"/>
          <w:sz w:val="24"/>
          <w:szCs w:val="24"/>
        </w:rPr>
        <w:t>učňovsk</w:t>
      </w:r>
      <w:r w:rsidR="00992FDA">
        <w:rPr>
          <w:rFonts w:ascii="Times New Roman" w:hAnsi="Times New Roman" w:cs="Times New Roman"/>
          <w:sz w:val="24"/>
          <w:szCs w:val="24"/>
        </w:rPr>
        <w:t>ým</w:t>
      </w:r>
      <w:r w:rsidR="00E225CE" w:rsidRPr="00E225CE">
        <w:rPr>
          <w:rFonts w:ascii="Times New Roman" w:hAnsi="Times New Roman" w:cs="Times New Roman"/>
          <w:sz w:val="24"/>
          <w:szCs w:val="24"/>
        </w:rPr>
        <w:t xml:space="preserve"> vzdelan</w:t>
      </w:r>
      <w:r w:rsidR="00992FDA">
        <w:rPr>
          <w:rFonts w:ascii="Times New Roman" w:hAnsi="Times New Roman" w:cs="Times New Roman"/>
          <w:sz w:val="24"/>
          <w:szCs w:val="24"/>
        </w:rPr>
        <w:t>ím</w:t>
      </w:r>
      <w:r w:rsidR="00E225CE" w:rsidRPr="00E225CE">
        <w:rPr>
          <w:rFonts w:ascii="Times New Roman" w:hAnsi="Times New Roman" w:cs="Times New Roman"/>
          <w:sz w:val="24"/>
          <w:szCs w:val="24"/>
        </w:rPr>
        <w:t xml:space="preserve"> bez maturity (2</w:t>
      </w:r>
      <w:r w:rsidR="00FB4D4D">
        <w:rPr>
          <w:rFonts w:ascii="Times New Roman" w:hAnsi="Times New Roman" w:cs="Times New Roman"/>
          <w:sz w:val="24"/>
          <w:szCs w:val="24"/>
        </w:rPr>
        <w:t>7,9</w:t>
      </w:r>
      <w:r w:rsidR="00E225CE" w:rsidRPr="00E225CE">
        <w:rPr>
          <w:rFonts w:ascii="Times New Roman" w:hAnsi="Times New Roman" w:cs="Times New Roman"/>
          <w:sz w:val="24"/>
          <w:szCs w:val="24"/>
        </w:rPr>
        <w:t xml:space="preserve"> %) </w:t>
      </w:r>
      <w:r w:rsidR="00992FDA">
        <w:rPr>
          <w:rFonts w:ascii="Times New Roman" w:hAnsi="Times New Roman" w:cs="Times New Roman"/>
          <w:sz w:val="24"/>
          <w:szCs w:val="24"/>
        </w:rPr>
        <w:t xml:space="preserve">a </w:t>
      </w:r>
      <w:r w:rsidR="00E225CE" w:rsidRPr="00E225CE">
        <w:rPr>
          <w:rFonts w:ascii="Times New Roman" w:hAnsi="Times New Roman" w:cs="Times New Roman"/>
          <w:sz w:val="24"/>
          <w:szCs w:val="24"/>
        </w:rPr>
        <w:t>základným vzdelaním</w:t>
      </w:r>
      <w:r w:rsidR="00FB4D4D">
        <w:rPr>
          <w:rFonts w:ascii="Times New Roman" w:hAnsi="Times New Roman" w:cs="Times New Roman"/>
          <w:sz w:val="24"/>
          <w:szCs w:val="24"/>
        </w:rPr>
        <w:t xml:space="preserve"> vrátane neukončeného</w:t>
      </w:r>
      <w:r w:rsidR="00E225CE" w:rsidRPr="00E225CE">
        <w:rPr>
          <w:rFonts w:ascii="Times New Roman" w:hAnsi="Times New Roman" w:cs="Times New Roman"/>
          <w:sz w:val="24"/>
          <w:szCs w:val="24"/>
        </w:rPr>
        <w:t xml:space="preserve"> (2</w:t>
      </w:r>
      <w:r w:rsidR="00FB4D4D">
        <w:rPr>
          <w:rFonts w:ascii="Times New Roman" w:hAnsi="Times New Roman" w:cs="Times New Roman"/>
          <w:sz w:val="24"/>
          <w:szCs w:val="24"/>
        </w:rPr>
        <w:t>6,99</w:t>
      </w:r>
      <w:r w:rsidR="00E225CE" w:rsidRPr="00E225CE">
        <w:rPr>
          <w:rFonts w:ascii="Times New Roman" w:hAnsi="Times New Roman" w:cs="Times New Roman"/>
          <w:sz w:val="24"/>
          <w:szCs w:val="24"/>
        </w:rPr>
        <w:t xml:space="preserve"> %)</w:t>
      </w:r>
      <w:r w:rsidR="00992FDA">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p>
    <w:p w14:paraId="50844B44"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Najproblematickejšou skupinou obyvateľstva na trhu práce sú občania, ktorí dosiahli len základné školské vzdelanie. V súčasnosti sa vytvára len minimum pracovných miest, kde sa takto vzdelaní ľudia môžu uplatniť. Títo ľudia sa navyše spravidla vyznačujú nízkou mobilitou na trhu práce. </w:t>
      </w:r>
    </w:p>
    <w:p w14:paraId="7E484438"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Z dlhodobého hľadiska možno očakávať ďalšie znižovanie podielu obyvateľstva so základným vzdelaním (na tomto podiel</w:t>
      </w:r>
      <w:r w:rsidR="00B6690C">
        <w:rPr>
          <w:rFonts w:ascii="Times New Roman" w:hAnsi="Times New Roman" w:cs="Times New Roman"/>
          <w:sz w:val="24"/>
          <w:szCs w:val="24"/>
        </w:rPr>
        <w:t xml:space="preserve">y </w:t>
      </w:r>
      <w:r w:rsidR="00E225CE" w:rsidRPr="00E225CE">
        <w:rPr>
          <w:rFonts w:ascii="Times New Roman" w:hAnsi="Times New Roman" w:cs="Times New Roman"/>
          <w:sz w:val="24"/>
          <w:szCs w:val="24"/>
        </w:rPr>
        <w:t>sa do značnej miery podieľajú staršie generácie, kým generácie nastupujúce na trh práce už zväčša disponujú vyšším stupňom vzdelania). Ďalej je to zvyšovanie podielu stredoškolsky vzdelaných s maturitou a najmä s obyvateľov s vys</w:t>
      </w:r>
      <w:r w:rsidR="00AD142F">
        <w:rPr>
          <w:rFonts w:ascii="Times New Roman" w:hAnsi="Times New Roman" w:cs="Times New Roman"/>
          <w:sz w:val="24"/>
          <w:szCs w:val="24"/>
        </w:rPr>
        <w:t>o</w:t>
      </w:r>
      <w:r w:rsidR="00E225CE" w:rsidRPr="00E225CE">
        <w:rPr>
          <w:rFonts w:ascii="Times New Roman" w:hAnsi="Times New Roman" w:cs="Times New Roman"/>
          <w:sz w:val="24"/>
          <w:szCs w:val="24"/>
        </w:rPr>
        <w:t xml:space="preserve">koškolským vzdelaním. Celkovú vzdelanostnú štruktúru obyvateľstva Kopaničiarskeho regiónu nám udáva </w:t>
      </w:r>
      <w:r w:rsidR="00E225CE" w:rsidRPr="009613C9">
        <w:rPr>
          <w:rFonts w:ascii="Times New Roman" w:hAnsi="Times New Roman" w:cs="Times New Roman"/>
          <w:sz w:val="24"/>
          <w:szCs w:val="24"/>
        </w:rPr>
        <w:t xml:space="preserve">tabuľka </w:t>
      </w:r>
      <w:r w:rsidR="004B4B67" w:rsidRPr="009613C9">
        <w:rPr>
          <w:rFonts w:ascii="Times New Roman" w:hAnsi="Times New Roman" w:cs="Times New Roman"/>
          <w:sz w:val="24"/>
          <w:szCs w:val="24"/>
        </w:rPr>
        <w:t>3.1.10</w:t>
      </w:r>
      <w:r w:rsidR="00E225CE" w:rsidRPr="009613C9">
        <w:rPr>
          <w:rFonts w:ascii="Times New Roman" w:hAnsi="Times New Roman" w:cs="Times New Roman"/>
          <w:sz w:val="24"/>
          <w:szCs w:val="24"/>
        </w:rPr>
        <w:t xml:space="preserve"> a graf </w:t>
      </w:r>
      <w:r w:rsidR="004B4B67" w:rsidRPr="009613C9">
        <w:rPr>
          <w:rFonts w:ascii="Times New Roman" w:hAnsi="Times New Roman" w:cs="Times New Roman"/>
          <w:sz w:val="24"/>
          <w:szCs w:val="24"/>
        </w:rPr>
        <w:t>3.1.7</w:t>
      </w:r>
      <w:r w:rsidR="00E225CE" w:rsidRPr="009613C9">
        <w:rPr>
          <w:rFonts w:ascii="Times New Roman" w:hAnsi="Times New Roman" w:cs="Times New Roman"/>
          <w:sz w:val="24"/>
          <w:szCs w:val="24"/>
        </w:rPr>
        <w:t>.</w:t>
      </w:r>
      <w:r w:rsidR="00E225CE" w:rsidRPr="00E225CE">
        <w:rPr>
          <w:rFonts w:ascii="Times New Roman" w:hAnsi="Times New Roman" w:cs="Times New Roman"/>
          <w:sz w:val="24"/>
          <w:szCs w:val="24"/>
        </w:rPr>
        <w:t xml:space="preserve"> </w:t>
      </w:r>
    </w:p>
    <w:p w14:paraId="356E145A" w14:textId="77777777" w:rsidR="001E4807" w:rsidRDefault="001E4807" w:rsidP="004B4B67">
      <w:pPr>
        <w:spacing w:after="0" w:line="360" w:lineRule="auto"/>
        <w:jc w:val="both"/>
        <w:rPr>
          <w:rFonts w:ascii="Times New Roman" w:hAnsi="Times New Roman" w:cs="Times New Roman"/>
          <w:b/>
          <w:sz w:val="20"/>
          <w:szCs w:val="20"/>
        </w:rPr>
      </w:pPr>
    </w:p>
    <w:p w14:paraId="5B0F8BD9" w14:textId="77777777" w:rsidR="009613C9" w:rsidRDefault="009613C9" w:rsidP="004B4B67">
      <w:pPr>
        <w:spacing w:after="0" w:line="360" w:lineRule="auto"/>
        <w:jc w:val="both"/>
        <w:rPr>
          <w:rFonts w:ascii="Times New Roman" w:hAnsi="Times New Roman" w:cs="Times New Roman"/>
          <w:b/>
          <w:sz w:val="20"/>
          <w:szCs w:val="20"/>
        </w:rPr>
      </w:pPr>
    </w:p>
    <w:p w14:paraId="7E74E4C9" w14:textId="77777777" w:rsidR="00D0587E" w:rsidRDefault="00D0587E" w:rsidP="004B4B67">
      <w:pPr>
        <w:spacing w:after="0" w:line="360" w:lineRule="auto"/>
        <w:jc w:val="both"/>
        <w:rPr>
          <w:rFonts w:ascii="Times New Roman" w:hAnsi="Times New Roman" w:cs="Times New Roman"/>
          <w:b/>
          <w:sz w:val="20"/>
          <w:szCs w:val="20"/>
        </w:rPr>
      </w:pPr>
    </w:p>
    <w:p w14:paraId="6579F4DE" w14:textId="77777777" w:rsidR="00E225CE" w:rsidRPr="00EE3313" w:rsidRDefault="00E225CE" w:rsidP="004B4B67">
      <w:pPr>
        <w:spacing w:after="0" w:line="360" w:lineRule="auto"/>
        <w:jc w:val="both"/>
        <w:rPr>
          <w:rFonts w:ascii="Times New Roman" w:hAnsi="Times New Roman" w:cs="Times New Roman"/>
          <w:b/>
          <w:sz w:val="20"/>
          <w:szCs w:val="20"/>
        </w:rPr>
      </w:pPr>
      <w:r w:rsidRPr="00EE3313">
        <w:rPr>
          <w:rFonts w:ascii="Times New Roman" w:hAnsi="Times New Roman" w:cs="Times New Roman"/>
          <w:b/>
          <w:sz w:val="20"/>
          <w:szCs w:val="20"/>
        </w:rPr>
        <w:lastRenderedPageBreak/>
        <w:t>Tabuľka</w:t>
      </w:r>
      <w:r w:rsidR="00F560B2">
        <w:rPr>
          <w:rFonts w:ascii="Times New Roman" w:hAnsi="Times New Roman" w:cs="Times New Roman"/>
          <w:b/>
          <w:sz w:val="20"/>
          <w:szCs w:val="20"/>
        </w:rPr>
        <w:t xml:space="preserve"> </w:t>
      </w:r>
      <w:r w:rsidR="004B4B67" w:rsidRPr="00EE3313">
        <w:rPr>
          <w:rFonts w:ascii="Times New Roman" w:hAnsi="Times New Roman" w:cs="Times New Roman"/>
          <w:b/>
          <w:sz w:val="20"/>
          <w:szCs w:val="20"/>
        </w:rPr>
        <w:t>3.1.10</w:t>
      </w:r>
      <w:r w:rsidRPr="00EE3313">
        <w:rPr>
          <w:rFonts w:ascii="Times New Roman" w:hAnsi="Times New Roman" w:cs="Times New Roman"/>
          <w:b/>
          <w:sz w:val="20"/>
          <w:szCs w:val="20"/>
        </w:rPr>
        <w:t xml:space="preserve"> Vzdelanostná štruktúra obyvateľstva Kopaničiarskeho regiónu v roku 20</w:t>
      </w:r>
      <w:r w:rsidR="00992FDA" w:rsidRPr="00EE3313">
        <w:rPr>
          <w:rFonts w:ascii="Times New Roman" w:hAnsi="Times New Roman" w:cs="Times New Roman"/>
          <w:b/>
          <w:sz w:val="20"/>
          <w:szCs w:val="20"/>
        </w:rPr>
        <w:t>11</w:t>
      </w:r>
      <w:r w:rsidRPr="00EE3313">
        <w:rPr>
          <w:rFonts w:ascii="Times New Roman" w:hAnsi="Times New Roman" w:cs="Times New Roman"/>
          <w:b/>
          <w:sz w:val="20"/>
          <w:szCs w:val="20"/>
        </w:rPr>
        <w:t xml:space="preserve"> </w:t>
      </w:r>
    </w:p>
    <w:tbl>
      <w:tblPr>
        <w:tblW w:w="6060" w:type="dxa"/>
        <w:tblInd w:w="55" w:type="dxa"/>
        <w:tblCellMar>
          <w:left w:w="70" w:type="dxa"/>
          <w:right w:w="70" w:type="dxa"/>
        </w:tblCellMar>
        <w:tblLook w:val="04A0" w:firstRow="1" w:lastRow="0" w:firstColumn="1" w:lastColumn="0" w:noHBand="0" w:noVBand="1"/>
      </w:tblPr>
      <w:tblGrid>
        <w:gridCol w:w="3460"/>
        <w:gridCol w:w="1320"/>
        <w:gridCol w:w="1280"/>
      </w:tblGrid>
      <w:tr w:rsidR="004B4B67" w:rsidRPr="009613C9" w14:paraId="7A7EA18D" w14:textId="77777777" w:rsidTr="004B4B67">
        <w:trPr>
          <w:trHeight w:val="315"/>
        </w:trPr>
        <w:tc>
          <w:tcPr>
            <w:tcW w:w="3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B3E09D"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Vzdelanie</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19BC9318" w14:textId="77777777" w:rsidR="004B4B67" w:rsidRPr="009613C9" w:rsidRDefault="004B4B67" w:rsidP="004B4B67">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Počet</w:t>
            </w:r>
          </w:p>
        </w:tc>
        <w:tc>
          <w:tcPr>
            <w:tcW w:w="1280" w:type="dxa"/>
            <w:tcBorders>
              <w:top w:val="single" w:sz="4" w:space="0" w:color="auto"/>
              <w:left w:val="nil"/>
              <w:bottom w:val="single" w:sz="4" w:space="0" w:color="auto"/>
              <w:right w:val="single" w:sz="4" w:space="0" w:color="auto"/>
            </w:tcBorders>
            <w:shd w:val="clear" w:color="000000" w:fill="D9D9D9"/>
            <w:noWrap/>
            <w:vAlign w:val="bottom"/>
            <w:hideMark/>
          </w:tcPr>
          <w:p w14:paraId="7263D210" w14:textId="77777777" w:rsidR="004B4B67" w:rsidRPr="009613C9" w:rsidRDefault="004B4B67" w:rsidP="004B4B67">
            <w:pPr>
              <w:spacing w:after="0" w:line="240" w:lineRule="auto"/>
              <w:jc w:val="center"/>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Percento</w:t>
            </w:r>
          </w:p>
        </w:tc>
      </w:tr>
      <w:tr w:rsidR="004B4B67" w:rsidRPr="009613C9" w14:paraId="72B04A0A"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6708943C"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Základné vrátane neukončeného</w:t>
            </w:r>
          </w:p>
        </w:tc>
        <w:tc>
          <w:tcPr>
            <w:tcW w:w="1320" w:type="dxa"/>
            <w:tcBorders>
              <w:top w:val="nil"/>
              <w:left w:val="nil"/>
              <w:bottom w:val="single" w:sz="4" w:space="0" w:color="auto"/>
              <w:right w:val="single" w:sz="4" w:space="0" w:color="auto"/>
            </w:tcBorders>
            <w:shd w:val="clear" w:color="auto" w:fill="auto"/>
            <w:noWrap/>
            <w:vAlign w:val="bottom"/>
            <w:hideMark/>
          </w:tcPr>
          <w:p w14:paraId="4F2B9EEF"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12 168</w:t>
            </w:r>
          </w:p>
        </w:tc>
        <w:tc>
          <w:tcPr>
            <w:tcW w:w="1280" w:type="dxa"/>
            <w:tcBorders>
              <w:top w:val="nil"/>
              <w:left w:val="nil"/>
              <w:bottom w:val="single" w:sz="4" w:space="0" w:color="auto"/>
              <w:right w:val="single" w:sz="4" w:space="0" w:color="auto"/>
            </w:tcBorders>
            <w:shd w:val="clear" w:color="auto" w:fill="auto"/>
            <w:noWrap/>
            <w:vAlign w:val="bottom"/>
            <w:hideMark/>
          </w:tcPr>
          <w:p w14:paraId="577D0832"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26,99</w:t>
            </w:r>
          </w:p>
        </w:tc>
      </w:tr>
      <w:tr w:rsidR="004B4B67" w:rsidRPr="009613C9" w14:paraId="3CCC91D5"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701566B4"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Stredné bez maturity</w:t>
            </w:r>
          </w:p>
        </w:tc>
        <w:tc>
          <w:tcPr>
            <w:tcW w:w="1320" w:type="dxa"/>
            <w:tcBorders>
              <w:top w:val="nil"/>
              <w:left w:val="nil"/>
              <w:bottom w:val="single" w:sz="4" w:space="0" w:color="auto"/>
              <w:right w:val="single" w:sz="4" w:space="0" w:color="auto"/>
            </w:tcBorders>
            <w:shd w:val="clear" w:color="auto" w:fill="auto"/>
            <w:noWrap/>
            <w:vAlign w:val="bottom"/>
            <w:hideMark/>
          </w:tcPr>
          <w:p w14:paraId="0011F803"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12 579</w:t>
            </w:r>
          </w:p>
        </w:tc>
        <w:tc>
          <w:tcPr>
            <w:tcW w:w="1280" w:type="dxa"/>
            <w:tcBorders>
              <w:top w:val="nil"/>
              <w:left w:val="nil"/>
              <w:bottom w:val="single" w:sz="4" w:space="0" w:color="auto"/>
              <w:right w:val="single" w:sz="4" w:space="0" w:color="auto"/>
            </w:tcBorders>
            <w:shd w:val="clear" w:color="auto" w:fill="auto"/>
            <w:noWrap/>
            <w:vAlign w:val="bottom"/>
            <w:hideMark/>
          </w:tcPr>
          <w:p w14:paraId="4C643EDD"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27,90</w:t>
            </w:r>
          </w:p>
        </w:tc>
      </w:tr>
      <w:tr w:rsidR="004B4B67" w:rsidRPr="009613C9" w14:paraId="05846DC7"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0F036EED"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Stredné s maturitou</w:t>
            </w:r>
          </w:p>
        </w:tc>
        <w:tc>
          <w:tcPr>
            <w:tcW w:w="1320" w:type="dxa"/>
            <w:tcBorders>
              <w:top w:val="nil"/>
              <w:left w:val="nil"/>
              <w:bottom w:val="single" w:sz="4" w:space="0" w:color="auto"/>
              <w:right w:val="single" w:sz="4" w:space="0" w:color="auto"/>
            </w:tcBorders>
            <w:shd w:val="clear" w:color="auto" w:fill="auto"/>
            <w:noWrap/>
            <w:vAlign w:val="bottom"/>
            <w:hideMark/>
          </w:tcPr>
          <w:p w14:paraId="11C325B6"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13 696</w:t>
            </w:r>
          </w:p>
        </w:tc>
        <w:tc>
          <w:tcPr>
            <w:tcW w:w="1280" w:type="dxa"/>
            <w:tcBorders>
              <w:top w:val="nil"/>
              <w:left w:val="nil"/>
              <w:bottom w:val="single" w:sz="4" w:space="0" w:color="auto"/>
              <w:right w:val="single" w:sz="4" w:space="0" w:color="auto"/>
            </w:tcBorders>
            <w:shd w:val="clear" w:color="auto" w:fill="auto"/>
            <w:noWrap/>
            <w:vAlign w:val="bottom"/>
            <w:hideMark/>
          </w:tcPr>
          <w:p w14:paraId="068A5FA8"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30,38</w:t>
            </w:r>
          </w:p>
        </w:tc>
      </w:tr>
      <w:tr w:rsidR="004B4B67" w:rsidRPr="009613C9" w14:paraId="52C61B62"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4474122E"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 xml:space="preserve">Vyššie odborné </w:t>
            </w:r>
          </w:p>
        </w:tc>
        <w:tc>
          <w:tcPr>
            <w:tcW w:w="1320" w:type="dxa"/>
            <w:tcBorders>
              <w:top w:val="nil"/>
              <w:left w:val="nil"/>
              <w:bottom w:val="single" w:sz="4" w:space="0" w:color="auto"/>
              <w:right w:val="single" w:sz="4" w:space="0" w:color="auto"/>
            </w:tcBorders>
            <w:shd w:val="clear" w:color="auto" w:fill="auto"/>
            <w:noWrap/>
            <w:vAlign w:val="bottom"/>
            <w:hideMark/>
          </w:tcPr>
          <w:p w14:paraId="33EA52F7"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608</w:t>
            </w:r>
          </w:p>
        </w:tc>
        <w:tc>
          <w:tcPr>
            <w:tcW w:w="1280" w:type="dxa"/>
            <w:tcBorders>
              <w:top w:val="nil"/>
              <w:left w:val="nil"/>
              <w:bottom w:val="single" w:sz="4" w:space="0" w:color="auto"/>
              <w:right w:val="single" w:sz="4" w:space="0" w:color="auto"/>
            </w:tcBorders>
            <w:shd w:val="clear" w:color="auto" w:fill="auto"/>
            <w:noWrap/>
            <w:vAlign w:val="bottom"/>
            <w:hideMark/>
          </w:tcPr>
          <w:p w14:paraId="3F7DA8EB"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1,35</w:t>
            </w:r>
          </w:p>
        </w:tc>
      </w:tr>
      <w:tr w:rsidR="004B4B67" w:rsidRPr="009613C9" w14:paraId="7A2C038E"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15155A8B"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Vysokoškolské</w:t>
            </w:r>
          </w:p>
        </w:tc>
        <w:tc>
          <w:tcPr>
            <w:tcW w:w="1320" w:type="dxa"/>
            <w:tcBorders>
              <w:top w:val="nil"/>
              <w:left w:val="nil"/>
              <w:bottom w:val="single" w:sz="4" w:space="0" w:color="auto"/>
              <w:right w:val="single" w:sz="4" w:space="0" w:color="auto"/>
            </w:tcBorders>
            <w:shd w:val="clear" w:color="auto" w:fill="auto"/>
            <w:noWrap/>
            <w:vAlign w:val="bottom"/>
            <w:hideMark/>
          </w:tcPr>
          <w:p w14:paraId="6F3F3519"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5 344</w:t>
            </w:r>
          </w:p>
        </w:tc>
        <w:tc>
          <w:tcPr>
            <w:tcW w:w="1280" w:type="dxa"/>
            <w:tcBorders>
              <w:top w:val="nil"/>
              <w:left w:val="nil"/>
              <w:bottom w:val="single" w:sz="4" w:space="0" w:color="auto"/>
              <w:right w:val="single" w:sz="4" w:space="0" w:color="auto"/>
            </w:tcBorders>
            <w:shd w:val="clear" w:color="auto" w:fill="auto"/>
            <w:noWrap/>
            <w:vAlign w:val="bottom"/>
            <w:hideMark/>
          </w:tcPr>
          <w:p w14:paraId="66E4FF88"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11,85</w:t>
            </w:r>
          </w:p>
        </w:tc>
      </w:tr>
      <w:tr w:rsidR="004B4B67" w:rsidRPr="009613C9" w14:paraId="38D30EE4" w14:textId="77777777" w:rsidTr="004B4B67">
        <w:trPr>
          <w:trHeight w:val="315"/>
        </w:trPr>
        <w:tc>
          <w:tcPr>
            <w:tcW w:w="3460" w:type="dxa"/>
            <w:tcBorders>
              <w:top w:val="nil"/>
              <w:left w:val="single" w:sz="4" w:space="0" w:color="auto"/>
              <w:bottom w:val="single" w:sz="4" w:space="0" w:color="auto"/>
              <w:right w:val="single" w:sz="4" w:space="0" w:color="auto"/>
            </w:tcBorders>
            <w:shd w:val="clear" w:color="000000" w:fill="D9D9D9"/>
            <w:noWrap/>
            <w:vAlign w:val="bottom"/>
            <w:hideMark/>
          </w:tcPr>
          <w:p w14:paraId="05916828" w14:textId="77777777" w:rsidR="004B4B67" w:rsidRPr="009613C9" w:rsidRDefault="004B4B67" w:rsidP="004B4B67">
            <w:pPr>
              <w:spacing w:after="0" w:line="240" w:lineRule="auto"/>
              <w:rPr>
                <w:rFonts w:ascii="Times New Roman" w:eastAsia="Times New Roman" w:hAnsi="Times New Roman" w:cs="Times New Roman"/>
                <w:b/>
                <w:bCs/>
                <w:color w:val="000000"/>
                <w:sz w:val="20"/>
                <w:szCs w:val="20"/>
                <w:lang w:eastAsia="sk-SK"/>
              </w:rPr>
            </w:pPr>
            <w:r w:rsidRPr="009613C9">
              <w:rPr>
                <w:rFonts w:ascii="Times New Roman" w:eastAsia="Times New Roman" w:hAnsi="Times New Roman" w:cs="Times New Roman"/>
                <w:b/>
                <w:bCs/>
                <w:color w:val="000000"/>
                <w:sz w:val="20"/>
                <w:szCs w:val="20"/>
                <w:lang w:eastAsia="sk-SK"/>
              </w:rPr>
              <w:t>Nezistené</w:t>
            </w:r>
          </w:p>
        </w:tc>
        <w:tc>
          <w:tcPr>
            <w:tcW w:w="1320" w:type="dxa"/>
            <w:tcBorders>
              <w:top w:val="nil"/>
              <w:left w:val="nil"/>
              <w:bottom w:val="single" w:sz="4" w:space="0" w:color="auto"/>
              <w:right w:val="single" w:sz="4" w:space="0" w:color="auto"/>
            </w:tcBorders>
            <w:shd w:val="clear" w:color="auto" w:fill="auto"/>
            <w:noWrap/>
            <w:vAlign w:val="bottom"/>
            <w:hideMark/>
          </w:tcPr>
          <w:p w14:paraId="36558CE4"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692</w:t>
            </w:r>
          </w:p>
        </w:tc>
        <w:tc>
          <w:tcPr>
            <w:tcW w:w="1280" w:type="dxa"/>
            <w:tcBorders>
              <w:top w:val="nil"/>
              <w:left w:val="nil"/>
              <w:bottom w:val="single" w:sz="4" w:space="0" w:color="auto"/>
              <w:right w:val="single" w:sz="4" w:space="0" w:color="auto"/>
            </w:tcBorders>
            <w:shd w:val="clear" w:color="auto" w:fill="auto"/>
            <w:noWrap/>
            <w:vAlign w:val="bottom"/>
            <w:hideMark/>
          </w:tcPr>
          <w:p w14:paraId="0B0ACFD0" w14:textId="77777777" w:rsidR="004B4B67" w:rsidRPr="009613C9" w:rsidRDefault="004B4B67" w:rsidP="009613C9">
            <w:pPr>
              <w:spacing w:after="0" w:line="240" w:lineRule="auto"/>
              <w:ind w:firstLineChars="200" w:firstLine="400"/>
              <w:jc w:val="right"/>
              <w:rPr>
                <w:rFonts w:ascii="Times New Roman" w:eastAsia="Times New Roman" w:hAnsi="Times New Roman" w:cs="Times New Roman"/>
                <w:color w:val="000000"/>
                <w:sz w:val="20"/>
                <w:szCs w:val="20"/>
                <w:lang w:eastAsia="sk-SK"/>
              </w:rPr>
            </w:pPr>
            <w:r w:rsidRPr="009613C9">
              <w:rPr>
                <w:rFonts w:ascii="Times New Roman" w:eastAsia="Times New Roman" w:hAnsi="Times New Roman" w:cs="Times New Roman"/>
                <w:color w:val="000000"/>
                <w:sz w:val="20"/>
                <w:szCs w:val="20"/>
                <w:lang w:eastAsia="sk-SK"/>
              </w:rPr>
              <w:t>1,53</w:t>
            </w:r>
          </w:p>
        </w:tc>
      </w:tr>
    </w:tbl>
    <w:p w14:paraId="13EF20BD" w14:textId="77777777" w:rsidR="004B4B67" w:rsidRPr="004B4B67" w:rsidRDefault="004B4B67" w:rsidP="004B4B67">
      <w:pPr>
        <w:spacing w:after="0" w:line="360" w:lineRule="auto"/>
        <w:jc w:val="both"/>
        <w:rPr>
          <w:rFonts w:ascii="Times New Roman" w:hAnsi="Times New Roman" w:cs="Times New Roman"/>
          <w:b/>
          <w:sz w:val="24"/>
          <w:szCs w:val="24"/>
        </w:rPr>
      </w:pPr>
    </w:p>
    <w:p w14:paraId="57C7B951" w14:textId="77777777" w:rsidR="00E225CE" w:rsidRPr="00EE3313" w:rsidRDefault="00E225CE" w:rsidP="00E225CE">
      <w:pPr>
        <w:spacing w:after="0" w:line="360" w:lineRule="auto"/>
        <w:rPr>
          <w:rFonts w:ascii="Times New Roman" w:hAnsi="Times New Roman" w:cs="Times New Roman"/>
          <w:b/>
          <w:sz w:val="20"/>
          <w:szCs w:val="20"/>
        </w:rPr>
      </w:pPr>
      <w:r w:rsidRPr="00EE3313">
        <w:rPr>
          <w:rFonts w:ascii="Times New Roman" w:hAnsi="Times New Roman" w:cs="Times New Roman"/>
          <w:b/>
          <w:sz w:val="20"/>
          <w:szCs w:val="20"/>
        </w:rPr>
        <w:t xml:space="preserve">Graf  </w:t>
      </w:r>
      <w:r w:rsidR="004B4B67" w:rsidRPr="00EE3313">
        <w:rPr>
          <w:rFonts w:ascii="Times New Roman" w:hAnsi="Times New Roman" w:cs="Times New Roman"/>
          <w:b/>
          <w:sz w:val="20"/>
          <w:szCs w:val="20"/>
        </w:rPr>
        <w:t>3.1.7</w:t>
      </w:r>
      <w:r w:rsidRPr="00EE3313">
        <w:rPr>
          <w:rFonts w:ascii="Times New Roman" w:hAnsi="Times New Roman" w:cs="Times New Roman"/>
          <w:b/>
          <w:sz w:val="20"/>
          <w:szCs w:val="20"/>
        </w:rPr>
        <w:t xml:space="preserve"> Vzdelanostná štruktúra obyvateľstva Kopaničiarskeho regiónu v roku 201</w:t>
      </w:r>
      <w:r w:rsidR="000F776C" w:rsidRPr="00EE3313">
        <w:rPr>
          <w:rFonts w:ascii="Times New Roman" w:hAnsi="Times New Roman" w:cs="Times New Roman"/>
          <w:b/>
          <w:sz w:val="20"/>
          <w:szCs w:val="20"/>
        </w:rPr>
        <w:t>1</w:t>
      </w:r>
    </w:p>
    <w:p w14:paraId="241D3D48" w14:textId="77777777" w:rsidR="00992FDA" w:rsidRPr="00E225CE" w:rsidRDefault="00362E8C" w:rsidP="00E225CE">
      <w:pPr>
        <w:spacing w:after="0" w:line="360" w:lineRule="auto"/>
        <w:rPr>
          <w:rFonts w:ascii="Times New Roman" w:hAnsi="Times New Roman" w:cs="Times New Roman"/>
          <w:sz w:val="24"/>
          <w:szCs w:val="24"/>
        </w:rPr>
      </w:pPr>
      <w:r>
        <w:rPr>
          <w:noProof/>
          <w:lang w:eastAsia="sk-SK"/>
        </w:rPr>
        <w:drawing>
          <wp:inline distT="0" distB="0" distL="0" distR="0" wp14:anchorId="3C9D59D4" wp14:editId="278AE391">
            <wp:extent cx="4772025" cy="2852738"/>
            <wp:effectExtent l="38100" t="0" r="0" b="508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C4B95E" w14:textId="77777777" w:rsidR="00E225CE" w:rsidRPr="00AD142F" w:rsidRDefault="00E225CE" w:rsidP="00AD142F">
      <w:pPr>
        <w:spacing w:before="120" w:after="0" w:line="360" w:lineRule="auto"/>
        <w:rPr>
          <w:rFonts w:ascii="Times New Roman" w:hAnsi="Times New Roman" w:cs="Times New Roman"/>
          <w:b/>
          <w:i/>
          <w:sz w:val="24"/>
          <w:szCs w:val="24"/>
        </w:rPr>
      </w:pPr>
      <w:r w:rsidRPr="00AD142F">
        <w:rPr>
          <w:rFonts w:ascii="Times New Roman" w:hAnsi="Times New Roman" w:cs="Times New Roman"/>
          <w:b/>
          <w:i/>
          <w:sz w:val="24"/>
          <w:szCs w:val="24"/>
        </w:rPr>
        <w:t>Prehľad zručností obyvateľstva</w:t>
      </w:r>
    </w:p>
    <w:p w14:paraId="66080631"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sa nachádza množstvo zručných ľudí, ktorí sa zaoberajú predovšetkým tradičnými remeslami s bohatou históriou. Či už ide o košikárstvo a prútikárstvo, pre ktoré tu boli vhodné podmienky (okrem iného aj dostatok kvalitného materiálu), paličkovanie, výšivkárstvo, maľovanie rôznymi technikami na rôzne veci domácej spotreby, alebo o včelárstvo a s ním spojené výrobky. </w:t>
      </w:r>
    </w:p>
    <w:p w14:paraId="5CE264BC"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Okrem toho sa v regióne nachádzajú  ľudia, ktorí vyrábajú náradia používané najmä na poľnohospodárske a hospodárske účely na vidieku, akými sú napr. vidly, hrable, kosy, sekery a pod.. Rozšírené je tiež hrnčiarstvo a s ním spojená maľba na keramiku. </w:t>
      </w:r>
    </w:p>
    <w:p w14:paraId="743F5F74" w14:textId="77777777" w:rsidR="00E225CE" w:rsidRDefault="009613C9" w:rsidP="009613C9">
      <w:pPr>
        <w:spacing w:after="0" w:line="360" w:lineRule="auto"/>
        <w:jc w:val="both"/>
        <w:rPr>
          <w:rFonts w:ascii="Times New Roman" w:hAnsi="Times New Roman" w:cs="Times New Roman"/>
          <w:sz w:val="24"/>
          <w:szCs w:val="24"/>
        </w:rPr>
      </w:pPr>
      <w:r w:rsidRPr="009613C9">
        <w:rPr>
          <w:rFonts w:ascii="Times New Roman" w:hAnsi="Times New Roman" w:cs="Times New Roman"/>
          <w:sz w:val="24"/>
          <w:szCs w:val="24"/>
        </w:rPr>
        <w:tab/>
      </w:r>
      <w:r w:rsidR="00E225CE" w:rsidRPr="009613C9">
        <w:rPr>
          <w:rFonts w:ascii="Times New Roman" w:hAnsi="Times New Roman" w:cs="Times New Roman"/>
          <w:sz w:val="24"/>
          <w:szCs w:val="24"/>
        </w:rPr>
        <w:t xml:space="preserve">V tabuľke </w:t>
      </w:r>
      <w:r w:rsidR="004A58E7" w:rsidRPr="009613C9">
        <w:rPr>
          <w:rFonts w:ascii="Times New Roman" w:hAnsi="Times New Roman" w:cs="Times New Roman"/>
          <w:sz w:val="24"/>
          <w:szCs w:val="24"/>
        </w:rPr>
        <w:t>3.1.11</w:t>
      </w:r>
      <w:r w:rsidR="00E225CE" w:rsidRPr="00E225CE">
        <w:rPr>
          <w:rFonts w:ascii="Times New Roman" w:hAnsi="Times New Roman" w:cs="Times New Roman"/>
          <w:sz w:val="24"/>
          <w:szCs w:val="24"/>
        </w:rPr>
        <w:t xml:space="preserve"> sú predstavení vybraní zruční ľudia Kopaničiarskeho regiónu. Okrem nich však región disponuje množstvom iných zručných ľudí, ktorí  pokrývajú široké spektrum remesiel.  </w:t>
      </w:r>
    </w:p>
    <w:p w14:paraId="3E3DD934" w14:textId="77777777" w:rsidR="009613C9" w:rsidRDefault="009613C9" w:rsidP="009613C9">
      <w:pPr>
        <w:spacing w:after="0" w:line="360" w:lineRule="auto"/>
        <w:jc w:val="both"/>
        <w:rPr>
          <w:rFonts w:ascii="Times New Roman" w:hAnsi="Times New Roman" w:cs="Times New Roman"/>
          <w:sz w:val="24"/>
          <w:szCs w:val="24"/>
        </w:rPr>
      </w:pPr>
    </w:p>
    <w:p w14:paraId="65C287AA" w14:textId="77777777" w:rsidR="009613C9" w:rsidRPr="00E225CE" w:rsidRDefault="009613C9" w:rsidP="009613C9">
      <w:pPr>
        <w:spacing w:after="0" w:line="360" w:lineRule="auto"/>
        <w:jc w:val="both"/>
        <w:rPr>
          <w:rFonts w:ascii="Times New Roman" w:hAnsi="Times New Roman" w:cs="Times New Roman"/>
          <w:sz w:val="24"/>
          <w:szCs w:val="24"/>
        </w:rPr>
      </w:pPr>
    </w:p>
    <w:p w14:paraId="72DB748C" w14:textId="77777777" w:rsidR="00E225CE" w:rsidRPr="001E4807" w:rsidRDefault="00E225CE" w:rsidP="00E225CE">
      <w:pPr>
        <w:spacing w:after="0" w:line="360" w:lineRule="auto"/>
        <w:rPr>
          <w:rFonts w:ascii="Times New Roman" w:hAnsi="Times New Roman" w:cs="Times New Roman"/>
          <w:b/>
          <w:sz w:val="20"/>
          <w:szCs w:val="20"/>
        </w:rPr>
      </w:pPr>
      <w:r w:rsidRPr="001E4807">
        <w:rPr>
          <w:rFonts w:ascii="Times New Roman" w:hAnsi="Times New Roman" w:cs="Times New Roman"/>
          <w:b/>
          <w:sz w:val="20"/>
          <w:szCs w:val="20"/>
        </w:rPr>
        <w:t>Tabuľka</w:t>
      </w:r>
      <w:r w:rsidR="004A58E7" w:rsidRPr="001E4807">
        <w:rPr>
          <w:rFonts w:ascii="Times New Roman" w:hAnsi="Times New Roman" w:cs="Times New Roman"/>
          <w:b/>
          <w:sz w:val="20"/>
          <w:szCs w:val="20"/>
        </w:rPr>
        <w:t xml:space="preserve"> 3.1.11</w:t>
      </w:r>
      <w:r w:rsidRPr="001E4807">
        <w:rPr>
          <w:rFonts w:ascii="Times New Roman" w:hAnsi="Times New Roman" w:cs="Times New Roman"/>
          <w:b/>
          <w:sz w:val="20"/>
          <w:szCs w:val="20"/>
        </w:rPr>
        <w:t xml:space="preserve"> Prehľad zručností obyvateľstva Kopaničiarskeho regiónu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1371"/>
        <w:gridCol w:w="1216"/>
        <w:gridCol w:w="1519"/>
        <w:gridCol w:w="905"/>
        <w:gridCol w:w="1008"/>
        <w:gridCol w:w="1141"/>
        <w:gridCol w:w="1552"/>
      </w:tblGrid>
      <w:tr w:rsidR="004A58E7" w:rsidRPr="009613C9" w14:paraId="64019729" w14:textId="77777777" w:rsidTr="000F776C">
        <w:trPr>
          <w:cantSplit/>
          <w:trHeight w:val="1066"/>
        </w:trPr>
        <w:tc>
          <w:tcPr>
            <w:tcW w:w="467" w:type="dxa"/>
            <w:tcBorders>
              <w:top w:val="single" w:sz="4" w:space="0" w:color="auto"/>
              <w:left w:val="single" w:sz="4" w:space="0" w:color="auto"/>
              <w:bottom w:val="single" w:sz="4" w:space="0" w:color="auto"/>
              <w:right w:val="single" w:sz="4" w:space="0" w:color="auto"/>
            </w:tcBorders>
          </w:tcPr>
          <w:p w14:paraId="68131F5C"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p>
        </w:tc>
        <w:tc>
          <w:tcPr>
            <w:tcW w:w="1371" w:type="dxa"/>
            <w:tcBorders>
              <w:top w:val="single" w:sz="4" w:space="0" w:color="auto"/>
              <w:left w:val="single" w:sz="4" w:space="0" w:color="auto"/>
              <w:bottom w:val="single" w:sz="4" w:space="0" w:color="auto"/>
              <w:right w:val="single" w:sz="4" w:space="0" w:color="auto"/>
            </w:tcBorders>
            <w:shd w:val="clear" w:color="auto" w:fill="D9D9D9"/>
          </w:tcPr>
          <w:p w14:paraId="40A6FA0B"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Meno a priezvisko</w:t>
            </w:r>
          </w:p>
        </w:tc>
        <w:tc>
          <w:tcPr>
            <w:tcW w:w="1216" w:type="dxa"/>
            <w:tcBorders>
              <w:top w:val="single" w:sz="4" w:space="0" w:color="auto"/>
              <w:left w:val="single" w:sz="4" w:space="0" w:color="auto"/>
              <w:bottom w:val="single" w:sz="4" w:space="0" w:color="auto"/>
              <w:right w:val="single" w:sz="4" w:space="0" w:color="auto"/>
            </w:tcBorders>
            <w:shd w:val="clear" w:color="auto" w:fill="D9D9D9"/>
          </w:tcPr>
          <w:p w14:paraId="60D347DE"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Adresa</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479019E"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Činnosť a</w:t>
            </w:r>
          </w:p>
          <w:p w14:paraId="513FC870"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remeslo</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6F959D1"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Živnosť</w:t>
            </w:r>
          </w:p>
          <w:p w14:paraId="76F75454" w14:textId="77777777" w:rsidR="004A58E7" w:rsidRPr="009613C9" w:rsidRDefault="004A58E7" w:rsidP="00E459C7">
            <w:pPr>
              <w:spacing w:before="60" w:after="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Áno/Nie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96B1D92"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Záujem predávať</w:t>
            </w:r>
          </w:p>
          <w:p w14:paraId="6D5A11AC" w14:textId="77777777" w:rsidR="004A58E7" w:rsidRPr="009613C9" w:rsidRDefault="004A58E7" w:rsidP="00E459C7">
            <w:pPr>
              <w:spacing w:before="60" w:after="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Áno/Nie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364F70F" w14:textId="77777777" w:rsidR="004A58E7" w:rsidRPr="009613C9" w:rsidRDefault="004A58E7" w:rsidP="00E459C7">
            <w:pPr>
              <w:spacing w:before="60" w:after="6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Záujem vystavovať</w:t>
            </w:r>
          </w:p>
          <w:p w14:paraId="4366D2CA" w14:textId="77777777" w:rsidR="004A58E7" w:rsidRPr="009613C9" w:rsidRDefault="004A58E7" w:rsidP="00E459C7">
            <w:pPr>
              <w:spacing w:before="60" w:after="0" w:line="300" w:lineRule="exact"/>
              <w:jc w:val="center"/>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Áno/Nie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AB16F24" w14:textId="77777777" w:rsidR="004A58E7" w:rsidRPr="009613C9" w:rsidRDefault="004A58E7" w:rsidP="00E459C7">
            <w:pPr>
              <w:spacing w:before="60" w:after="0" w:line="300" w:lineRule="exact"/>
              <w:jc w:val="center"/>
              <w:rPr>
                <w:rFonts w:ascii="Times New Roman" w:eastAsia="Times New Roman" w:hAnsi="Times New Roman" w:cs="Times New Roman"/>
                <w:b/>
                <w:i/>
                <w:sz w:val="20"/>
                <w:szCs w:val="20"/>
                <w:lang w:eastAsia="cs-CZ"/>
              </w:rPr>
            </w:pPr>
            <w:r w:rsidRPr="009613C9">
              <w:rPr>
                <w:rFonts w:ascii="Times New Roman" w:eastAsia="Times New Roman" w:hAnsi="Times New Roman" w:cs="Times New Roman"/>
                <w:b/>
                <w:i/>
                <w:sz w:val="20"/>
                <w:szCs w:val="20"/>
                <w:lang w:eastAsia="cs-CZ"/>
              </w:rPr>
              <w:t>Poznámka</w:t>
            </w:r>
          </w:p>
        </w:tc>
      </w:tr>
      <w:tr w:rsidR="004A58E7" w:rsidRPr="009613C9" w14:paraId="13E95F96" w14:textId="77777777" w:rsidTr="000F776C">
        <w:trPr>
          <w:cantSplit/>
          <w:trHeight w:val="802"/>
        </w:trPr>
        <w:tc>
          <w:tcPr>
            <w:tcW w:w="467" w:type="dxa"/>
            <w:tcBorders>
              <w:top w:val="single" w:sz="4" w:space="0" w:color="auto"/>
              <w:left w:val="single" w:sz="4" w:space="0" w:color="auto"/>
              <w:bottom w:val="single" w:sz="4" w:space="0" w:color="auto"/>
              <w:right w:val="single" w:sz="4" w:space="0" w:color="auto"/>
            </w:tcBorders>
          </w:tcPr>
          <w:p w14:paraId="2C10ECF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w:t>
            </w:r>
          </w:p>
        </w:tc>
        <w:tc>
          <w:tcPr>
            <w:tcW w:w="1371" w:type="dxa"/>
            <w:tcBorders>
              <w:top w:val="single" w:sz="4" w:space="0" w:color="auto"/>
              <w:left w:val="single" w:sz="4" w:space="0" w:color="auto"/>
              <w:bottom w:val="single" w:sz="4" w:space="0" w:color="auto"/>
              <w:right w:val="single" w:sz="4" w:space="0" w:color="auto"/>
            </w:tcBorders>
          </w:tcPr>
          <w:p w14:paraId="206091B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Anna Držková</w:t>
            </w:r>
          </w:p>
        </w:tc>
        <w:tc>
          <w:tcPr>
            <w:tcW w:w="1216" w:type="dxa"/>
            <w:tcBorders>
              <w:top w:val="single" w:sz="4" w:space="0" w:color="auto"/>
              <w:left w:val="single" w:sz="4" w:space="0" w:color="auto"/>
              <w:bottom w:val="single" w:sz="4" w:space="0" w:color="auto"/>
              <w:right w:val="single" w:sz="4" w:space="0" w:color="auto"/>
            </w:tcBorders>
          </w:tcPr>
          <w:p w14:paraId="33C39B6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Brestovec  401</w:t>
            </w:r>
          </w:p>
          <w:p w14:paraId="722CE06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tcPr>
          <w:p w14:paraId="3EA8EB0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Maľovanie fliaš a keramiky</w:t>
            </w:r>
          </w:p>
        </w:tc>
        <w:tc>
          <w:tcPr>
            <w:tcW w:w="0" w:type="auto"/>
            <w:tcBorders>
              <w:top w:val="single" w:sz="4" w:space="0" w:color="auto"/>
              <w:left w:val="single" w:sz="4" w:space="0" w:color="auto"/>
              <w:bottom w:val="single" w:sz="4" w:space="0" w:color="auto"/>
              <w:right w:val="single" w:sz="4" w:space="0" w:color="auto"/>
            </w:tcBorders>
          </w:tcPr>
          <w:p w14:paraId="714CC30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8E1F34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F3FA73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47FEC571"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Nemá záujem rozširovať prevádzku</w:t>
            </w:r>
          </w:p>
        </w:tc>
      </w:tr>
      <w:tr w:rsidR="004A58E7" w:rsidRPr="009613C9" w14:paraId="3D8468DE" w14:textId="77777777" w:rsidTr="000F776C">
        <w:trPr>
          <w:cantSplit/>
          <w:trHeight w:val="778"/>
        </w:trPr>
        <w:tc>
          <w:tcPr>
            <w:tcW w:w="467" w:type="dxa"/>
            <w:tcBorders>
              <w:top w:val="single" w:sz="4" w:space="0" w:color="auto"/>
              <w:left w:val="single" w:sz="4" w:space="0" w:color="auto"/>
              <w:bottom w:val="single" w:sz="4" w:space="0" w:color="auto"/>
              <w:right w:val="single" w:sz="4" w:space="0" w:color="auto"/>
            </w:tcBorders>
          </w:tcPr>
          <w:p w14:paraId="7B04C7A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2.</w:t>
            </w:r>
          </w:p>
        </w:tc>
        <w:tc>
          <w:tcPr>
            <w:tcW w:w="1371" w:type="dxa"/>
            <w:tcBorders>
              <w:top w:val="single" w:sz="4" w:space="0" w:color="auto"/>
              <w:left w:val="single" w:sz="4" w:space="0" w:color="auto"/>
              <w:bottom w:val="single" w:sz="4" w:space="0" w:color="auto"/>
              <w:right w:val="single" w:sz="4" w:space="0" w:color="auto"/>
            </w:tcBorders>
          </w:tcPr>
          <w:p w14:paraId="016CE49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Anna</w:t>
            </w:r>
          </w:p>
          <w:p w14:paraId="4989EC8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Majtán-Černáková</w:t>
            </w:r>
          </w:p>
        </w:tc>
        <w:tc>
          <w:tcPr>
            <w:tcW w:w="1216" w:type="dxa"/>
            <w:tcBorders>
              <w:top w:val="single" w:sz="4" w:space="0" w:color="auto"/>
              <w:left w:val="single" w:sz="4" w:space="0" w:color="auto"/>
              <w:bottom w:val="single" w:sz="4" w:space="0" w:color="auto"/>
              <w:right w:val="single" w:sz="4" w:space="0" w:color="auto"/>
            </w:tcBorders>
          </w:tcPr>
          <w:p w14:paraId="4B443DC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Brestovec 171</w:t>
            </w:r>
          </w:p>
          <w:p w14:paraId="1401EF5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   </w:t>
            </w:r>
          </w:p>
        </w:tc>
        <w:tc>
          <w:tcPr>
            <w:tcW w:w="0" w:type="auto"/>
            <w:tcBorders>
              <w:top w:val="single" w:sz="4" w:space="0" w:color="auto"/>
              <w:left w:val="single" w:sz="4" w:space="0" w:color="auto"/>
              <w:bottom w:val="single" w:sz="4" w:space="0" w:color="auto"/>
              <w:right w:val="single" w:sz="4" w:space="0" w:color="auto"/>
            </w:tcBorders>
          </w:tcPr>
          <w:p w14:paraId="294737A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p>
          <w:p w14:paraId="2C2F5FE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Šitie krojov</w:t>
            </w:r>
          </w:p>
        </w:tc>
        <w:tc>
          <w:tcPr>
            <w:tcW w:w="0" w:type="auto"/>
            <w:tcBorders>
              <w:top w:val="single" w:sz="4" w:space="0" w:color="auto"/>
              <w:left w:val="single" w:sz="4" w:space="0" w:color="auto"/>
              <w:bottom w:val="single" w:sz="4" w:space="0" w:color="auto"/>
              <w:right w:val="single" w:sz="4" w:space="0" w:color="auto"/>
            </w:tcBorders>
          </w:tcPr>
          <w:p w14:paraId="307F176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16B0C4C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1678AB6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E555ED9"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p>
          <w:p w14:paraId="1C24740A"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Šije kroje na bábiky</w:t>
            </w:r>
          </w:p>
        </w:tc>
      </w:tr>
      <w:tr w:rsidR="004A58E7" w:rsidRPr="009613C9" w14:paraId="38D8BFEF" w14:textId="77777777" w:rsidTr="000F776C">
        <w:trPr>
          <w:cantSplit/>
          <w:trHeight w:val="763"/>
        </w:trPr>
        <w:tc>
          <w:tcPr>
            <w:tcW w:w="467" w:type="dxa"/>
            <w:tcBorders>
              <w:top w:val="single" w:sz="4" w:space="0" w:color="auto"/>
              <w:left w:val="single" w:sz="4" w:space="0" w:color="auto"/>
              <w:bottom w:val="single" w:sz="4" w:space="0" w:color="auto"/>
              <w:right w:val="single" w:sz="4" w:space="0" w:color="auto"/>
            </w:tcBorders>
          </w:tcPr>
          <w:p w14:paraId="1BB7E03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3.</w:t>
            </w:r>
          </w:p>
        </w:tc>
        <w:tc>
          <w:tcPr>
            <w:tcW w:w="1371" w:type="dxa"/>
            <w:tcBorders>
              <w:top w:val="single" w:sz="4" w:space="0" w:color="auto"/>
              <w:left w:val="single" w:sz="4" w:space="0" w:color="auto"/>
              <w:bottom w:val="single" w:sz="4" w:space="0" w:color="auto"/>
              <w:right w:val="single" w:sz="4" w:space="0" w:color="auto"/>
            </w:tcBorders>
          </w:tcPr>
          <w:p w14:paraId="7820A5F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Anna Potúčková</w:t>
            </w:r>
          </w:p>
        </w:tc>
        <w:tc>
          <w:tcPr>
            <w:tcW w:w="1216" w:type="dxa"/>
            <w:tcBorders>
              <w:top w:val="single" w:sz="4" w:space="0" w:color="auto"/>
              <w:left w:val="single" w:sz="4" w:space="0" w:color="auto"/>
              <w:bottom w:val="single" w:sz="4" w:space="0" w:color="auto"/>
              <w:right w:val="single" w:sz="4" w:space="0" w:color="auto"/>
            </w:tcBorders>
          </w:tcPr>
          <w:p w14:paraId="178B0F3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Štúrova 14, Brezová </w:t>
            </w:r>
          </w:p>
          <w:p w14:paraId="4CD3131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pod Bradlom</w:t>
            </w:r>
          </w:p>
        </w:tc>
        <w:tc>
          <w:tcPr>
            <w:tcW w:w="0" w:type="auto"/>
            <w:tcBorders>
              <w:top w:val="single" w:sz="4" w:space="0" w:color="auto"/>
              <w:left w:val="single" w:sz="4" w:space="0" w:color="auto"/>
              <w:bottom w:val="single" w:sz="4" w:space="0" w:color="auto"/>
              <w:right w:val="single" w:sz="4" w:space="0" w:color="auto"/>
            </w:tcBorders>
          </w:tcPr>
          <w:p w14:paraId="588FFA9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Paličkovaná čipka</w:t>
            </w:r>
          </w:p>
        </w:tc>
        <w:tc>
          <w:tcPr>
            <w:tcW w:w="0" w:type="auto"/>
            <w:tcBorders>
              <w:top w:val="single" w:sz="4" w:space="0" w:color="auto"/>
              <w:left w:val="single" w:sz="4" w:space="0" w:color="auto"/>
              <w:bottom w:val="single" w:sz="4" w:space="0" w:color="auto"/>
              <w:right w:val="single" w:sz="4" w:space="0" w:color="auto"/>
            </w:tcBorders>
          </w:tcPr>
          <w:p w14:paraId="268E987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477C5DA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0922C27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158C0CEE"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Paličkovanie tradičných čipiek regiónu</w:t>
            </w:r>
          </w:p>
        </w:tc>
      </w:tr>
      <w:tr w:rsidR="004A58E7" w:rsidRPr="009613C9" w14:paraId="2F6C450D" w14:textId="77777777" w:rsidTr="000F776C">
        <w:trPr>
          <w:cantSplit/>
          <w:trHeight w:val="718"/>
        </w:trPr>
        <w:tc>
          <w:tcPr>
            <w:tcW w:w="467" w:type="dxa"/>
            <w:tcBorders>
              <w:top w:val="single" w:sz="4" w:space="0" w:color="auto"/>
              <w:left w:val="single" w:sz="4" w:space="0" w:color="auto"/>
              <w:bottom w:val="single" w:sz="4" w:space="0" w:color="auto"/>
              <w:right w:val="single" w:sz="4" w:space="0" w:color="auto"/>
            </w:tcBorders>
          </w:tcPr>
          <w:p w14:paraId="6E47F38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4.</w:t>
            </w:r>
          </w:p>
        </w:tc>
        <w:tc>
          <w:tcPr>
            <w:tcW w:w="1371" w:type="dxa"/>
            <w:tcBorders>
              <w:top w:val="single" w:sz="4" w:space="0" w:color="auto"/>
              <w:left w:val="single" w:sz="4" w:space="0" w:color="auto"/>
              <w:bottom w:val="single" w:sz="4" w:space="0" w:color="auto"/>
              <w:right w:val="single" w:sz="4" w:space="0" w:color="auto"/>
            </w:tcBorders>
          </w:tcPr>
          <w:p w14:paraId="5955D19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Eva Večeřová</w:t>
            </w:r>
          </w:p>
        </w:tc>
        <w:tc>
          <w:tcPr>
            <w:tcW w:w="1216" w:type="dxa"/>
            <w:tcBorders>
              <w:top w:val="single" w:sz="4" w:space="0" w:color="auto"/>
              <w:left w:val="single" w:sz="4" w:space="0" w:color="auto"/>
              <w:bottom w:val="single" w:sz="4" w:space="0" w:color="auto"/>
              <w:right w:val="single" w:sz="4" w:space="0" w:color="auto"/>
            </w:tcBorders>
          </w:tcPr>
          <w:p w14:paraId="4C556D9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Nám. 7. apríla 412, Brezová pod Bradlom</w:t>
            </w:r>
          </w:p>
        </w:tc>
        <w:tc>
          <w:tcPr>
            <w:tcW w:w="0" w:type="auto"/>
            <w:tcBorders>
              <w:top w:val="single" w:sz="4" w:space="0" w:color="auto"/>
              <w:left w:val="single" w:sz="4" w:space="0" w:color="auto"/>
              <w:bottom w:val="single" w:sz="4" w:space="0" w:color="auto"/>
              <w:right w:val="single" w:sz="4" w:space="0" w:color="auto"/>
            </w:tcBorders>
          </w:tcPr>
          <w:p w14:paraId="0459D90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Maľovanie veľkonočných vajíčok</w:t>
            </w:r>
          </w:p>
        </w:tc>
        <w:tc>
          <w:tcPr>
            <w:tcW w:w="0" w:type="auto"/>
            <w:tcBorders>
              <w:top w:val="single" w:sz="4" w:space="0" w:color="auto"/>
              <w:left w:val="single" w:sz="4" w:space="0" w:color="auto"/>
              <w:bottom w:val="single" w:sz="4" w:space="0" w:color="auto"/>
              <w:right w:val="single" w:sz="4" w:space="0" w:color="auto"/>
            </w:tcBorders>
          </w:tcPr>
          <w:p w14:paraId="05E7AA9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3888D3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489F5F4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5184719"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Vosková metóda</w:t>
            </w:r>
          </w:p>
        </w:tc>
      </w:tr>
      <w:tr w:rsidR="004A58E7" w:rsidRPr="009613C9" w14:paraId="43C62B0B" w14:textId="77777777" w:rsidTr="000F776C">
        <w:trPr>
          <w:cantSplit/>
          <w:trHeight w:val="419"/>
        </w:trPr>
        <w:tc>
          <w:tcPr>
            <w:tcW w:w="467" w:type="dxa"/>
            <w:tcBorders>
              <w:top w:val="single" w:sz="4" w:space="0" w:color="auto"/>
              <w:left w:val="single" w:sz="4" w:space="0" w:color="auto"/>
              <w:bottom w:val="single" w:sz="4" w:space="0" w:color="auto"/>
              <w:right w:val="single" w:sz="4" w:space="0" w:color="auto"/>
            </w:tcBorders>
          </w:tcPr>
          <w:p w14:paraId="67A1DBB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5.</w:t>
            </w:r>
          </w:p>
        </w:tc>
        <w:tc>
          <w:tcPr>
            <w:tcW w:w="1371" w:type="dxa"/>
            <w:tcBorders>
              <w:top w:val="single" w:sz="4" w:space="0" w:color="auto"/>
              <w:left w:val="single" w:sz="4" w:space="0" w:color="auto"/>
              <w:bottom w:val="single" w:sz="4" w:space="0" w:color="auto"/>
              <w:right w:val="single" w:sz="4" w:space="0" w:color="auto"/>
            </w:tcBorders>
          </w:tcPr>
          <w:p w14:paraId="4775D23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Pavel Harmady</w:t>
            </w:r>
          </w:p>
        </w:tc>
        <w:tc>
          <w:tcPr>
            <w:tcW w:w="1216" w:type="dxa"/>
            <w:tcBorders>
              <w:top w:val="single" w:sz="4" w:space="0" w:color="auto"/>
              <w:left w:val="single" w:sz="4" w:space="0" w:color="auto"/>
              <w:bottom w:val="single" w:sz="4" w:space="0" w:color="auto"/>
              <w:right w:val="single" w:sz="4" w:space="0" w:color="auto"/>
            </w:tcBorders>
          </w:tcPr>
          <w:p w14:paraId="0E0E7BA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Bzince pod Javorinou 220</w:t>
            </w:r>
          </w:p>
        </w:tc>
        <w:tc>
          <w:tcPr>
            <w:tcW w:w="0" w:type="auto"/>
            <w:tcBorders>
              <w:top w:val="single" w:sz="4" w:space="0" w:color="auto"/>
              <w:left w:val="single" w:sz="4" w:space="0" w:color="auto"/>
              <w:bottom w:val="single" w:sz="4" w:space="0" w:color="auto"/>
              <w:right w:val="single" w:sz="4" w:space="0" w:color="auto"/>
            </w:tcBorders>
          </w:tcPr>
          <w:p w14:paraId="5CAB3A5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Drevovýroba </w:t>
            </w:r>
          </w:p>
        </w:tc>
        <w:tc>
          <w:tcPr>
            <w:tcW w:w="0" w:type="auto"/>
            <w:tcBorders>
              <w:top w:val="single" w:sz="4" w:space="0" w:color="auto"/>
              <w:left w:val="single" w:sz="4" w:space="0" w:color="auto"/>
              <w:bottom w:val="single" w:sz="4" w:space="0" w:color="auto"/>
              <w:right w:val="single" w:sz="4" w:space="0" w:color="auto"/>
            </w:tcBorders>
          </w:tcPr>
          <w:p w14:paraId="2FEA190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2CF4AA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256FE77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510EE724"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Pamiatkové predmety</w:t>
            </w:r>
          </w:p>
        </w:tc>
      </w:tr>
      <w:tr w:rsidR="004A58E7" w:rsidRPr="009613C9" w14:paraId="18FE4F8E" w14:textId="77777777" w:rsidTr="000F776C">
        <w:trPr>
          <w:cantSplit/>
          <w:trHeight w:val="404"/>
        </w:trPr>
        <w:tc>
          <w:tcPr>
            <w:tcW w:w="467" w:type="dxa"/>
            <w:tcBorders>
              <w:top w:val="single" w:sz="4" w:space="0" w:color="auto"/>
              <w:left w:val="single" w:sz="4" w:space="0" w:color="auto"/>
              <w:bottom w:val="single" w:sz="4" w:space="0" w:color="auto"/>
              <w:right w:val="single" w:sz="4" w:space="0" w:color="auto"/>
            </w:tcBorders>
          </w:tcPr>
          <w:p w14:paraId="246E0C1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6.</w:t>
            </w:r>
          </w:p>
        </w:tc>
        <w:tc>
          <w:tcPr>
            <w:tcW w:w="1371" w:type="dxa"/>
            <w:tcBorders>
              <w:top w:val="single" w:sz="4" w:space="0" w:color="auto"/>
              <w:left w:val="single" w:sz="4" w:space="0" w:color="auto"/>
              <w:bottom w:val="single" w:sz="4" w:space="0" w:color="auto"/>
              <w:right w:val="single" w:sz="4" w:space="0" w:color="auto"/>
            </w:tcBorders>
          </w:tcPr>
          <w:p w14:paraId="2CD329B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Elena Ševčíková</w:t>
            </w:r>
          </w:p>
        </w:tc>
        <w:tc>
          <w:tcPr>
            <w:tcW w:w="1216" w:type="dxa"/>
            <w:tcBorders>
              <w:top w:val="single" w:sz="4" w:space="0" w:color="auto"/>
              <w:left w:val="single" w:sz="4" w:space="0" w:color="auto"/>
              <w:bottom w:val="single" w:sz="4" w:space="0" w:color="auto"/>
              <w:right w:val="single" w:sz="4" w:space="0" w:color="auto"/>
            </w:tcBorders>
          </w:tcPr>
          <w:p w14:paraId="3BF5583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Bzince pod Javorinou  381</w:t>
            </w:r>
          </w:p>
        </w:tc>
        <w:tc>
          <w:tcPr>
            <w:tcW w:w="0" w:type="auto"/>
            <w:tcBorders>
              <w:top w:val="single" w:sz="4" w:space="0" w:color="auto"/>
              <w:left w:val="single" w:sz="4" w:space="0" w:color="auto"/>
              <w:bottom w:val="single" w:sz="4" w:space="0" w:color="auto"/>
              <w:right w:val="single" w:sz="4" w:space="0" w:color="auto"/>
            </w:tcBorders>
          </w:tcPr>
          <w:p w14:paraId="4E46B31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Výroba výšiviek</w:t>
            </w:r>
          </w:p>
        </w:tc>
        <w:tc>
          <w:tcPr>
            <w:tcW w:w="0" w:type="auto"/>
            <w:tcBorders>
              <w:top w:val="single" w:sz="4" w:space="0" w:color="auto"/>
              <w:left w:val="single" w:sz="4" w:space="0" w:color="auto"/>
              <w:bottom w:val="single" w:sz="4" w:space="0" w:color="auto"/>
              <w:right w:val="single" w:sz="4" w:space="0" w:color="auto"/>
            </w:tcBorders>
          </w:tcPr>
          <w:p w14:paraId="0951432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0D8A528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E8C448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362DE030"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Výšivky rôzneho druhu</w:t>
            </w:r>
          </w:p>
        </w:tc>
      </w:tr>
      <w:tr w:rsidR="004A58E7" w:rsidRPr="009613C9" w14:paraId="79BF16BE" w14:textId="77777777" w:rsidTr="000F776C">
        <w:trPr>
          <w:cantSplit/>
          <w:trHeight w:val="657"/>
        </w:trPr>
        <w:tc>
          <w:tcPr>
            <w:tcW w:w="467" w:type="dxa"/>
            <w:tcBorders>
              <w:top w:val="single" w:sz="4" w:space="0" w:color="auto"/>
              <w:left w:val="single" w:sz="4" w:space="0" w:color="auto"/>
              <w:bottom w:val="single" w:sz="4" w:space="0" w:color="auto"/>
              <w:right w:val="single" w:sz="4" w:space="0" w:color="auto"/>
            </w:tcBorders>
          </w:tcPr>
          <w:p w14:paraId="6F3EC45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7.</w:t>
            </w:r>
          </w:p>
        </w:tc>
        <w:tc>
          <w:tcPr>
            <w:tcW w:w="1371" w:type="dxa"/>
            <w:tcBorders>
              <w:top w:val="single" w:sz="4" w:space="0" w:color="auto"/>
              <w:left w:val="single" w:sz="4" w:space="0" w:color="auto"/>
              <w:bottom w:val="single" w:sz="4" w:space="0" w:color="auto"/>
              <w:right w:val="single" w:sz="4" w:space="0" w:color="auto"/>
            </w:tcBorders>
          </w:tcPr>
          <w:p w14:paraId="55FE271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Karol Kolník</w:t>
            </w:r>
          </w:p>
        </w:tc>
        <w:tc>
          <w:tcPr>
            <w:tcW w:w="1216" w:type="dxa"/>
            <w:tcBorders>
              <w:top w:val="single" w:sz="4" w:space="0" w:color="auto"/>
              <w:left w:val="single" w:sz="4" w:space="0" w:color="auto"/>
              <w:bottom w:val="single" w:sz="4" w:space="0" w:color="auto"/>
              <w:right w:val="single" w:sz="4" w:space="0" w:color="auto"/>
            </w:tcBorders>
          </w:tcPr>
          <w:p w14:paraId="122DE10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Hrachovište 257</w:t>
            </w:r>
          </w:p>
        </w:tc>
        <w:tc>
          <w:tcPr>
            <w:tcW w:w="0" w:type="auto"/>
            <w:tcBorders>
              <w:top w:val="single" w:sz="4" w:space="0" w:color="auto"/>
              <w:left w:val="single" w:sz="4" w:space="0" w:color="auto"/>
              <w:bottom w:val="single" w:sz="4" w:space="0" w:color="auto"/>
              <w:right w:val="single" w:sz="4" w:space="0" w:color="auto"/>
            </w:tcBorders>
          </w:tcPr>
          <w:p w14:paraId="051F0E0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Kamenárstvo</w:t>
            </w:r>
          </w:p>
        </w:tc>
        <w:tc>
          <w:tcPr>
            <w:tcW w:w="0" w:type="auto"/>
            <w:tcBorders>
              <w:top w:val="single" w:sz="4" w:space="0" w:color="auto"/>
              <w:left w:val="single" w:sz="4" w:space="0" w:color="auto"/>
              <w:bottom w:val="single" w:sz="4" w:space="0" w:color="auto"/>
              <w:right w:val="single" w:sz="4" w:space="0" w:color="auto"/>
            </w:tcBorders>
          </w:tcPr>
          <w:p w14:paraId="1369203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306C93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7662CD0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476145C9" w14:textId="77777777" w:rsidR="004A58E7" w:rsidRPr="009613C9" w:rsidRDefault="004A58E7" w:rsidP="00E459C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Výroba sôch z kameňa</w:t>
            </w:r>
          </w:p>
        </w:tc>
      </w:tr>
      <w:tr w:rsidR="004A58E7" w:rsidRPr="009613C9" w14:paraId="24C37660" w14:textId="77777777" w:rsidTr="000F776C">
        <w:trPr>
          <w:cantSplit/>
          <w:trHeight w:val="754"/>
        </w:trPr>
        <w:tc>
          <w:tcPr>
            <w:tcW w:w="467" w:type="dxa"/>
            <w:tcBorders>
              <w:top w:val="single" w:sz="4" w:space="0" w:color="auto"/>
              <w:left w:val="single" w:sz="4" w:space="0" w:color="auto"/>
              <w:bottom w:val="single" w:sz="4" w:space="0" w:color="auto"/>
              <w:right w:val="single" w:sz="4" w:space="0" w:color="auto"/>
            </w:tcBorders>
          </w:tcPr>
          <w:p w14:paraId="32D8785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8.</w:t>
            </w:r>
          </w:p>
        </w:tc>
        <w:tc>
          <w:tcPr>
            <w:tcW w:w="1371" w:type="dxa"/>
            <w:tcBorders>
              <w:top w:val="single" w:sz="4" w:space="0" w:color="auto"/>
              <w:left w:val="single" w:sz="4" w:space="0" w:color="auto"/>
              <w:bottom w:val="single" w:sz="4" w:space="0" w:color="auto"/>
              <w:right w:val="single" w:sz="4" w:space="0" w:color="auto"/>
            </w:tcBorders>
          </w:tcPr>
          <w:p w14:paraId="358DDBF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Mgr.</w:t>
            </w:r>
          </w:p>
          <w:p w14:paraId="1E3BEF84"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Irenej Ciutti</w:t>
            </w:r>
          </w:p>
        </w:tc>
        <w:tc>
          <w:tcPr>
            <w:tcW w:w="1216" w:type="dxa"/>
            <w:tcBorders>
              <w:top w:val="single" w:sz="4" w:space="0" w:color="auto"/>
              <w:left w:val="single" w:sz="4" w:space="0" w:color="auto"/>
              <w:bottom w:val="single" w:sz="4" w:space="0" w:color="auto"/>
              <w:right w:val="single" w:sz="4" w:space="0" w:color="auto"/>
            </w:tcBorders>
          </w:tcPr>
          <w:p w14:paraId="7C60668D"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Hrachovište 2 </w:t>
            </w:r>
          </w:p>
        </w:tc>
        <w:tc>
          <w:tcPr>
            <w:tcW w:w="0" w:type="auto"/>
            <w:tcBorders>
              <w:top w:val="single" w:sz="4" w:space="0" w:color="auto"/>
              <w:left w:val="single" w:sz="4" w:space="0" w:color="auto"/>
              <w:bottom w:val="single" w:sz="4" w:space="0" w:color="auto"/>
              <w:right w:val="single" w:sz="4" w:space="0" w:color="auto"/>
            </w:tcBorders>
          </w:tcPr>
          <w:p w14:paraId="194B39FE"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Maľba na drevo</w:t>
            </w:r>
          </w:p>
        </w:tc>
        <w:tc>
          <w:tcPr>
            <w:tcW w:w="0" w:type="auto"/>
            <w:tcBorders>
              <w:top w:val="single" w:sz="4" w:space="0" w:color="auto"/>
              <w:left w:val="single" w:sz="4" w:space="0" w:color="auto"/>
              <w:bottom w:val="single" w:sz="4" w:space="0" w:color="auto"/>
              <w:right w:val="single" w:sz="4" w:space="0" w:color="auto"/>
            </w:tcBorders>
          </w:tcPr>
          <w:p w14:paraId="75FC880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3FB950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15917D7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9874089" w14:textId="77777777" w:rsidR="004A58E7" w:rsidRPr="009613C9" w:rsidRDefault="004A58E7" w:rsidP="00E459C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Cirkevná tematika</w:t>
            </w:r>
          </w:p>
        </w:tc>
      </w:tr>
      <w:tr w:rsidR="004A58E7" w:rsidRPr="009613C9" w14:paraId="51F89117" w14:textId="77777777" w:rsidTr="000F776C">
        <w:trPr>
          <w:cantSplit/>
          <w:trHeight w:val="1137"/>
        </w:trPr>
        <w:tc>
          <w:tcPr>
            <w:tcW w:w="467" w:type="dxa"/>
            <w:tcBorders>
              <w:top w:val="single" w:sz="4" w:space="0" w:color="auto"/>
              <w:left w:val="single" w:sz="4" w:space="0" w:color="auto"/>
              <w:bottom w:val="single" w:sz="4" w:space="0" w:color="auto"/>
              <w:right w:val="single" w:sz="4" w:space="0" w:color="auto"/>
            </w:tcBorders>
          </w:tcPr>
          <w:p w14:paraId="79A119F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9.</w:t>
            </w:r>
          </w:p>
        </w:tc>
        <w:tc>
          <w:tcPr>
            <w:tcW w:w="1371" w:type="dxa"/>
            <w:tcBorders>
              <w:top w:val="single" w:sz="4" w:space="0" w:color="auto"/>
              <w:left w:val="single" w:sz="4" w:space="0" w:color="auto"/>
              <w:bottom w:val="single" w:sz="4" w:space="0" w:color="auto"/>
              <w:right w:val="single" w:sz="4" w:space="0" w:color="auto"/>
            </w:tcBorders>
          </w:tcPr>
          <w:p w14:paraId="346DF17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Mária Kozáková</w:t>
            </w:r>
          </w:p>
        </w:tc>
        <w:tc>
          <w:tcPr>
            <w:tcW w:w="1216" w:type="dxa"/>
            <w:tcBorders>
              <w:top w:val="single" w:sz="4" w:space="0" w:color="auto"/>
              <w:left w:val="single" w:sz="4" w:space="0" w:color="auto"/>
              <w:bottom w:val="single" w:sz="4" w:space="0" w:color="auto"/>
              <w:right w:val="single" w:sz="4" w:space="0" w:color="auto"/>
            </w:tcBorders>
          </w:tcPr>
          <w:p w14:paraId="78D47EA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Hrašné 259</w:t>
            </w:r>
          </w:p>
          <w:p w14:paraId="0B0B972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tcPr>
          <w:p w14:paraId="56B2558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Harmonikárka</w:t>
            </w:r>
          </w:p>
        </w:tc>
        <w:tc>
          <w:tcPr>
            <w:tcW w:w="0" w:type="auto"/>
            <w:tcBorders>
              <w:top w:val="single" w:sz="4" w:space="0" w:color="auto"/>
              <w:left w:val="single" w:sz="4" w:space="0" w:color="auto"/>
              <w:bottom w:val="single" w:sz="4" w:space="0" w:color="auto"/>
              <w:right w:val="single" w:sz="4" w:space="0" w:color="auto"/>
            </w:tcBorders>
          </w:tcPr>
          <w:p w14:paraId="1289371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3513A65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DE1B69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6726AE46"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Zúčastňuje sa súťaží harmonikárov</w:t>
            </w:r>
          </w:p>
        </w:tc>
      </w:tr>
      <w:tr w:rsidR="004A58E7" w:rsidRPr="009613C9" w14:paraId="705680CF" w14:textId="77777777" w:rsidTr="000F776C">
        <w:trPr>
          <w:cantSplit/>
          <w:trHeight w:val="1685"/>
        </w:trPr>
        <w:tc>
          <w:tcPr>
            <w:tcW w:w="467" w:type="dxa"/>
            <w:tcBorders>
              <w:top w:val="single" w:sz="4" w:space="0" w:color="auto"/>
              <w:left w:val="single" w:sz="4" w:space="0" w:color="auto"/>
              <w:bottom w:val="single" w:sz="4" w:space="0" w:color="auto"/>
              <w:right w:val="single" w:sz="4" w:space="0" w:color="auto"/>
            </w:tcBorders>
          </w:tcPr>
          <w:p w14:paraId="47E2FB24"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10</w:t>
            </w:r>
            <w:r w:rsidR="00E459C7" w:rsidRPr="009613C9">
              <w:rPr>
                <w:rFonts w:ascii="Times New Roman" w:eastAsia="Times New Roman" w:hAnsi="Times New Roman" w:cs="Times New Roman"/>
                <w:b/>
                <w:bCs/>
                <w:i/>
                <w:sz w:val="20"/>
                <w:szCs w:val="20"/>
                <w:lang w:eastAsia="cs-CZ"/>
              </w:rPr>
              <w:t>.</w:t>
            </w:r>
          </w:p>
        </w:tc>
        <w:tc>
          <w:tcPr>
            <w:tcW w:w="1371" w:type="dxa"/>
            <w:tcBorders>
              <w:top w:val="single" w:sz="4" w:space="0" w:color="auto"/>
              <w:left w:val="single" w:sz="4" w:space="0" w:color="auto"/>
              <w:bottom w:val="single" w:sz="4" w:space="0" w:color="auto"/>
              <w:right w:val="single" w:sz="4" w:space="0" w:color="auto"/>
            </w:tcBorders>
          </w:tcPr>
          <w:p w14:paraId="69C9817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Ing. Vladislav</w:t>
            </w:r>
          </w:p>
          <w:p w14:paraId="7278E04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Tomiš</w:t>
            </w:r>
          </w:p>
        </w:tc>
        <w:tc>
          <w:tcPr>
            <w:tcW w:w="1216" w:type="dxa"/>
            <w:tcBorders>
              <w:top w:val="single" w:sz="4" w:space="0" w:color="auto"/>
              <w:left w:val="single" w:sz="4" w:space="0" w:color="auto"/>
              <w:bottom w:val="single" w:sz="4" w:space="0" w:color="auto"/>
              <w:right w:val="single" w:sz="4" w:space="0" w:color="auto"/>
            </w:tcBorders>
          </w:tcPr>
          <w:p w14:paraId="22414EDA"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 Hrašné 216</w:t>
            </w:r>
          </w:p>
        </w:tc>
        <w:tc>
          <w:tcPr>
            <w:tcW w:w="0" w:type="auto"/>
            <w:tcBorders>
              <w:top w:val="single" w:sz="4" w:space="0" w:color="auto"/>
              <w:left w:val="single" w:sz="4" w:space="0" w:color="auto"/>
              <w:bottom w:val="single" w:sz="4" w:space="0" w:color="auto"/>
              <w:right w:val="single" w:sz="4" w:space="0" w:color="auto"/>
            </w:tcBorders>
          </w:tcPr>
          <w:p w14:paraId="3E7ABE4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Med a produkty</w:t>
            </w:r>
          </w:p>
          <w:p w14:paraId="05E1EB9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z medu</w:t>
            </w:r>
          </w:p>
        </w:tc>
        <w:tc>
          <w:tcPr>
            <w:tcW w:w="0" w:type="auto"/>
            <w:tcBorders>
              <w:top w:val="single" w:sz="4" w:space="0" w:color="auto"/>
              <w:left w:val="single" w:sz="4" w:space="0" w:color="auto"/>
              <w:bottom w:val="single" w:sz="4" w:space="0" w:color="auto"/>
              <w:right w:val="single" w:sz="4" w:space="0" w:color="auto"/>
            </w:tcBorders>
          </w:tcPr>
          <w:p w14:paraId="471855E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BA53CE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5D1EB25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7DACFC43" w14:textId="77777777" w:rsidR="004A58E7" w:rsidRPr="009613C9" w:rsidRDefault="004A58E7" w:rsidP="00E459C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Člen včelárskej organ</w:t>
            </w:r>
            <w:r w:rsidR="00E459C7" w:rsidRPr="009613C9">
              <w:rPr>
                <w:rFonts w:ascii="Times New Roman" w:eastAsia="Times New Roman" w:hAnsi="Times New Roman" w:cs="Times New Roman"/>
                <w:i/>
                <w:sz w:val="20"/>
                <w:szCs w:val="20"/>
                <w:lang w:eastAsia="cs-CZ"/>
              </w:rPr>
              <w:t>i</w:t>
            </w:r>
            <w:r w:rsidRPr="009613C9">
              <w:rPr>
                <w:rFonts w:ascii="Times New Roman" w:eastAsia="Times New Roman" w:hAnsi="Times New Roman" w:cs="Times New Roman"/>
                <w:i/>
                <w:sz w:val="20"/>
                <w:szCs w:val="20"/>
                <w:lang w:eastAsia="cs-CZ"/>
              </w:rPr>
              <w:t>zácie, ktorá má záujem o regionálnu spoluprácu</w:t>
            </w:r>
          </w:p>
        </w:tc>
      </w:tr>
      <w:tr w:rsidR="004A58E7" w:rsidRPr="009613C9" w14:paraId="101126C5"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419889B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lastRenderedPageBreak/>
              <w:t>11.</w:t>
            </w:r>
          </w:p>
        </w:tc>
        <w:tc>
          <w:tcPr>
            <w:tcW w:w="1371" w:type="dxa"/>
            <w:tcBorders>
              <w:top w:val="single" w:sz="4" w:space="0" w:color="auto"/>
              <w:left w:val="single" w:sz="4" w:space="0" w:color="auto"/>
              <w:bottom w:val="single" w:sz="4" w:space="0" w:color="auto"/>
              <w:right w:val="single" w:sz="4" w:space="0" w:color="auto"/>
            </w:tcBorders>
          </w:tcPr>
          <w:p w14:paraId="13E94AAB" w14:textId="77777777" w:rsidR="004A58E7" w:rsidRPr="009613C9" w:rsidRDefault="004A58E7" w:rsidP="004A58E7">
            <w:pPr>
              <w:spacing w:before="60" w:after="60" w:line="300" w:lineRule="exact"/>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Adrián Hrubý</w:t>
            </w:r>
          </w:p>
        </w:tc>
        <w:tc>
          <w:tcPr>
            <w:tcW w:w="1216" w:type="dxa"/>
            <w:tcBorders>
              <w:top w:val="single" w:sz="4" w:space="0" w:color="auto"/>
              <w:left w:val="single" w:sz="4" w:space="0" w:color="auto"/>
              <w:bottom w:val="single" w:sz="4" w:space="0" w:color="auto"/>
              <w:right w:val="single" w:sz="4" w:space="0" w:color="auto"/>
            </w:tcBorders>
          </w:tcPr>
          <w:p w14:paraId="77E2334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Košariská 173 </w:t>
            </w:r>
          </w:p>
        </w:tc>
        <w:tc>
          <w:tcPr>
            <w:tcW w:w="0" w:type="auto"/>
            <w:tcBorders>
              <w:top w:val="single" w:sz="4" w:space="0" w:color="auto"/>
              <w:left w:val="single" w:sz="4" w:space="0" w:color="auto"/>
              <w:bottom w:val="single" w:sz="4" w:space="0" w:color="auto"/>
              <w:right w:val="single" w:sz="4" w:space="0" w:color="auto"/>
            </w:tcBorders>
          </w:tcPr>
          <w:p w14:paraId="3BD5E44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Hrnčiarstvo</w:t>
            </w:r>
          </w:p>
        </w:tc>
        <w:tc>
          <w:tcPr>
            <w:tcW w:w="0" w:type="auto"/>
            <w:tcBorders>
              <w:top w:val="single" w:sz="4" w:space="0" w:color="auto"/>
              <w:left w:val="single" w:sz="4" w:space="0" w:color="auto"/>
              <w:bottom w:val="single" w:sz="4" w:space="0" w:color="auto"/>
              <w:right w:val="single" w:sz="4" w:space="0" w:color="auto"/>
            </w:tcBorders>
          </w:tcPr>
          <w:p w14:paraId="17A2C47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5A57F92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7BFEF50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7F0C25C0"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Výroba keramiky</w:t>
            </w:r>
          </w:p>
        </w:tc>
      </w:tr>
      <w:tr w:rsidR="004A58E7" w:rsidRPr="009613C9" w14:paraId="5D836BC1" w14:textId="77777777" w:rsidTr="000F776C">
        <w:trPr>
          <w:cantSplit/>
          <w:trHeight w:val="626"/>
        </w:trPr>
        <w:tc>
          <w:tcPr>
            <w:tcW w:w="467" w:type="dxa"/>
            <w:tcBorders>
              <w:top w:val="single" w:sz="4" w:space="0" w:color="auto"/>
              <w:left w:val="single" w:sz="4" w:space="0" w:color="auto"/>
              <w:bottom w:val="single" w:sz="4" w:space="0" w:color="auto"/>
              <w:right w:val="single" w:sz="4" w:space="0" w:color="auto"/>
            </w:tcBorders>
          </w:tcPr>
          <w:p w14:paraId="7D091C5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12.</w:t>
            </w:r>
          </w:p>
        </w:tc>
        <w:tc>
          <w:tcPr>
            <w:tcW w:w="1371" w:type="dxa"/>
            <w:tcBorders>
              <w:top w:val="single" w:sz="4" w:space="0" w:color="auto"/>
              <w:left w:val="single" w:sz="4" w:space="0" w:color="auto"/>
              <w:bottom w:val="single" w:sz="4" w:space="0" w:color="auto"/>
              <w:right w:val="single" w:sz="4" w:space="0" w:color="auto"/>
            </w:tcBorders>
          </w:tcPr>
          <w:p w14:paraId="61905DF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Mária Šimon</w:t>
            </w:r>
          </w:p>
        </w:tc>
        <w:tc>
          <w:tcPr>
            <w:tcW w:w="1216" w:type="dxa"/>
            <w:tcBorders>
              <w:top w:val="single" w:sz="4" w:space="0" w:color="auto"/>
              <w:left w:val="single" w:sz="4" w:space="0" w:color="auto"/>
              <w:bottom w:val="single" w:sz="4" w:space="0" w:color="auto"/>
              <w:right w:val="single" w:sz="4" w:space="0" w:color="auto"/>
            </w:tcBorders>
          </w:tcPr>
          <w:p w14:paraId="7A70AC9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Košariská 196 </w:t>
            </w:r>
          </w:p>
        </w:tc>
        <w:tc>
          <w:tcPr>
            <w:tcW w:w="0" w:type="auto"/>
            <w:tcBorders>
              <w:top w:val="single" w:sz="4" w:space="0" w:color="auto"/>
              <w:left w:val="single" w:sz="4" w:space="0" w:color="auto"/>
              <w:bottom w:val="single" w:sz="4" w:space="0" w:color="auto"/>
              <w:right w:val="single" w:sz="4" w:space="0" w:color="auto"/>
            </w:tcBorders>
          </w:tcPr>
          <w:p w14:paraId="4F9AB02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Maľovanie</w:t>
            </w:r>
          </w:p>
        </w:tc>
        <w:tc>
          <w:tcPr>
            <w:tcW w:w="0" w:type="auto"/>
            <w:tcBorders>
              <w:top w:val="single" w:sz="4" w:space="0" w:color="auto"/>
              <w:left w:val="single" w:sz="4" w:space="0" w:color="auto"/>
              <w:bottom w:val="single" w:sz="4" w:space="0" w:color="auto"/>
              <w:right w:val="single" w:sz="4" w:space="0" w:color="auto"/>
            </w:tcBorders>
          </w:tcPr>
          <w:p w14:paraId="7C643C6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2C6E27C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18F856D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A28E26F"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Maľovanie na drevo, kameň, krajinky, práca s látkou</w:t>
            </w:r>
          </w:p>
        </w:tc>
      </w:tr>
      <w:tr w:rsidR="004A58E7" w:rsidRPr="009613C9" w14:paraId="2EAC07EB"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15C9A42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13.</w:t>
            </w:r>
          </w:p>
        </w:tc>
        <w:tc>
          <w:tcPr>
            <w:tcW w:w="1371" w:type="dxa"/>
            <w:tcBorders>
              <w:top w:val="single" w:sz="4" w:space="0" w:color="auto"/>
              <w:left w:val="single" w:sz="4" w:space="0" w:color="auto"/>
              <w:bottom w:val="single" w:sz="4" w:space="0" w:color="auto"/>
              <w:right w:val="single" w:sz="4" w:space="0" w:color="auto"/>
            </w:tcBorders>
          </w:tcPr>
          <w:p w14:paraId="73AA57B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Jaroslav Rehorčík</w:t>
            </w:r>
          </w:p>
        </w:tc>
        <w:tc>
          <w:tcPr>
            <w:tcW w:w="1216" w:type="dxa"/>
            <w:tcBorders>
              <w:top w:val="single" w:sz="4" w:space="0" w:color="auto"/>
              <w:left w:val="single" w:sz="4" w:space="0" w:color="auto"/>
              <w:bottom w:val="single" w:sz="4" w:space="0" w:color="auto"/>
              <w:right w:val="single" w:sz="4" w:space="0" w:color="auto"/>
            </w:tcBorders>
          </w:tcPr>
          <w:p w14:paraId="68F4A7A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Rudník. 116</w:t>
            </w:r>
          </w:p>
        </w:tc>
        <w:tc>
          <w:tcPr>
            <w:tcW w:w="0" w:type="auto"/>
            <w:tcBorders>
              <w:top w:val="single" w:sz="4" w:space="0" w:color="auto"/>
              <w:left w:val="single" w:sz="4" w:space="0" w:color="auto"/>
              <w:bottom w:val="single" w:sz="4" w:space="0" w:color="auto"/>
              <w:right w:val="single" w:sz="4" w:space="0" w:color="auto"/>
            </w:tcBorders>
          </w:tcPr>
          <w:p w14:paraId="0CD0A24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Výroba košikárskych výrobkov</w:t>
            </w:r>
          </w:p>
        </w:tc>
        <w:tc>
          <w:tcPr>
            <w:tcW w:w="0" w:type="auto"/>
            <w:tcBorders>
              <w:top w:val="single" w:sz="4" w:space="0" w:color="auto"/>
              <w:left w:val="single" w:sz="4" w:space="0" w:color="auto"/>
              <w:bottom w:val="single" w:sz="4" w:space="0" w:color="auto"/>
              <w:right w:val="single" w:sz="4" w:space="0" w:color="auto"/>
            </w:tcBorders>
          </w:tcPr>
          <w:p w14:paraId="3AEEA49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02CCEB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202C2C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3EF74201"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Má záujem rozširovať sortiment</w:t>
            </w:r>
          </w:p>
        </w:tc>
      </w:tr>
      <w:tr w:rsidR="004A58E7" w:rsidRPr="009613C9" w14:paraId="77037C6B"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18B88DE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14.</w:t>
            </w:r>
          </w:p>
        </w:tc>
        <w:tc>
          <w:tcPr>
            <w:tcW w:w="1371" w:type="dxa"/>
            <w:tcBorders>
              <w:top w:val="single" w:sz="4" w:space="0" w:color="auto"/>
              <w:left w:val="single" w:sz="4" w:space="0" w:color="auto"/>
              <w:bottom w:val="single" w:sz="4" w:space="0" w:color="auto"/>
              <w:right w:val="single" w:sz="4" w:space="0" w:color="auto"/>
            </w:tcBorders>
          </w:tcPr>
          <w:p w14:paraId="7B288DF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Jana Orosová</w:t>
            </w:r>
          </w:p>
        </w:tc>
        <w:tc>
          <w:tcPr>
            <w:tcW w:w="1216" w:type="dxa"/>
            <w:tcBorders>
              <w:top w:val="single" w:sz="4" w:space="0" w:color="auto"/>
              <w:left w:val="single" w:sz="4" w:space="0" w:color="auto"/>
              <w:bottom w:val="single" w:sz="4" w:space="0" w:color="auto"/>
              <w:right w:val="single" w:sz="4" w:space="0" w:color="auto"/>
            </w:tcBorders>
          </w:tcPr>
          <w:p w14:paraId="5DDC102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Stará Myjava 348</w:t>
            </w:r>
          </w:p>
          <w:p w14:paraId="5E64A21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907 01 Myjava</w:t>
            </w:r>
          </w:p>
        </w:tc>
        <w:tc>
          <w:tcPr>
            <w:tcW w:w="0" w:type="auto"/>
            <w:tcBorders>
              <w:top w:val="single" w:sz="4" w:space="0" w:color="auto"/>
              <w:left w:val="single" w:sz="4" w:space="0" w:color="auto"/>
              <w:bottom w:val="single" w:sz="4" w:space="0" w:color="auto"/>
              <w:right w:val="single" w:sz="4" w:space="0" w:color="auto"/>
            </w:tcBorders>
          </w:tcPr>
          <w:p w14:paraId="55AAA10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Výrobky z prútia</w:t>
            </w:r>
          </w:p>
        </w:tc>
        <w:tc>
          <w:tcPr>
            <w:tcW w:w="0" w:type="auto"/>
            <w:tcBorders>
              <w:top w:val="single" w:sz="4" w:space="0" w:color="auto"/>
              <w:left w:val="single" w:sz="4" w:space="0" w:color="auto"/>
              <w:bottom w:val="single" w:sz="4" w:space="0" w:color="auto"/>
              <w:right w:val="single" w:sz="4" w:space="0" w:color="auto"/>
            </w:tcBorders>
          </w:tcPr>
          <w:p w14:paraId="0DF123A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6F16C6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6D9524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A35A4E2"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Košíky, korbáče, opletené demižóny</w:t>
            </w:r>
          </w:p>
        </w:tc>
      </w:tr>
      <w:tr w:rsidR="004A58E7" w:rsidRPr="009613C9" w14:paraId="1F05A569"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5BC8FAB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15.</w:t>
            </w:r>
          </w:p>
        </w:tc>
        <w:tc>
          <w:tcPr>
            <w:tcW w:w="1371" w:type="dxa"/>
            <w:tcBorders>
              <w:top w:val="single" w:sz="4" w:space="0" w:color="auto"/>
              <w:left w:val="single" w:sz="4" w:space="0" w:color="auto"/>
              <w:bottom w:val="single" w:sz="4" w:space="0" w:color="auto"/>
              <w:right w:val="single" w:sz="4" w:space="0" w:color="auto"/>
            </w:tcBorders>
          </w:tcPr>
          <w:p w14:paraId="4846792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Ing. Ján Zeman </w:t>
            </w:r>
          </w:p>
        </w:tc>
        <w:tc>
          <w:tcPr>
            <w:tcW w:w="1216" w:type="dxa"/>
            <w:tcBorders>
              <w:top w:val="single" w:sz="4" w:space="0" w:color="auto"/>
              <w:left w:val="single" w:sz="4" w:space="0" w:color="auto"/>
              <w:bottom w:val="single" w:sz="4" w:space="0" w:color="auto"/>
              <w:right w:val="single" w:sz="4" w:space="0" w:color="auto"/>
            </w:tcBorders>
          </w:tcPr>
          <w:p w14:paraId="52A3662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Stará Turá</w:t>
            </w:r>
          </w:p>
          <w:p w14:paraId="61929F7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Durcova Dolina 139</w:t>
            </w:r>
          </w:p>
        </w:tc>
        <w:tc>
          <w:tcPr>
            <w:tcW w:w="0" w:type="auto"/>
            <w:tcBorders>
              <w:top w:val="single" w:sz="4" w:space="0" w:color="auto"/>
              <w:left w:val="single" w:sz="4" w:space="0" w:color="auto"/>
              <w:bottom w:val="single" w:sz="4" w:space="0" w:color="auto"/>
              <w:right w:val="single" w:sz="4" w:space="0" w:color="auto"/>
            </w:tcBorders>
          </w:tcPr>
          <w:p w14:paraId="50FD568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Výrobky z prútia</w:t>
            </w:r>
          </w:p>
        </w:tc>
        <w:tc>
          <w:tcPr>
            <w:tcW w:w="0" w:type="auto"/>
            <w:tcBorders>
              <w:top w:val="single" w:sz="4" w:space="0" w:color="auto"/>
              <w:left w:val="single" w:sz="4" w:space="0" w:color="auto"/>
              <w:bottom w:val="single" w:sz="4" w:space="0" w:color="auto"/>
              <w:right w:val="single" w:sz="4" w:space="0" w:color="auto"/>
            </w:tcBorders>
          </w:tcPr>
          <w:p w14:paraId="21ED43E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265293A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8F6C03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3D37C176"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Košíky, korbáče, opletené demižóny</w:t>
            </w:r>
          </w:p>
        </w:tc>
      </w:tr>
      <w:tr w:rsidR="004A58E7" w:rsidRPr="009613C9" w14:paraId="1BE9AD0E"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36A762F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16.</w:t>
            </w:r>
          </w:p>
        </w:tc>
        <w:tc>
          <w:tcPr>
            <w:tcW w:w="1371" w:type="dxa"/>
            <w:tcBorders>
              <w:top w:val="single" w:sz="4" w:space="0" w:color="auto"/>
              <w:left w:val="single" w:sz="4" w:space="0" w:color="auto"/>
              <w:bottom w:val="single" w:sz="4" w:space="0" w:color="auto"/>
              <w:right w:val="single" w:sz="4" w:space="0" w:color="auto"/>
            </w:tcBorders>
          </w:tcPr>
          <w:p w14:paraId="4E8BA16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Miloš  Medňanský </w:t>
            </w:r>
          </w:p>
        </w:tc>
        <w:tc>
          <w:tcPr>
            <w:tcW w:w="1216" w:type="dxa"/>
            <w:tcBorders>
              <w:top w:val="single" w:sz="4" w:space="0" w:color="auto"/>
              <w:left w:val="single" w:sz="4" w:space="0" w:color="auto"/>
              <w:bottom w:val="single" w:sz="4" w:space="0" w:color="auto"/>
              <w:right w:val="single" w:sz="4" w:space="0" w:color="auto"/>
            </w:tcBorders>
          </w:tcPr>
          <w:p w14:paraId="5DBC9F5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Stará Turá</w:t>
            </w:r>
          </w:p>
          <w:p w14:paraId="28390CF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Hurbanova 152/56</w:t>
            </w:r>
          </w:p>
        </w:tc>
        <w:tc>
          <w:tcPr>
            <w:tcW w:w="0" w:type="auto"/>
            <w:tcBorders>
              <w:top w:val="single" w:sz="4" w:space="0" w:color="auto"/>
              <w:left w:val="single" w:sz="4" w:space="0" w:color="auto"/>
              <w:bottom w:val="single" w:sz="4" w:space="0" w:color="auto"/>
              <w:right w:val="single" w:sz="4" w:space="0" w:color="auto"/>
            </w:tcBorders>
          </w:tcPr>
          <w:p w14:paraId="2FB43DF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Drevárske výrobky</w:t>
            </w:r>
          </w:p>
        </w:tc>
        <w:tc>
          <w:tcPr>
            <w:tcW w:w="0" w:type="auto"/>
            <w:tcBorders>
              <w:top w:val="single" w:sz="4" w:space="0" w:color="auto"/>
              <w:left w:val="single" w:sz="4" w:space="0" w:color="auto"/>
              <w:bottom w:val="single" w:sz="4" w:space="0" w:color="auto"/>
              <w:right w:val="single" w:sz="4" w:space="0" w:color="auto"/>
            </w:tcBorders>
          </w:tcPr>
          <w:p w14:paraId="30B9464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ECAEC8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59E21C10"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525B8427"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Rezbárstvo a sochárstvo z dreva</w:t>
            </w:r>
          </w:p>
        </w:tc>
      </w:tr>
      <w:tr w:rsidR="004A58E7" w:rsidRPr="009613C9" w14:paraId="4726A328"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6EA0A03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17.</w:t>
            </w:r>
          </w:p>
        </w:tc>
        <w:tc>
          <w:tcPr>
            <w:tcW w:w="1371" w:type="dxa"/>
            <w:tcBorders>
              <w:top w:val="single" w:sz="4" w:space="0" w:color="auto"/>
              <w:left w:val="single" w:sz="4" w:space="0" w:color="auto"/>
              <w:bottom w:val="single" w:sz="4" w:space="0" w:color="auto"/>
              <w:right w:val="single" w:sz="4" w:space="0" w:color="auto"/>
            </w:tcBorders>
          </w:tcPr>
          <w:p w14:paraId="2330402B"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Vladimír  Brezinský </w:t>
            </w:r>
          </w:p>
        </w:tc>
        <w:tc>
          <w:tcPr>
            <w:tcW w:w="1216" w:type="dxa"/>
            <w:tcBorders>
              <w:top w:val="single" w:sz="4" w:space="0" w:color="auto"/>
              <w:left w:val="single" w:sz="4" w:space="0" w:color="auto"/>
              <w:bottom w:val="single" w:sz="4" w:space="0" w:color="auto"/>
              <w:right w:val="single" w:sz="4" w:space="0" w:color="auto"/>
            </w:tcBorders>
          </w:tcPr>
          <w:p w14:paraId="0D1A7CC7"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Stará Turá </w:t>
            </w:r>
          </w:p>
          <w:p w14:paraId="4C3198E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Mýtna 144</w:t>
            </w:r>
          </w:p>
        </w:tc>
        <w:tc>
          <w:tcPr>
            <w:tcW w:w="0" w:type="auto"/>
            <w:tcBorders>
              <w:top w:val="single" w:sz="4" w:space="0" w:color="auto"/>
              <w:left w:val="single" w:sz="4" w:space="0" w:color="auto"/>
              <w:bottom w:val="single" w:sz="4" w:space="0" w:color="auto"/>
              <w:right w:val="single" w:sz="4" w:space="0" w:color="auto"/>
            </w:tcBorders>
          </w:tcPr>
          <w:p w14:paraId="25C317F4"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Drevárske výrobky</w:t>
            </w:r>
          </w:p>
        </w:tc>
        <w:tc>
          <w:tcPr>
            <w:tcW w:w="0" w:type="auto"/>
            <w:tcBorders>
              <w:top w:val="single" w:sz="4" w:space="0" w:color="auto"/>
              <w:left w:val="single" w:sz="4" w:space="0" w:color="auto"/>
              <w:bottom w:val="single" w:sz="4" w:space="0" w:color="auto"/>
              <w:right w:val="single" w:sz="4" w:space="0" w:color="auto"/>
            </w:tcBorders>
          </w:tcPr>
          <w:p w14:paraId="487ABD2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27B7BFB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F427F9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525687F"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Rezbárstvo a sochárstvo z dreva</w:t>
            </w:r>
          </w:p>
        </w:tc>
      </w:tr>
      <w:tr w:rsidR="004A58E7" w:rsidRPr="009613C9" w14:paraId="7206ACD1"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304E1943"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18.</w:t>
            </w:r>
          </w:p>
        </w:tc>
        <w:tc>
          <w:tcPr>
            <w:tcW w:w="1371" w:type="dxa"/>
            <w:tcBorders>
              <w:top w:val="single" w:sz="4" w:space="0" w:color="auto"/>
              <w:left w:val="single" w:sz="4" w:space="0" w:color="auto"/>
              <w:bottom w:val="single" w:sz="4" w:space="0" w:color="auto"/>
              <w:right w:val="single" w:sz="4" w:space="0" w:color="auto"/>
            </w:tcBorders>
          </w:tcPr>
          <w:p w14:paraId="3F2BF01D" w14:textId="77777777" w:rsidR="004A58E7" w:rsidRPr="009613C9" w:rsidRDefault="004A58E7" w:rsidP="004A58E7">
            <w:pPr>
              <w:spacing w:before="60" w:after="60" w:line="300" w:lineRule="exact"/>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Mgr. Elena Rumánková</w:t>
            </w:r>
          </w:p>
        </w:tc>
        <w:tc>
          <w:tcPr>
            <w:tcW w:w="1216" w:type="dxa"/>
            <w:tcBorders>
              <w:top w:val="single" w:sz="4" w:space="0" w:color="auto"/>
              <w:left w:val="single" w:sz="4" w:space="0" w:color="auto"/>
              <w:bottom w:val="single" w:sz="4" w:space="0" w:color="auto"/>
              <w:right w:val="single" w:sz="4" w:space="0" w:color="auto"/>
            </w:tcBorders>
          </w:tcPr>
          <w:p w14:paraId="13A75B0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Stará Turá</w:t>
            </w:r>
          </w:p>
          <w:p w14:paraId="165C1B3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M. R. Štefánika 368</w:t>
            </w:r>
          </w:p>
        </w:tc>
        <w:tc>
          <w:tcPr>
            <w:tcW w:w="0" w:type="auto"/>
            <w:tcBorders>
              <w:top w:val="single" w:sz="4" w:space="0" w:color="auto"/>
              <w:left w:val="single" w:sz="4" w:space="0" w:color="auto"/>
              <w:bottom w:val="single" w:sz="4" w:space="0" w:color="auto"/>
              <w:right w:val="single" w:sz="4" w:space="0" w:color="auto"/>
            </w:tcBorders>
          </w:tcPr>
          <w:p w14:paraId="668D20F6"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Výtvarníctvo</w:t>
            </w:r>
          </w:p>
        </w:tc>
        <w:tc>
          <w:tcPr>
            <w:tcW w:w="0" w:type="auto"/>
            <w:tcBorders>
              <w:top w:val="single" w:sz="4" w:space="0" w:color="auto"/>
              <w:left w:val="single" w:sz="4" w:space="0" w:color="auto"/>
              <w:bottom w:val="single" w:sz="4" w:space="0" w:color="auto"/>
              <w:right w:val="single" w:sz="4" w:space="0" w:color="auto"/>
            </w:tcBorders>
          </w:tcPr>
          <w:p w14:paraId="4F36739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6FDCCE9"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01AAEB0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1508147D"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Maľuje olejom prevažné zátišie</w:t>
            </w:r>
          </w:p>
        </w:tc>
      </w:tr>
      <w:tr w:rsidR="004A58E7" w:rsidRPr="009613C9" w14:paraId="197D16C2"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0520C19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19.</w:t>
            </w:r>
          </w:p>
        </w:tc>
        <w:tc>
          <w:tcPr>
            <w:tcW w:w="1371" w:type="dxa"/>
            <w:tcBorders>
              <w:top w:val="single" w:sz="4" w:space="0" w:color="auto"/>
              <w:left w:val="single" w:sz="4" w:space="0" w:color="auto"/>
              <w:bottom w:val="single" w:sz="4" w:space="0" w:color="auto"/>
              <w:right w:val="single" w:sz="4" w:space="0" w:color="auto"/>
            </w:tcBorders>
          </w:tcPr>
          <w:p w14:paraId="54B08F4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Elena Lukáčová</w:t>
            </w:r>
          </w:p>
        </w:tc>
        <w:tc>
          <w:tcPr>
            <w:tcW w:w="1216" w:type="dxa"/>
            <w:tcBorders>
              <w:top w:val="single" w:sz="4" w:space="0" w:color="auto"/>
              <w:left w:val="single" w:sz="4" w:space="0" w:color="auto"/>
              <w:bottom w:val="single" w:sz="4" w:space="0" w:color="auto"/>
              <w:right w:val="single" w:sz="4" w:space="0" w:color="auto"/>
            </w:tcBorders>
          </w:tcPr>
          <w:p w14:paraId="1474AE0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Stará Turá</w:t>
            </w:r>
          </w:p>
        </w:tc>
        <w:tc>
          <w:tcPr>
            <w:tcW w:w="0" w:type="auto"/>
            <w:tcBorders>
              <w:top w:val="single" w:sz="4" w:space="0" w:color="auto"/>
              <w:left w:val="single" w:sz="4" w:space="0" w:color="auto"/>
              <w:bottom w:val="single" w:sz="4" w:space="0" w:color="auto"/>
              <w:right w:val="single" w:sz="4" w:space="0" w:color="auto"/>
            </w:tcBorders>
          </w:tcPr>
          <w:p w14:paraId="5B45B86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Výšivky, aranžmá</w:t>
            </w:r>
          </w:p>
        </w:tc>
        <w:tc>
          <w:tcPr>
            <w:tcW w:w="0" w:type="auto"/>
            <w:tcBorders>
              <w:top w:val="single" w:sz="4" w:space="0" w:color="auto"/>
              <w:left w:val="single" w:sz="4" w:space="0" w:color="auto"/>
              <w:bottom w:val="single" w:sz="4" w:space="0" w:color="auto"/>
              <w:right w:val="single" w:sz="4" w:space="0" w:color="auto"/>
            </w:tcBorders>
          </w:tcPr>
          <w:p w14:paraId="1CBF600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74D3602D"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6C1D9FA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783771B"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Výšivky, háčkované výrobky</w:t>
            </w:r>
          </w:p>
        </w:tc>
      </w:tr>
      <w:tr w:rsidR="004A58E7" w:rsidRPr="009613C9" w14:paraId="0B616A0A"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6EDEE30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20.</w:t>
            </w:r>
          </w:p>
        </w:tc>
        <w:tc>
          <w:tcPr>
            <w:tcW w:w="1371" w:type="dxa"/>
            <w:tcBorders>
              <w:top w:val="single" w:sz="4" w:space="0" w:color="auto"/>
              <w:left w:val="single" w:sz="4" w:space="0" w:color="auto"/>
              <w:bottom w:val="single" w:sz="4" w:space="0" w:color="auto"/>
              <w:right w:val="single" w:sz="4" w:space="0" w:color="auto"/>
            </w:tcBorders>
          </w:tcPr>
          <w:p w14:paraId="77B923A4" w14:textId="77777777" w:rsidR="004A58E7" w:rsidRPr="009613C9" w:rsidRDefault="004A58E7" w:rsidP="00E459C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 xml:space="preserve"> Rudol</w:t>
            </w:r>
            <w:r w:rsidR="00E459C7" w:rsidRPr="009613C9">
              <w:rPr>
                <w:rFonts w:ascii="Times New Roman" w:eastAsia="Times New Roman" w:hAnsi="Times New Roman" w:cs="Times New Roman"/>
                <w:b/>
                <w:bCs/>
                <w:i/>
                <w:sz w:val="20"/>
                <w:szCs w:val="20"/>
                <w:lang w:eastAsia="cs-CZ"/>
              </w:rPr>
              <w:t>f</w:t>
            </w:r>
            <w:r w:rsidRPr="009613C9">
              <w:rPr>
                <w:rFonts w:ascii="Times New Roman" w:eastAsia="Times New Roman" w:hAnsi="Times New Roman" w:cs="Times New Roman"/>
                <w:b/>
                <w:bCs/>
                <w:i/>
                <w:sz w:val="20"/>
                <w:szCs w:val="20"/>
                <w:lang w:eastAsia="cs-CZ"/>
              </w:rPr>
              <w:t xml:space="preserve"> Škriečka</w:t>
            </w:r>
          </w:p>
        </w:tc>
        <w:tc>
          <w:tcPr>
            <w:tcW w:w="1216" w:type="dxa"/>
            <w:tcBorders>
              <w:top w:val="single" w:sz="4" w:space="0" w:color="auto"/>
              <w:left w:val="single" w:sz="4" w:space="0" w:color="auto"/>
              <w:bottom w:val="single" w:sz="4" w:space="0" w:color="auto"/>
              <w:right w:val="single" w:sz="4" w:space="0" w:color="auto"/>
            </w:tcBorders>
          </w:tcPr>
          <w:p w14:paraId="14993428"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Vaďovce 89</w:t>
            </w:r>
          </w:p>
        </w:tc>
        <w:tc>
          <w:tcPr>
            <w:tcW w:w="0" w:type="auto"/>
            <w:tcBorders>
              <w:top w:val="single" w:sz="4" w:space="0" w:color="auto"/>
              <w:left w:val="single" w:sz="4" w:space="0" w:color="auto"/>
              <w:bottom w:val="single" w:sz="4" w:space="0" w:color="auto"/>
              <w:right w:val="single" w:sz="4" w:space="0" w:color="auto"/>
            </w:tcBorders>
          </w:tcPr>
          <w:p w14:paraId="5472937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Umelecké kováčstvo</w:t>
            </w:r>
          </w:p>
        </w:tc>
        <w:tc>
          <w:tcPr>
            <w:tcW w:w="0" w:type="auto"/>
            <w:tcBorders>
              <w:top w:val="single" w:sz="4" w:space="0" w:color="auto"/>
              <w:left w:val="single" w:sz="4" w:space="0" w:color="auto"/>
              <w:bottom w:val="single" w:sz="4" w:space="0" w:color="auto"/>
              <w:right w:val="single" w:sz="4" w:space="0" w:color="auto"/>
            </w:tcBorders>
          </w:tcPr>
          <w:p w14:paraId="4A8FE0CC"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0CAFBE2A"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D1F12BF"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3C1EF9C9"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Kováčske výrobky, umelecké predmety</w:t>
            </w:r>
          </w:p>
        </w:tc>
      </w:tr>
      <w:tr w:rsidR="004A58E7" w:rsidRPr="009613C9" w14:paraId="52FC1FC2" w14:textId="77777777" w:rsidTr="000F776C">
        <w:trPr>
          <w:cantSplit/>
          <w:trHeight w:val="144"/>
        </w:trPr>
        <w:tc>
          <w:tcPr>
            <w:tcW w:w="467" w:type="dxa"/>
            <w:tcBorders>
              <w:top w:val="single" w:sz="4" w:space="0" w:color="auto"/>
              <w:left w:val="single" w:sz="4" w:space="0" w:color="auto"/>
              <w:bottom w:val="single" w:sz="4" w:space="0" w:color="auto"/>
              <w:right w:val="single" w:sz="4" w:space="0" w:color="auto"/>
            </w:tcBorders>
          </w:tcPr>
          <w:p w14:paraId="332DC93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21.</w:t>
            </w:r>
          </w:p>
        </w:tc>
        <w:tc>
          <w:tcPr>
            <w:tcW w:w="1371" w:type="dxa"/>
            <w:tcBorders>
              <w:top w:val="single" w:sz="4" w:space="0" w:color="auto"/>
              <w:left w:val="single" w:sz="4" w:space="0" w:color="auto"/>
              <w:bottom w:val="single" w:sz="4" w:space="0" w:color="auto"/>
              <w:right w:val="single" w:sz="4" w:space="0" w:color="auto"/>
            </w:tcBorders>
          </w:tcPr>
          <w:p w14:paraId="7E8C222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Roman Benian</w:t>
            </w:r>
          </w:p>
        </w:tc>
        <w:tc>
          <w:tcPr>
            <w:tcW w:w="1216" w:type="dxa"/>
            <w:tcBorders>
              <w:top w:val="single" w:sz="4" w:space="0" w:color="auto"/>
              <w:left w:val="single" w:sz="4" w:space="0" w:color="auto"/>
              <w:bottom w:val="single" w:sz="4" w:space="0" w:color="auto"/>
              <w:right w:val="single" w:sz="4" w:space="0" w:color="auto"/>
            </w:tcBorders>
          </w:tcPr>
          <w:p w14:paraId="6108468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Vaďovce 162</w:t>
            </w:r>
          </w:p>
        </w:tc>
        <w:tc>
          <w:tcPr>
            <w:tcW w:w="0" w:type="auto"/>
            <w:tcBorders>
              <w:top w:val="single" w:sz="4" w:space="0" w:color="auto"/>
              <w:left w:val="single" w:sz="4" w:space="0" w:color="auto"/>
              <w:bottom w:val="single" w:sz="4" w:space="0" w:color="auto"/>
              <w:right w:val="single" w:sz="4" w:space="0" w:color="auto"/>
            </w:tcBorders>
          </w:tcPr>
          <w:p w14:paraId="15879B91"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Košíkarstvo</w:t>
            </w:r>
          </w:p>
        </w:tc>
        <w:tc>
          <w:tcPr>
            <w:tcW w:w="0" w:type="auto"/>
            <w:tcBorders>
              <w:top w:val="single" w:sz="4" w:space="0" w:color="auto"/>
              <w:left w:val="single" w:sz="4" w:space="0" w:color="auto"/>
              <w:bottom w:val="single" w:sz="4" w:space="0" w:color="auto"/>
              <w:right w:val="single" w:sz="4" w:space="0" w:color="auto"/>
            </w:tcBorders>
          </w:tcPr>
          <w:p w14:paraId="0E67C552"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Nie</w:t>
            </w:r>
          </w:p>
        </w:tc>
        <w:tc>
          <w:tcPr>
            <w:tcW w:w="0" w:type="auto"/>
            <w:tcBorders>
              <w:top w:val="single" w:sz="4" w:space="0" w:color="auto"/>
              <w:left w:val="single" w:sz="4" w:space="0" w:color="auto"/>
              <w:bottom w:val="single" w:sz="4" w:space="0" w:color="auto"/>
              <w:right w:val="single" w:sz="4" w:space="0" w:color="auto"/>
            </w:tcBorders>
          </w:tcPr>
          <w:p w14:paraId="3E09A4BE"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1301F195" w14:textId="77777777" w:rsidR="004A58E7" w:rsidRPr="009613C9" w:rsidRDefault="004A58E7" w:rsidP="004A58E7">
            <w:pPr>
              <w:spacing w:before="60" w:after="60" w:line="300" w:lineRule="exact"/>
              <w:jc w:val="both"/>
              <w:rPr>
                <w:rFonts w:ascii="Times New Roman" w:eastAsia="Times New Roman" w:hAnsi="Times New Roman" w:cs="Times New Roman"/>
                <w:b/>
                <w:bCs/>
                <w:i/>
                <w:sz w:val="20"/>
                <w:szCs w:val="20"/>
                <w:lang w:eastAsia="cs-CZ"/>
              </w:rPr>
            </w:pPr>
            <w:r w:rsidRPr="009613C9">
              <w:rPr>
                <w:rFonts w:ascii="Times New Roman" w:eastAsia="Times New Roman" w:hAnsi="Times New Roman" w:cs="Times New Roman"/>
                <w:b/>
                <w:bCs/>
                <w:i/>
                <w:sz w:val="20"/>
                <w:szCs w:val="20"/>
                <w:lang w:eastAsia="cs-CZ"/>
              </w:rPr>
              <w:t>áno</w:t>
            </w:r>
          </w:p>
        </w:tc>
        <w:tc>
          <w:tcPr>
            <w:tcW w:w="0" w:type="auto"/>
            <w:tcBorders>
              <w:top w:val="single" w:sz="4" w:space="0" w:color="auto"/>
              <w:left w:val="single" w:sz="4" w:space="0" w:color="auto"/>
              <w:bottom w:val="single" w:sz="4" w:space="0" w:color="auto"/>
              <w:right w:val="single" w:sz="4" w:space="0" w:color="auto"/>
            </w:tcBorders>
          </w:tcPr>
          <w:p w14:paraId="4C9D8B77" w14:textId="77777777" w:rsidR="004A58E7" w:rsidRPr="009613C9" w:rsidRDefault="004A58E7" w:rsidP="004A58E7">
            <w:pPr>
              <w:spacing w:before="60" w:after="60" w:line="300" w:lineRule="exact"/>
              <w:jc w:val="both"/>
              <w:rPr>
                <w:rFonts w:ascii="Times New Roman" w:eastAsia="Times New Roman" w:hAnsi="Times New Roman" w:cs="Times New Roman"/>
                <w:i/>
                <w:sz w:val="20"/>
                <w:szCs w:val="20"/>
                <w:lang w:eastAsia="cs-CZ"/>
              </w:rPr>
            </w:pPr>
            <w:r w:rsidRPr="009613C9">
              <w:rPr>
                <w:rFonts w:ascii="Times New Roman" w:eastAsia="Times New Roman" w:hAnsi="Times New Roman" w:cs="Times New Roman"/>
                <w:i/>
                <w:sz w:val="20"/>
                <w:szCs w:val="20"/>
                <w:lang w:eastAsia="cs-CZ"/>
              </w:rPr>
              <w:t xml:space="preserve">Košíky, opletanie drobných predmetov </w:t>
            </w:r>
          </w:p>
        </w:tc>
      </w:tr>
    </w:tbl>
    <w:p w14:paraId="2D5B32EA" w14:textId="77777777" w:rsidR="004A58E7" w:rsidRPr="004A58E7" w:rsidRDefault="004A58E7" w:rsidP="00E225CE">
      <w:pPr>
        <w:spacing w:after="0" w:line="360" w:lineRule="auto"/>
        <w:rPr>
          <w:rFonts w:ascii="Times New Roman" w:hAnsi="Times New Roman" w:cs="Times New Roman"/>
          <w:b/>
          <w:sz w:val="24"/>
          <w:szCs w:val="24"/>
        </w:rPr>
      </w:pPr>
    </w:p>
    <w:p w14:paraId="1EBD01E4" w14:textId="77777777" w:rsidR="00E225CE" w:rsidRPr="00AD142F" w:rsidRDefault="00E225CE" w:rsidP="00AD142F">
      <w:pPr>
        <w:spacing w:before="120" w:after="0" w:line="360" w:lineRule="auto"/>
        <w:rPr>
          <w:rFonts w:ascii="Times New Roman" w:hAnsi="Times New Roman" w:cs="Times New Roman"/>
          <w:b/>
          <w:i/>
          <w:sz w:val="24"/>
          <w:szCs w:val="24"/>
        </w:rPr>
      </w:pPr>
      <w:r w:rsidRPr="00AD142F">
        <w:rPr>
          <w:rFonts w:ascii="Times New Roman" w:hAnsi="Times New Roman" w:cs="Times New Roman"/>
          <w:b/>
          <w:i/>
          <w:sz w:val="24"/>
          <w:szCs w:val="24"/>
        </w:rPr>
        <w:lastRenderedPageBreak/>
        <w:t>Školstvo</w:t>
      </w:r>
    </w:p>
    <w:p w14:paraId="53FE5B39"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Sústavu školských zariadení v regióne tvorí 22 materských škôl, 16 základných škôl, 4 stredné odborné školy a 1 gymnázium. Popri tom sa v regióne nachádza 1 špeciálna základná  škola, 3 umelecké školy a 2 centrá voľného času. </w:t>
      </w:r>
    </w:p>
    <w:p w14:paraId="5FFE79EA"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Z celkového počtu 22 materských škôl, je najväčší počet v meste Myjava, kde sú zriadené 3 materské školy. Štvrtá materská škola je spojená so základnou školou pre 1.-4.roč. a nachádza sa v Turej Lúke. Dve materské školy má mesto Brezová pod Bradlom; ostatné obce majú po jednej materskej škole. Päť obcí nedisponuje materskými školami; sú to: Hrachovište, Chvojnica, Podkylava, Polianka a Višňové. Ide o obce s najnižším počtom obyvateľov a deti z týchto obcí navštevujú materské školy v susedných obciach. </w:t>
      </w:r>
    </w:p>
    <w:p w14:paraId="4097E88A"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Možno konštatovať, že materské školy sú v Kopaničiarskom regióne rozmiestnené rovnomerne a v súlade s potrebami regiónu. Vzhľadom na populačný vývoj </w:t>
      </w:r>
      <w:r w:rsidR="00322802">
        <w:rPr>
          <w:rFonts w:ascii="Times New Roman" w:hAnsi="Times New Roman" w:cs="Times New Roman"/>
          <w:sz w:val="24"/>
          <w:szCs w:val="24"/>
        </w:rPr>
        <w:t xml:space="preserve">na začiatku tisícročia bolo </w:t>
      </w:r>
      <w:r w:rsidR="000F776C">
        <w:rPr>
          <w:rFonts w:ascii="Times New Roman" w:hAnsi="Times New Roman" w:cs="Times New Roman"/>
          <w:sz w:val="24"/>
          <w:szCs w:val="24"/>
        </w:rPr>
        <w:t xml:space="preserve">v </w:t>
      </w:r>
      <w:r w:rsidR="000F776C" w:rsidRPr="00E225CE">
        <w:rPr>
          <w:rFonts w:ascii="Times New Roman" w:hAnsi="Times New Roman" w:cs="Times New Roman"/>
          <w:sz w:val="24"/>
          <w:szCs w:val="24"/>
        </w:rPr>
        <w:t xml:space="preserve">regióne </w:t>
      </w:r>
      <w:r w:rsidR="000F776C">
        <w:rPr>
          <w:rFonts w:ascii="Times New Roman" w:hAnsi="Times New Roman" w:cs="Times New Roman"/>
          <w:sz w:val="24"/>
          <w:szCs w:val="24"/>
        </w:rPr>
        <w:t xml:space="preserve">mnoho školských či predškolských zariadení zatvorená. Situácia sa však začal meniť </w:t>
      </w:r>
      <w:r w:rsidR="00322802">
        <w:rPr>
          <w:rFonts w:ascii="Times New Roman" w:hAnsi="Times New Roman" w:cs="Times New Roman"/>
          <w:sz w:val="24"/>
          <w:szCs w:val="24"/>
        </w:rPr>
        <w:t xml:space="preserve">a počet detí v posledných rokoch narastať. Kapacita </w:t>
      </w:r>
      <w:r w:rsidR="00390271">
        <w:rPr>
          <w:rFonts w:ascii="Times New Roman" w:hAnsi="Times New Roman" w:cs="Times New Roman"/>
          <w:sz w:val="24"/>
          <w:szCs w:val="24"/>
        </w:rPr>
        <w:t>predškolských</w:t>
      </w:r>
      <w:r w:rsidR="00322802">
        <w:rPr>
          <w:rFonts w:ascii="Times New Roman" w:hAnsi="Times New Roman" w:cs="Times New Roman"/>
          <w:sz w:val="24"/>
          <w:szCs w:val="24"/>
        </w:rPr>
        <w:t xml:space="preserve"> zariadení  je tak </w:t>
      </w:r>
      <w:r w:rsidR="003860F6">
        <w:rPr>
          <w:rFonts w:ascii="Times New Roman" w:hAnsi="Times New Roman" w:cs="Times New Roman"/>
          <w:sz w:val="24"/>
          <w:szCs w:val="24"/>
        </w:rPr>
        <w:t>nepostačujúca</w:t>
      </w:r>
      <w:r w:rsidR="00322802">
        <w:rPr>
          <w:rFonts w:ascii="Times New Roman" w:hAnsi="Times New Roman" w:cs="Times New Roman"/>
          <w:sz w:val="24"/>
          <w:szCs w:val="24"/>
        </w:rPr>
        <w:t xml:space="preserve"> </w:t>
      </w:r>
      <w:r w:rsidR="003860F6">
        <w:rPr>
          <w:rFonts w:ascii="Times New Roman" w:hAnsi="Times New Roman" w:cs="Times New Roman"/>
          <w:sz w:val="24"/>
          <w:szCs w:val="24"/>
        </w:rPr>
        <w:t xml:space="preserve">a </w:t>
      </w:r>
      <w:r w:rsidR="00E225CE" w:rsidRPr="00E225CE">
        <w:rPr>
          <w:rFonts w:ascii="Times New Roman" w:hAnsi="Times New Roman" w:cs="Times New Roman"/>
          <w:sz w:val="24"/>
          <w:szCs w:val="24"/>
        </w:rPr>
        <w:t xml:space="preserve">je potrebné riešiť </w:t>
      </w:r>
      <w:r w:rsidR="000F776C">
        <w:rPr>
          <w:rFonts w:ascii="Times New Roman" w:hAnsi="Times New Roman" w:cs="Times New Roman"/>
          <w:sz w:val="24"/>
          <w:szCs w:val="24"/>
        </w:rPr>
        <w:t xml:space="preserve">rekonštrukcie, príp. rozšírenie </w:t>
      </w:r>
      <w:r w:rsidR="00E225CE" w:rsidRPr="00E225CE">
        <w:rPr>
          <w:rFonts w:ascii="Times New Roman" w:hAnsi="Times New Roman" w:cs="Times New Roman"/>
          <w:sz w:val="24"/>
          <w:szCs w:val="24"/>
        </w:rPr>
        <w:t xml:space="preserve">materských škôl. </w:t>
      </w:r>
    </w:p>
    <w:p w14:paraId="1EC0CA81" w14:textId="77777777" w:rsidR="00866824" w:rsidRPr="00EE3313" w:rsidRDefault="00E225CE" w:rsidP="00AD142F">
      <w:pPr>
        <w:spacing w:before="120" w:after="0" w:line="360" w:lineRule="auto"/>
        <w:jc w:val="both"/>
        <w:rPr>
          <w:rFonts w:ascii="Times New Roman" w:hAnsi="Times New Roman" w:cs="Times New Roman"/>
          <w:b/>
          <w:sz w:val="20"/>
          <w:szCs w:val="20"/>
        </w:rPr>
      </w:pPr>
      <w:r w:rsidRPr="00EE3313">
        <w:rPr>
          <w:rFonts w:ascii="Times New Roman" w:hAnsi="Times New Roman" w:cs="Times New Roman"/>
          <w:b/>
          <w:sz w:val="20"/>
          <w:szCs w:val="20"/>
        </w:rPr>
        <w:t xml:space="preserve">Tabuľka </w:t>
      </w:r>
      <w:r w:rsidR="00390271">
        <w:rPr>
          <w:rFonts w:ascii="Times New Roman" w:hAnsi="Times New Roman" w:cs="Times New Roman"/>
          <w:b/>
          <w:sz w:val="20"/>
          <w:szCs w:val="20"/>
        </w:rPr>
        <w:t>3.1.12</w:t>
      </w:r>
      <w:r w:rsidRPr="00EE3313">
        <w:rPr>
          <w:rFonts w:ascii="Times New Roman" w:hAnsi="Times New Roman" w:cs="Times New Roman"/>
          <w:b/>
          <w:sz w:val="20"/>
          <w:szCs w:val="20"/>
        </w:rPr>
        <w:t xml:space="preserve"> Vývoj počtu tried, žiakov a pracovníkov v materských školách Kopaničiarskeho regiónu v rokoch 1996/1997 – 20</w:t>
      </w:r>
      <w:r w:rsidR="008D271C" w:rsidRPr="00EE3313">
        <w:rPr>
          <w:rFonts w:ascii="Times New Roman" w:hAnsi="Times New Roman" w:cs="Times New Roman"/>
          <w:b/>
          <w:sz w:val="20"/>
          <w:szCs w:val="20"/>
        </w:rPr>
        <w:t>14</w:t>
      </w:r>
      <w:r w:rsidRPr="00EE3313">
        <w:rPr>
          <w:rFonts w:ascii="Times New Roman" w:hAnsi="Times New Roman" w:cs="Times New Roman"/>
          <w:b/>
          <w:sz w:val="20"/>
          <w:szCs w:val="20"/>
        </w:rPr>
        <w:t>/20</w:t>
      </w:r>
      <w:r w:rsidR="008D271C" w:rsidRPr="00EE3313">
        <w:rPr>
          <w:rFonts w:ascii="Times New Roman" w:hAnsi="Times New Roman" w:cs="Times New Roman"/>
          <w:b/>
          <w:sz w:val="20"/>
          <w:szCs w:val="20"/>
        </w:rPr>
        <w:t>15</w:t>
      </w:r>
    </w:p>
    <w:tbl>
      <w:tblPr>
        <w:tblW w:w="5940" w:type="dxa"/>
        <w:tblInd w:w="55" w:type="dxa"/>
        <w:tblCellMar>
          <w:left w:w="70" w:type="dxa"/>
          <w:right w:w="70" w:type="dxa"/>
        </w:tblCellMar>
        <w:tblLook w:val="0000" w:firstRow="0" w:lastRow="0" w:firstColumn="0" w:lastColumn="0" w:noHBand="0" w:noVBand="0"/>
      </w:tblPr>
      <w:tblGrid>
        <w:gridCol w:w="1641"/>
        <w:gridCol w:w="1033"/>
        <w:gridCol w:w="1283"/>
        <w:gridCol w:w="1983"/>
      </w:tblGrid>
      <w:tr w:rsidR="00866824" w:rsidRPr="009613C9" w14:paraId="5DAC465A" w14:textId="77777777" w:rsidTr="00866824">
        <w:trPr>
          <w:trHeight w:val="555"/>
        </w:trPr>
        <w:tc>
          <w:tcPr>
            <w:tcW w:w="1641" w:type="dxa"/>
            <w:tcBorders>
              <w:top w:val="single" w:sz="4" w:space="0" w:color="auto"/>
              <w:left w:val="single" w:sz="4" w:space="0" w:color="auto"/>
              <w:bottom w:val="single" w:sz="4" w:space="0" w:color="auto"/>
              <w:right w:val="single" w:sz="4" w:space="0" w:color="auto"/>
            </w:tcBorders>
            <w:shd w:val="clear" w:color="auto" w:fill="D9D9D9"/>
            <w:vAlign w:val="center"/>
          </w:tcPr>
          <w:p w14:paraId="65257E91" w14:textId="77777777" w:rsidR="00866824" w:rsidRPr="009613C9" w:rsidRDefault="00866824" w:rsidP="00866824">
            <w:pPr>
              <w:spacing w:after="0" w:line="240" w:lineRule="auto"/>
              <w:jc w:val="center"/>
              <w:rPr>
                <w:rFonts w:ascii="Times New Roman" w:eastAsia="Times New Roman" w:hAnsi="Times New Roman" w:cs="Times New Roman"/>
                <w:b/>
                <w:bCs/>
                <w:sz w:val="20"/>
                <w:szCs w:val="20"/>
                <w:lang w:eastAsia="cs-CZ"/>
              </w:rPr>
            </w:pPr>
            <w:r w:rsidRPr="009613C9">
              <w:rPr>
                <w:rFonts w:ascii="Times New Roman" w:eastAsia="Times New Roman" w:hAnsi="Times New Roman" w:cs="Times New Roman"/>
                <w:b/>
                <w:bCs/>
                <w:sz w:val="20"/>
                <w:szCs w:val="20"/>
                <w:lang w:eastAsia="cs-CZ"/>
              </w:rPr>
              <w:t>Stredné školy/gymnázium</w:t>
            </w:r>
          </w:p>
        </w:tc>
        <w:tc>
          <w:tcPr>
            <w:tcW w:w="1033" w:type="dxa"/>
            <w:tcBorders>
              <w:top w:val="single" w:sz="4" w:space="0" w:color="auto"/>
              <w:left w:val="nil"/>
              <w:bottom w:val="single" w:sz="4" w:space="0" w:color="auto"/>
              <w:right w:val="single" w:sz="4" w:space="0" w:color="auto"/>
            </w:tcBorders>
            <w:shd w:val="clear" w:color="auto" w:fill="D9D9D9"/>
            <w:vAlign w:val="center"/>
          </w:tcPr>
          <w:p w14:paraId="6A757A5B" w14:textId="77777777" w:rsidR="00866824" w:rsidRPr="009613C9" w:rsidRDefault="00866824" w:rsidP="00866824">
            <w:pPr>
              <w:spacing w:after="0" w:line="240" w:lineRule="auto"/>
              <w:jc w:val="center"/>
              <w:rPr>
                <w:rFonts w:ascii="Times New Roman" w:eastAsia="Times New Roman" w:hAnsi="Times New Roman" w:cs="Times New Roman"/>
                <w:b/>
                <w:bCs/>
                <w:sz w:val="20"/>
                <w:szCs w:val="20"/>
                <w:lang w:eastAsia="cs-CZ"/>
              </w:rPr>
            </w:pPr>
            <w:r w:rsidRPr="009613C9">
              <w:rPr>
                <w:rFonts w:ascii="Times New Roman" w:eastAsia="Times New Roman" w:hAnsi="Times New Roman" w:cs="Times New Roman"/>
                <w:b/>
                <w:bCs/>
                <w:sz w:val="20"/>
                <w:szCs w:val="20"/>
                <w:lang w:eastAsia="cs-CZ"/>
              </w:rPr>
              <w:t>Počet tried</w:t>
            </w:r>
          </w:p>
        </w:tc>
        <w:tc>
          <w:tcPr>
            <w:tcW w:w="1283" w:type="dxa"/>
            <w:tcBorders>
              <w:top w:val="single" w:sz="4" w:space="0" w:color="auto"/>
              <w:left w:val="nil"/>
              <w:bottom w:val="single" w:sz="4" w:space="0" w:color="auto"/>
              <w:right w:val="single" w:sz="4" w:space="0" w:color="auto"/>
            </w:tcBorders>
            <w:shd w:val="clear" w:color="auto" w:fill="D9D9D9"/>
            <w:vAlign w:val="center"/>
          </w:tcPr>
          <w:p w14:paraId="37E3F4AA" w14:textId="77777777" w:rsidR="00866824" w:rsidRPr="009613C9" w:rsidRDefault="00866824" w:rsidP="00866824">
            <w:pPr>
              <w:spacing w:after="0" w:line="240" w:lineRule="auto"/>
              <w:jc w:val="center"/>
              <w:rPr>
                <w:rFonts w:ascii="Times New Roman" w:eastAsia="Times New Roman" w:hAnsi="Times New Roman" w:cs="Times New Roman"/>
                <w:b/>
                <w:bCs/>
                <w:sz w:val="20"/>
                <w:szCs w:val="20"/>
                <w:lang w:eastAsia="cs-CZ"/>
              </w:rPr>
            </w:pPr>
            <w:r w:rsidRPr="009613C9">
              <w:rPr>
                <w:rFonts w:ascii="Times New Roman" w:eastAsia="Times New Roman" w:hAnsi="Times New Roman" w:cs="Times New Roman"/>
                <w:b/>
                <w:bCs/>
                <w:sz w:val="20"/>
                <w:szCs w:val="20"/>
                <w:lang w:eastAsia="cs-CZ"/>
              </w:rPr>
              <w:t>Počet žiakov</w:t>
            </w:r>
          </w:p>
        </w:tc>
        <w:tc>
          <w:tcPr>
            <w:tcW w:w="1983" w:type="dxa"/>
            <w:tcBorders>
              <w:top w:val="single" w:sz="4" w:space="0" w:color="auto"/>
              <w:left w:val="nil"/>
              <w:bottom w:val="single" w:sz="4" w:space="0" w:color="auto"/>
              <w:right w:val="single" w:sz="4" w:space="0" w:color="auto"/>
            </w:tcBorders>
            <w:shd w:val="clear" w:color="auto" w:fill="D9D9D9"/>
            <w:vAlign w:val="center"/>
          </w:tcPr>
          <w:p w14:paraId="3F2DDE0C" w14:textId="77777777" w:rsidR="00866824" w:rsidRPr="009613C9" w:rsidRDefault="00866824" w:rsidP="00866824">
            <w:pPr>
              <w:spacing w:after="0" w:line="240" w:lineRule="auto"/>
              <w:jc w:val="center"/>
              <w:rPr>
                <w:rFonts w:ascii="Times New Roman" w:eastAsia="Times New Roman" w:hAnsi="Times New Roman" w:cs="Times New Roman"/>
                <w:b/>
                <w:bCs/>
                <w:sz w:val="20"/>
                <w:szCs w:val="20"/>
                <w:lang w:eastAsia="cs-CZ"/>
              </w:rPr>
            </w:pPr>
            <w:r w:rsidRPr="009613C9">
              <w:rPr>
                <w:rFonts w:ascii="Times New Roman" w:eastAsia="Times New Roman" w:hAnsi="Times New Roman" w:cs="Times New Roman"/>
                <w:b/>
                <w:bCs/>
                <w:sz w:val="20"/>
                <w:szCs w:val="20"/>
                <w:lang w:eastAsia="cs-CZ"/>
              </w:rPr>
              <w:t>Počet pracovníkov/z toho pedagogických</w:t>
            </w:r>
          </w:p>
        </w:tc>
      </w:tr>
      <w:tr w:rsidR="00866824" w:rsidRPr="009613C9" w14:paraId="4C559197"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513DC4A"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1996/1997</w:t>
            </w:r>
          </w:p>
        </w:tc>
        <w:tc>
          <w:tcPr>
            <w:tcW w:w="1033" w:type="dxa"/>
            <w:tcBorders>
              <w:top w:val="nil"/>
              <w:left w:val="nil"/>
              <w:bottom w:val="single" w:sz="4" w:space="0" w:color="auto"/>
              <w:right w:val="single" w:sz="4" w:space="0" w:color="auto"/>
            </w:tcBorders>
            <w:shd w:val="clear" w:color="auto" w:fill="auto"/>
            <w:vAlign w:val="bottom"/>
          </w:tcPr>
          <w:p w14:paraId="55F6C472"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55,5</w:t>
            </w:r>
          </w:p>
        </w:tc>
        <w:tc>
          <w:tcPr>
            <w:tcW w:w="1283" w:type="dxa"/>
            <w:tcBorders>
              <w:top w:val="nil"/>
              <w:left w:val="nil"/>
              <w:bottom w:val="single" w:sz="4" w:space="0" w:color="auto"/>
              <w:right w:val="single" w:sz="4" w:space="0" w:color="auto"/>
            </w:tcBorders>
            <w:shd w:val="clear" w:color="auto" w:fill="auto"/>
            <w:vAlign w:val="bottom"/>
          </w:tcPr>
          <w:p w14:paraId="76DB20C7"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1 196</w:t>
            </w:r>
          </w:p>
        </w:tc>
        <w:tc>
          <w:tcPr>
            <w:tcW w:w="1983" w:type="dxa"/>
            <w:tcBorders>
              <w:top w:val="nil"/>
              <w:left w:val="nil"/>
              <w:bottom w:val="single" w:sz="4" w:space="0" w:color="auto"/>
              <w:right w:val="single" w:sz="4" w:space="0" w:color="auto"/>
            </w:tcBorders>
            <w:shd w:val="clear" w:color="auto" w:fill="auto"/>
          </w:tcPr>
          <w:p w14:paraId="4F856A8D"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211/116</w:t>
            </w:r>
          </w:p>
        </w:tc>
      </w:tr>
      <w:tr w:rsidR="00866824" w:rsidRPr="009613C9" w14:paraId="5EAC1941"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09BF3D0D"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1997/1998</w:t>
            </w:r>
          </w:p>
        </w:tc>
        <w:tc>
          <w:tcPr>
            <w:tcW w:w="1033" w:type="dxa"/>
            <w:tcBorders>
              <w:top w:val="nil"/>
              <w:left w:val="nil"/>
              <w:bottom w:val="single" w:sz="4" w:space="0" w:color="auto"/>
              <w:right w:val="single" w:sz="4" w:space="0" w:color="auto"/>
            </w:tcBorders>
            <w:shd w:val="clear" w:color="auto" w:fill="auto"/>
            <w:vAlign w:val="bottom"/>
          </w:tcPr>
          <w:p w14:paraId="0895E47B"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55,5</w:t>
            </w:r>
          </w:p>
        </w:tc>
        <w:tc>
          <w:tcPr>
            <w:tcW w:w="1283" w:type="dxa"/>
            <w:tcBorders>
              <w:top w:val="nil"/>
              <w:left w:val="nil"/>
              <w:bottom w:val="single" w:sz="4" w:space="0" w:color="auto"/>
              <w:right w:val="single" w:sz="4" w:space="0" w:color="auto"/>
            </w:tcBorders>
            <w:shd w:val="clear" w:color="auto" w:fill="auto"/>
            <w:vAlign w:val="bottom"/>
          </w:tcPr>
          <w:p w14:paraId="796B0478"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1 128</w:t>
            </w:r>
          </w:p>
        </w:tc>
        <w:tc>
          <w:tcPr>
            <w:tcW w:w="1983" w:type="dxa"/>
            <w:tcBorders>
              <w:top w:val="nil"/>
              <w:left w:val="nil"/>
              <w:bottom w:val="single" w:sz="4" w:space="0" w:color="auto"/>
              <w:right w:val="single" w:sz="4" w:space="0" w:color="auto"/>
            </w:tcBorders>
            <w:shd w:val="clear" w:color="auto" w:fill="auto"/>
          </w:tcPr>
          <w:p w14:paraId="19975BDE"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206/115</w:t>
            </w:r>
          </w:p>
        </w:tc>
      </w:tr>
      <w:tr w:rsidR="00866824" w:rsidRPr="009613C9" w14:paraId="40454CFD"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0B51C901"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1998/1999</w:t>
            </w:r>
          </w:p>
        </w:tc>
        <w:tc>
          <w:tcPr>
            <w:tcW w:w="1033" w:type="dxa"/>
            <w:tcBorders>
              <w:top w:val="nil"/>
              <w:left w:val="nil"/>
              <w:bottom w:val="single" w:sz="4" w:space="0" w:color="auto"/>
              <w:right w:val="single" w:sz="4" w:space="0" w:color="auto"/>
            </w:tcBorders>
            <w:shd w:val="clear" w:color="auto" w:fill="auto"/>
            <w:vAlign w:val="bottom"/>
          </w:tcPr>
          <w:p w14:paraId="5B98DE8A"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54,5</w:t>
            </w:r>
          </w:p>
        </w:tc>
        <w:tc>
          <w:tcPr>
            <w:tcW w:w="1283" w:type="dxa"/>
            <w:tcBorders>
              <w:top w:val="nil"/>
              <w:left w:val="nil"/>
              <w:bottom w:val="single" w:sz="4" w:space="0" w:color="auto"/>
              <w:right w:val="single" w:sz="4" w:space="0" w:color="auto"/>
            </w:tcBorders>
            <w:shd w:val="clear" w:color="auto" w:fill="auto"/>
            <w:vAlign w:val="bottom"/>
          </w:tcPr>
          <w:p w14:paraId="129E304C"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1 134</w:t>
            </w:r>
          </w:p>
        </w:tc>
        <w:tc>
          <w:tcPr>
            <w:tcW w:w="1983" w:type="dxa"/>
            <w:tcBorders>
              <w:top w:val="nil"/>
              <w:left w:val="nil"/>
              <w:bottom w:val="single" w:sz="4" w:space="0" w:color="auto"/>
              <w:right w:val="single" w:sz="4" w:space="0" w:color="auto"/>
            </w:tcBorders>
            <w:shd w:val="clear" w:color="auto" w:fill="auto"/>
          </w:tcPr>
          <w:p w14:paraId="59AF971E"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204/114</w:t>
            </w:r>
          </w:p>
        </w:tc>
      </w:tr>
      <w:tr w:rsidR="00866824" w:rsidRPr="009613C9" w14:paraId="257FBA74"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DA75FC0"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1999/2000</w:t>
            </w:r>
          </w:p>
        </w:tc>
        <w:tc>
          <w:tcPr>
            <w:tcW w:w="1033" w:type="dxa"/>
            <w:tcBorders>
              <w:top w:val="nil"/>
              <w:left w:val="nil"/>
              <w:bottom w:val="single" w:sz="4" w:space="0" w:color="auto"/>
              <w:right w:val="single" w:sz="4" w:space="0" w:color="auto"/>
            </w:tcBorders>
            <w:shd w:val="clear" w:color="auto" w:fill="auto"/>
            <w:vAlign w:val="bottom"/>
          </w:tcPr>
          <w:p w14:paraId="59111A6C"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55,5</w:t>
            </w:r>
          </w:p>
        </w:tc>
        <w:tc>
          <w:tcPr>
            <w:tcW w:w="1283" w:type="dxa"/>
            <w:tcBorders>
              <w:top w:val="nil"/>
              <w:left w:val="nil"/>
              <w:bottom w:val="single" w:sz="4" w:space="0" w:color="auto"/>
              <w:right w:val="single" w:sz="4" w:space="0" w:color="auto"/>
            </w:tcBorders>
            <w:shd w:val="clear" w:color="auto" w:fill="auto"/>
            <w:vAlign w:val="bottom"/>
          </w:tcPr>
          <w:p w14:paraId="002F7AA1"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1 128</w:t>
            </w:r>
          </w:p>
        </w:tc>
        <w:tc>
          <w:tcPr>
            <w:tcW w:w="1983" w:type="dxa"/>
            <w:tcBorders>
              <w:top w:val="nil"/>
              <w:left w:val="nil"/>
              <w:bottom w:val="single" w:sz="4" w:space="0" w:color="auto"/>
              <w:right w:val="single" w:sz="4" w:space="0" w:color="auto"/>
            </w:tcBorders>
            <w:shd w:val="clear" w:color="auto" w:fill="auto"/>
          </w:tcPr>
          <w:p w14:paraId="38801A5A"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200/113</w:t>
            </w:r>
          </w:p>
        </w:tc>
      </w:tr>
      <w:tr w:rsidR="00866824" w:rsidRPr="009613C9" w14:paraId="4F939C46"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020A824"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2000/2001</w:t>
            </w:r>
          </w:p>
        </w:tc>
        <w:tc>
          <w:tcPr>
            <w:tcW w:w="1033" w:type="dxa"/>
            <w:tcBorders>
              <w:top w:val="nil"/>
              <w:left w:val="nil"/>
              <w:bottom w:val="single" w:sz="4" w:space="0" w:color="auto"/>
              <w:right w:val="single" w:sz="4" w:space="0" w:color="auto"/>
            </w:tcBorders>
            <w:shd w:val="clear" w:color="auto" w:fill="auto"/>
            <w:vAlign w:val="bottom"/>
          </w:tcPr>
          <w:p w14:paraId="6FDF492A"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55,5</w:t>
            </w:r>
          </w:p>
        </w:tc>
        <w:tc>
          <w:tcPr>
            <w:tcW w:w="1283" w:type="dxa"/>
            <w:tcBorders>
              <w:top w:val="nil"/>
              <w:left w:val="nil"/>
              <w:bottom w:val="single" w:sz="4" w:space="0" w:color="auto"/>
              <w:right w:val="single" w:sz="4" w:space="0" w:color="auto"/>
            </w:tcBorders>
            <w:shd w:val="clear" w:color="auto" w:fill="auto"/>
            <w:vAlign w:val="bottom"/>
          </w:tcPr>
          <w:p w14:paraId="6406B329"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1 168</w:t>
            </w:r>
          </w:p>
        </w:tc>
        <w:tc>
          <w:tcPr>
            <w:tcW w:w="1983" w:type="dxa"/>
            <w:tcBorders>
              <w:top w:val="nil"/>
              <w:left w:val="nil"/>
              <w:bottom w:val="single" w:sz="4" w:space="0" w:color="auto"/>
              <w:right w:val="single" w:sz="4" w:space="0" w:color="auto"/>
            </w:tcBorders>
            <w:shd w:val="clear" w:color="auto" w:fill="auto"/>
          </w:tcPr>
          <w:p w14:paraId="7014231A"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205/111</w:t>
            </w:r>
          </w:p>
        </w:tc>
      </w:tr>
      <w:tr w:rsidR="00866824" w:rsidRPr="009613C9" w14:paraId="0EB116AD"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6CDEFEC5"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2001/2002</w:t>
            </w:r>
          </w:p>
        </w:tc>
        <w:tc>
          <w:tcPr>
            <w:tcW w:w="1033" w:type="dxa"/>
            <w:tcBorders>
              <w:top w:val="nil"/>
              <w:left w:val="nil"/>
              <w:bottom w:val="single" w:sz="4" w:space="0" w:color="auto"/>
              <w:right w:val="single" w:sz="4" w:space="0" w:color="auto"/>
            </w:tcBorders>
            <w:shd w:val="clear" w:color="auto" w:fill="auto"/>
            <w:vAlign w:val="bottom"/>
          </w:tcPr>
          <w:p w14:paraId="41E0C77F"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55,5</w:t>
            </w:r>
          </w:p>
        </w:tc>
        <w:tc>
          <w:tcPr>
            <w:tcW w:w="1283" w:type="dxa"/>
            <w:tcBorders>
              <w:top w:val="nil"/>
              <w:left w:val="nil"/>
              <w:bottom w:val="single" w:sz="4" w:space="0" w:color="auto"/>
              <w:right w:val="single" w:sz="4" w:space="0" w:color="auto"/>
            </w:tcBorders>
            <w:shd w:val="clear" w:color="auto" w:fill="auto"/>
            <w:vAlign w:val="bottom"/>
          </w:tcPr>
          <w:p w14:paraId="67523DC2"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1 138</w:t>
            </w:r>
          </w:p>
        </w:tc>
        <w:tc>
          <w:tcPr>
            <w:tcW w:w="1983" w:type="dxa"/>
            <w:tcBorders>
              <w:top w:val="nil"/>
              <w:left w:val="nil"/>
              <w:bottom w:val="single" w:sz="4" w:space="0" w:color="auto"/>
              <w:right w:val="single" w:sz="4" w:space="0" w:color="auto"/>
            </w:tcBorders>
            <w:shd w:val="clear" w:color="auto" w:fill="auto"/>
          </w:tcPr>
          <w:p w14:paraId="59182786"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207/112</w:t>
            </w:r>
          </w:p>
        </w:tc>
      </w:tr>
      <w:tr w:rsidR="00866824" w:rsidRPr="009613C9" w14:paraId="644652B0"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ABF99E7"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2002/2003</w:t>
            </w:r>
          </w:p>
        </w:tc>
        <w:tc>
          <w:tcPr>
            <w:tcW w:w="1033" w:type="dxa"/>
            <w:tcBorders>
              <w:top w:val="nil"/>
              <w:left w:val="nil"/>
              <w:bottom w:val="single" w:sz="4" w:space="0" w:color="auto"/>
              <w:right w:val="single" w:sz="4" w:space="0" w:color="auto"/>
            </w:tcBorders>
            <w:shd w:val="clear" w:color="auto" w:fill="auto"/>
            <w:vAlign w:val="bottom"/>
          </w:tcPr>
          <w:p w14:paraId="63800F74"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54</w:t>
            </w:r>
          </w:p>
        </w:tc>
        <w:tc>
          <w:tcPr>
            <w:tcW w:w="1283" w:type="dxa"/>
            <w:tcBorders>
              <w:top w:val="nil"/>
              <w:left w:val="nil"/>
              <w:bottom w:val="single" w:sz="4" w:space="0" w:color="auto"/>
              <w:right w:val="single" w:sz="4" w:space="0" w:color="auto"/>
            </w:tcBorders>
            <w:shd w:val="clear" w:color="auto" w:fill="auto"/>
            <w:vAlign w:val="bottom"/>
          </w:tcPr>
          <w:p w14:paraId="42DDBB7E"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1 093</w:t>
            </w:r>
          </w:p>
        </w:tc>
        <w:tc>
          <w:tcPr>
            <w:tcW w:w="1983" w:type="dxa"/>
            <w:tcBorders>
              <w:top w:val="nil"/>
              <w:left w:val="nil"/>
              <w:bottom w:val="single" w:sz="4" w:space="0" w:color="auto"/>
              <w:right w:val="single" w:sz="4" w:space="0" w:color="auto"/>
            </w:tcBorders>
            <w:shd w:val="clear" w:color="auto" w:fill="auto"/>
          </w:tcPr>
          <w:p w14:paraId="4F6EAF42"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203/110</w:t>
            </w:r>
          </w:p>
        </w:tc>
      </w:tr>
      <w:tr w:rsidR="00866824" w:rsidRPr="009613C9" w14:paraId="43659F16"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78DF105D"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2003/2004</w:t>
            </w:r>
          </w:p>
        </w:tc>
        <w:tc>
          <w:tcPr>
            <w:tcW w:w="1033" w:type="dxa"/>
            <w:tcBorders>
              <w:top w:val="nil"/>
              <w:left w:val="nil"/>
              <w:bottom w:val="single" w:sz="4" w:space="0" w:color="auto"/>
              <w:right w:val="single" w:sz="4" w:space="0" w:color="auto"/>
            </w:tcBorders>
            <w:shd w:val="clear" w:color="auto" w:fill="auto"/>
            <w:vAlign w:val="bottom"/>
          </w:tcPr>
          <w:p w14:paraId="2083A53E"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54</w:t>
            </w:r>
          </w:p>
        </w:tc>
        <w:tc>
          <w:tcPr>
            <w:tcW w:w="1283" w:type="dxa"/>
            <w:tcBorders>
              <w:top w:val="nil"/>
              <w:left w:val="nil"/>
              <w:bottom w:val="single" w:sz="4" w:space="0" w:color="auto"/>
              <w:right w:val="single" w:sz="4" w:space="0" w:color="auto"/>
            </w:tcBorders>
            <w:shd w:val="clear" w:color="auto" w:fill="auto"/>
            <w:vAlign w:val="bottom"/>
          </w:tcPr>
          <w:p w14:paraId="7566ECE6"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1 133</w:t>
            </w:r>
          </w:p>
        </w:tc>
        <w:tc>
          <w:tcPr>
            <w:tcW w:w="1983" w:type="dxa"/>
            <w:tcBorders>
              <w:top w:val="nil"/>
              <w:left w:val="nil"/>
              <w:bottom w:val="single" w:sz="4" w:space="0" w:color="auto"/>
              <w:right w:val="single" w:sz="4" w:space="0" w:color="auto"/>
            </w:tcBorders>
            <w:shd w:val="clear" w:color="auto" w:fill="auto"/>
          </w:tcPr>
          <w:p w14:paraId="089B284C"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 xml:space="preserve">202/111  </w:t>
            </w:r>
          </w:p>
        </w:tc>
      </w:tr>
      <w:tr w:rsidR="00866824" w:rsidRPr="009613C9" w14:paraId="1A386460"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C94E0AA"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2004/2005</w:t>
            </w:r>
          </w:p>
        </w:tc>
        <w:tc>
          <w:tcPr>
            <w:tcW w:w="1033" w:type="dxa"/>
            <w:tcBorders>
              <w:top w:val="nil"/>
              <w:left w:val="nil"/>
              <w:bottom w:val="single" w:sz="4" w:space="0" w:color="auto"/>
              <w:right w:val="single" w:sz="4" w:space="0" w:color="auto"/>
            </w:tcBorders>
            <w:shd w:val="clear" w:color="auto" w:fill="auto"/>
            <w:vAlign w:val="bottom"/>
          </w:tcPr>
          <w:p w14:paraId="667BB325"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51,5</w:t>
            </w:r>
          </w:p>
        </w:tc>
        <w:tc>
          <w:tcPr>
            <w:tcW w:w="1283" w:type="dxa"/>
            <w:tcBorders>
              <w:top w:val="nil"/>
              <w:left w:val="nil"/>
              <w:bottom w:val="single" w:sz="4" w:space="0" w:color="auto"/>
              <w:right w:val="single" w:sz="4" w:space="0" w:color="auto"/>
            </w:tcBorders>
            <w:shd w:val="clear" w:color="auto" w:fill="auto"/>
            <w:vAlign w:val="bottom"/>
          </w:tcPr>
          <w:p w14:paraId="32948708"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1 138</w:t>
            </w:r>
          </w:p>
        </w:tc>
        <w:tc>
          <w:tcPr>
            <w:tcW w:w="1983" w:type="dxa"/>
            <w:tcBorders>
              <w:top w:val="nil"/>
              <w:left w:val="nil"/>
              <w:bottom w:val="single" w:sz="4" w:space="0" w:color="auto"/>
              <w:right w:val="single" w:sz="4" w:space="0" w:color="auto"/>
            </w:tcBorders>
            <w:shd w:val="clear" w:color="auto" w:fill="auto"/>
          </w:tcPr>
          <w:p w14:paraId="070D09AA"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191/109,5</w:t>
            </w:r>
          </w:p>
        </w:tc>
      </w:tr>
      <w:tr w:rsidR="00866824" w:rsidRPr="009613C9" w14:paraId="281B3913"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006F7166"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2005/2006</w:t>
            </w:r>
          </w:p>
        </w:tc>
        <w:tc>
          <w:tcPr>
            <w:tcW w:w="1033" w:type="dxa"/>
            <w:tcBorders>
              <w:top w:val="nil"/>
              <w:left w:val="nil"/>
              <w:bottom w:val="single" w:sz="4" w:space="0" w:color="auto"/>
              <w:right w:val="single" w:sz="4" w:space="0" w:color="auto"/>
            </w:tcBorders>
            <w:shd w:val="clear" w:color="auto" w:fill="auto"/>
            <w:vAlign w:val="bottom"/>
          </w:tcPr>
          <w:p w14:paraId="4E5E0436"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50</w:t>
            </w:r>
          </w:p>
        </w:tc>
        <w:tc>
          <w:tcPr>
            <w:tcW w:w="1283" w:type="dxa"/>
            <w:tcBorders>
              <w:top w:val="nil"/>
              <w:left w:val="nil"/>
              <w:bottom w:val="single" w:sz="4" w:space="0" w:color="auto"/>
              <w:right w:val="single" w:sz="4" w:space="0" w:color="auto"/>
            </w:tcBorders>
            <w:shd w:val="clear" w:color="auto" w:fill="auto"/>
            <w:vAlign w:val="bottom"/>
          </w:tcPr>
          <w:p w14:paraId="07D46144"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1 068</w:t>
            </w:r>
          </w:p>
        </w:tc>
        <w:tc>
          <w:tcPr>
            <w:tcW w:w="1983" w:type="dxa"/>
            <w:tcBorders>
              <w:top w:val="nil"/>
              <w:left w:val="nil"/>
              <w:bottom w:val="single" w:sz="4" w:space="0" w:color="auto"/>
              <w:right w:val="single" w:sz="4" w:space="0" w:color="auto"/>
            </w:tcBorders>
            <w:shd w:val="clear" w:color="auto" w:fill="auto"/>
          </w:tcPr>
          <w:p w14:paraId="79A41DE1"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180/100,5</w:t>
            </w:r>
          </w:p>
        </w:tc>
      </w:tr>
      <w:tr w:rsidR="00866824" w:rsidRPr="009613C9" w14:paraId="32664DAE"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7695CF4"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2006/2007</w:t>
            </w:r>
          </w:p>
        </w:tc>
        <w:tc>
          <w:tcPr>
            <w:tcW w:w="1033" w:type="dxa"/>
            <w:tcBorders>
              <w:top w:val="nil"/>
              <w:left w:val="nil"/>
              <w:bottom w:val="single" w:sz="4" w:space="0" w:color="auto"/>
              <w:right w:val="single" w:sz="4" w:space="0" w:color="auto"/>
            </w:tcBorders>
            <w:shd w:val="clear" w:color="auto" w:fill="auto"/>
            <w:vAlign w:val="bottom"/>
          </w:tcPr>
          <w:p w14:paraId="601FC851"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50,5</w:t>
            </w:r>
          </w:p>
        </w:tc>
        <w:tc>
          <w:tcPr>
            <w:tcW w:w="1283" w:type="dxa"/>
            <w:tcBorders>
              <w:top w:val="nil"/>
              <w:left w:val="nil"/>
              <w:bottom w:val="single" w:sz="4" w:space="0" w:color="auto"/>
              <w:right w:val="single" w:sz="4" w:space="0" w:color="auto"/>
            </w:tcBorders>
            <w:shd w:val="clear" w:color="auto" w:fill="auto"/>
            <w:vAlign w:val="bottom"/>
          </w:tcPr>
          <w:p w14:paraId="3E54B6CC"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1 041</w:t>
            </w:r>
          </w:p>
        </w:tc>
        <w:tc>
          <w:tcPr>
            <w:tcW w:w="1983" w:type="dxa"/>
            <w:tcBorders>
              <w:top w:val="nil"/>
              <w:left w:val="nil"/>
              <w:bottom w:val="single" w:sz="4" w:space="0" w:color="auto"/>
              <w:right w:val="single" w:sz="4" w:space="0" w:color="auto"/>
            </w:tcBorders>
            <w:shd w:val="clear" w:color="auto" w:fill="auto"/>
          </w:tcPr>
          <w:p w14:paraId="52F5951D"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179/99,5</w:t>
            </w:r>
          </w:p>
        </w:tc>
      </w:tr>
      <w:tr w:rsidR="00866824" w:rsidRPr="009613C9" w14:paraId="3835C7FE" w14:textId="77777777" w:rsidTr="000D3A0E">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19BEE561"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2007/2008</w:t>
            </w:r>
          </w:p>
        </w:tc>
        <w:tc>
          <w:tcPr>
            <w:tcW w:w="1033" w:type="dxa"/>
            <w:tcBorders>
              <w:top w:val="nil"/>
              <w:left w:val="nil"/>
              <w:bottom w:val="single" w:sz="4" w:space="0" w:color="auto"/>
              <w:right w:val="single" w:sz="4" w:space="0" w:color="auto"/>
            </w:tcBorders>
            <w:shd w:val="clear" w:color="auto" w:fill="auto"/>
            <w:vAlign w:val="bottom"/>
          </w:tcPr>
          <w:p w14:paraId="4B72738F"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50,5</w:t>
            </w:r>
          </w:p>
        </w:tc>
        <w:tc>
          <w:tcPr>
            <w:tcW w:w="1283" w:type="dxa"/>
            <w:tcBorders>
              <w:top w:val="nil"/>
              <w:left w:val="nil"/>
              <w:bottom w:val="single" w:sz="4" w:space="0" w:color="auto"/>
              <w:right w:val="single" w:sz="4" w:space="0" w:color="auto"/>
            </w:tcBorders>
            <w:shd w:val="clear" w:color="auto" w:fill="auto"/>
            <w:vAlign w:val="bottom"/>
          </w:tcPr>
          <w:p w14:paraId="00C80D12"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975</w:t>
            </w:r>
          </w:p>
        </w:tc>
        <w:tc>
          <w:tcPr>
            <w:tcW w:w="1983" w:type="dxa"/>
            <w:tcBorders>
              <w:top w:val="nil"/>
              <w:left w:val="nil"/>
              <w:bottom w:val="single" w:sz="4" w:space="0" w:color="auto"/>
              <w:right w:val="single" w:sz="4" w:space="0" w:color="auto"/>
            </w:tcBorders>
            <w:shd w:val="clear" w:color="auto" w:fill="auto"/>
          </w:tcPr>
          <w:p w14:paraId="15AA1008"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179/99</w:t>
            </w:r>
          </w:p>
        </w:tc>
      </w:tr>
      <w:tr w:rsidR="00866824" w:rsidRPr="009613C9" w14:paraId="660AF45B" w14:textId="77777777" w:rsidTr="000D3A0E">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02462C63" w14:textId="77777777" w:rsidR="00866824" w:rsidRPr="009613C9" w:rsidRDefault="00866824" w:rsidP="00866824">
            <w:pPr>
              <w:spacing w:after="0" w:line="240" w:lineRule="auto"/>
              <w:jc w:val="both"/>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2008/2009</w:t>
            </w:r>
          </w:p>
        </w:tc>
        <w:tc>
          <w:tcPr>
            <w:tcW w:w="1033" w:type="dxa"/>
            <w:tcBorders>
              <w:top w:val="single" w:sz="4" w:space="0" w:color="auto"/>
              <w:left w:val="nil"/>
              <w:bottom w:val="single" w:sz="4" w:space="0" w:color="auto"/>
              <w:right w:val="single" w:sz="4" w:space="0" w:color="auto"/>
            </w:tcBorders>
            <w:shd w:val="clear" w:color="auto" w:fill="auto"/>
            <w:vAlign w:val="bottom"/>
          </w:tcPr>
          <w:p w14:paraId="59218A4F"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49,5</w:t>
            </w:r>
          </w:p>
        </w:tc>
        <w:tc>
          <w:tcPr>
            <w:tcW w:w="1283" w:type="dxa"/>
            <w:tcBorders>
              <w:top w:val="single" w:sz="4" w:space="0" w:color="auto"/>
              <w:left w:val="nil"/>
              <w:bottom w:val="single" w:sz="4" w:space="0" w:color="auto"/>
              <w:right w:val="single" w:sz="4" w:space="0" w:color="auto"/>
            </w:tcBorders>
            <w:shd w:val="clear" w:color="auto" w:fill="auto"/>
            <w:vAlign w:val="bottom"/>
          </w:tcPr>
          <w:p w14:paraId="76C3E951" w14:textId="77777777" w:rsidR="00866824" w:rsidRPr="009613C9" w:rsidRDefault="00866824" w:rsidP="00866824">
            <w:pPr>
              <w:spacing w:after="0" w:line="240" w:lineRule="auto"/>
              <w:jc w:val="right"/>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977</w:t>
            </w:r>
          </w:p>
        </w:tc>
        <w:tc>
          <w:tcPr>
            <w:tcW w:w="1983" w:type="dxa"/>
            <w:tcBorders>
              <w:top w:val="single" w:sz="4" w:space="0" w:color="auto"/>
              <w:left w:val="nil"/>
              <w:bottom w:val="single" w:sz="4" w:space="0" w:color="auto"/>
              <w:right w:val="single" w:sz="4" w:space="0" w:color="auto"/>
            </w:tcBorders>
            <w:shd w:val="clear" w:color="auto" w:fill="auto"/>
          </w:tcPr>
          <w:p w14:paraId="54DAB97E" w14:textId="77777777" w:rsidR="00866824" w:rsidRPr="009613C9" w:rsidRDefault="00866824" w:rsidP="00866824">
            <w:pPr>
              <w:spacing w:after="0" w:line="240" w:lineRule="auto"/>
              <w:jc w:val="center"/>
              <w:rPr>
                <w:rFonts w:ascii="Times New Roman" w:eastAsia="Times New Roman" w:hAnsi="Times New Roman" w:cs="Times New Roman"/>
                <w:sz w:val="20"/>
                <w:szCs w:val="20"/>
                <w:lang w:eastAsia="cs-CZ"/>
              </w:rPr>
            </w:pPr>
            <w:r w:rsidRPr="009613C9">
              <w:rPr>
                <w:rFonts w:ascii="Times New Roman" w:hAnsi="Times New Roman" w:cs="Times New Roman"/>
                <w:sz w:val="20"/>
                <w:szCs w:val="20"/>
              </w:rPr>
              <w:t>179/99</w:t>
            </w:r>
          </w:p>
        </w:tc>
      </w:tr>
      <w:tr w:rsidR="00866824" w:rsidRPr="009613C9" w14:paraId="69DF13AC" w14:textId="77777777" w:rsidTr="000D3A0E">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4D4D423D"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2009/2010</w:t>
            </w:r>
          </w:p>
        </w:tc>
        <w:tc>
          <w:tcPr>
            <w:tcW w:w="1033" w:type="dxa"/>
            <w:tcBorders>
              <w:top w:val="single" w:sz="4" w:space="0" w:color="auto"/>
              <w:left w:val="nil"/>
              <w:bottom w:val="single" w:sz="4" w:space="0" w:color="auto"/>
              <w:right w:val="single" w:sz="4" w:space="0" w:color="auto"/>
            </w:tcBorders>
            <w:shd w:val="clear" w:color="auto" w:fill="auto"/>
            <w:vAlign w:val="bottom"/>
          </w:tcPr>
          <w:p w14:paraId="27F30FAE"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50</w:t>
            </w:r>
          </w:p>
        </w:tc>
        <w:tc>
          <w:tcPr>
            <w:tcW w:w="1283" w:type="dxa"/>
            <w:tcBorders>
              <w:top w:val="single" w:sz="4" w:space="0" w:color="auto"/>
              <w:left w:val="nil"/>
              <w:bottom w:val="single" w:sz="4" w:space="0" w:color="auto"/>
              <w:right w:val="single" w:sz="4" w:space="0" w:color="auto"/>
            </w:tcBorders>
            <w:shd w:val="clear" w:color="auto" w:fill="auto"/>
            <w:vAlign w:val="bottom"/>
          </w:tcPr>
          <w:p w14:paraId="32AD40CE"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983</w:t>
            </w:r>
          </w:p>
        </w:tc>
        <w:tc>
          <w:tcPr>
            <w:tcW w:w="1983" w:type="dxa"/>
            <w:tcBorders>
              <w:top w:val="single" w:sz="4" w:space="0" w:color="auto"/>
              <w:left w:val="nil"/>
              <w:bottom w:val="single" w:sz="4" w:space="0" w:color="auto"/>
              <w:right w:val="single" w:sz="4" w:space="0" w:color="auto"/>
            </w:tcBorders>
            <w:shd w:val="clear" w:color="auto" w:fill="auto"/>
          </w:tcPr>
          <w:p w14:paraId="3B9BFA53"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 xml:space="preserve">181/100 </w:t>
            </w:r>
          </w:p>
        </w:tc>
      </w:tr>
      <w:tr w:rsidR="00866824" w:rsidRPr="009613C9" w14:paraId="59C46489"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E029F4D"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2010/2011</w:t>
            </w:r>
          </w:p>
        </w:tc>
        <w:tc>
          <w:tcPr>
            <w:tcW w:w="1033" w:type="dxa"/>
            <w:tcBorders>
              <w:top w:val="nil"/>
              <w:left w:val="nil"/>
              <w:bottom w:val="single" w:sz="4" w:space="0" w:color="auto"/>
              <w:right w:val="single" w:sz="4" w:space="0" w:color="auto"/>
            </w:tcBorders>
            <w:shd w:val="clear" w:color="auto" w:fill="auto"/>
            <w:vAlign w:val="bottom"/>
          </w:tcPr>
          <w:p w14:paraId="35A62371"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50</w:t>
            </w:r>
          </w:p>
        </w:tc>
        <w:tc>
          <w:tcPr>
            <w:tcW w:w="1283" w:type="dxa"/>
            <w:tcBorders>
              <w:top w:val="nil"/>
              <w:left w:val="nil"/>
              <w:bottom w:val="single" w:sz="4" w:space="0" w:color="auto"/>
              <w:right w:val="single" w:sz="4" w:space="0" w:color="auto"/>
            </w:tcBorders>
            <w:shd w:val="clear" w:color="auto" w:fill="auto"/>
            <w:vAlign w:val="bottom"/>
          </w:tcPr>
          <w:p w14:paraId="41AA710E"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1 008</w:t>
            </w:r>
          </w:p>
        </w:tc>
        <w:tc>
          <w:tcPr>
            <w:tcW w:w="1983" w:type="dxa"/>
            <w:tcBorders>
              <w:top w:val="nil"/>
              <w:left w:val="nil"/>
              <w:bottom w:val="single" w:sz="4" w:space="0" w:color="auto"/>
              <w:right w:val="single" w:sz="4" w:space="0" w:color="auto"/>
            </w:tcBorders>
            <w:shd w:val="clear" w:color="auto" w:fill="auto"/>
          </w:tcPr>
          <w:p w14:paraId="42BFF91B"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183/101</w:t>
            </w:r>
          </w:p>
        </w:tc>
      </w:tr>
      <w:tr w:rsidR="00866824" w:rsidRPr="009613C9" w14:paraId="42444856"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E51D2E7"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2011/2012</w:t>
            </w:r>
          </w:p>
        </w:tc>
        <w:tc>
          <w:tcPr>
            <w:tcW w:w="1033" w:type="dxa"/>
            <w:tcBorders>
              <w:top w:val="nil"/>
              <w:left w:val="nil"/>
              <w:bottom w:val="single" w:sz="4" w:space="0" w:color="auto"/>
              <w:right w:val="single" w:sz="4" w:space="0" w:color="auto"/>
            </w:tcBorders>
            <w:shd w:val="clear" w:color="auto" w:fill="auto"/>
            <w:vAlign w:val="bottom"/>
          </w:tcPr>
          <w:p w14:paraId="0414E0C8"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50</w:t>
            </w:r>
          </w:p>
        </w:tc>
        <w:tc>
          <w:tcPr>
            <w:tcW w:w="1283" w:type="dxa"/>
            <w:tcBorders>
              <w:top w:val="nil"/>
              <w:left w:val="nil"/>
              <w:bottom w:val="single" w:sz="4" w:space="0" w:color="auto"/>
              <w:right w:val="single" w:sz="4" w:space="0" w:color="auto"/>
            </w:tcBorders>
            <w:shd w:val="clear" w:color="auto" w:fill="auto"/>
            <w:vAlign w:val="bottom"/>
          </w:tcPr>
          <w:p w14:paraId="30000B9C"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1 049</w:t>
            </w:r>
          </w:p>
        </w:tc>
        <w:tc>
          <w:tcPr>
            <w:tcW w:w="1983" w:type="dxa"/>
            <w:tcBorders>
              <w:top w:val="nil"/>
              <w:left w:val="nil"/>
              <w:bottom w:val="single" w:sz="4" w:space="0" w:color="auto"/>
              <w:right w:val="single" w:sz="4" w:space="0" w:color="auto"/>
            </w:tcBorders>
            <w:shd w:val="clear" w:color="auto" w:fill="auto"/>
          </w:tcPr>
          <w:p w14:paraId="0CCA26EF"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185/101</w:t>
            </w:r>
          </w:p>
        </w:tc>
      </w:tr>
      <w:tr w:rsidR="00866824" w:rsidRPr="009613C9" w14:paraId="4344CF9B"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097D6D8"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2012/2013</w:t>
            </w:r>
          </w:p>
        </w:tc>
        <w:tc>
          <w:tcPr>
            <w:tcW w:w="1033" w:type="dxa"/>
            <w:tcBorders>
              <w:top w:val="nil"/>
              <w:left w:val="nil"/>
              <w:bottom w:val="single" w:sz="4" w:space="0" w:color="auto"/>
              <w:right w:val="single" w:sz="4" w:space="0" w:color="auto"/>
            </w:tcBorders>
            <w:shd w:val="clear" w:color="auto" w:fill="auto"/>
            <w:vAlign w:val="bottom"/>
          </w:tcPr>
          <w:p w14:paraId="6C1A00DF"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51</w:t>
            </w:r>
          </w:p>
        </w:tc>
        <w:tc>
          <w:tcPr>
            <w:tcW w:w="1283" w:type="dxa"/>
            <w:tcBorders>
              <w:top w:val="nil"/>
              <w:left w:val="nil"/>
              <w:bottom w:val="single" w:sz="4" w:space="0" w:color="auto"/>
              <w:right w:val="single" w:sz="4" w:space="0" w:color="auto"/>
            </w:tcBorders>
            <w:shd w:val="clear" w:color="auto" w:fill="auto"/>
            <w:vAlign w:val="bottom"/>
          </w:tcPr>
          <w:p w14:paraId="3CA05423"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1 051</w:t>
            </w:r>
          </w:p>
        </w:tc>
        <w:tc>
          <w:tcPr>
            <w:tcW w:w="1983" w:type="dxa"/>
            <w:tcBorders>
              <w:top w:val="nil"/>
              <w:left w:val="nil"/>
              <w:bottom w:val="single" w:sz="4" w:space="0" w:color="auto"/>
              <w:right w:val="single" w:sz="4" w:space="0" w:color="auto"/>
            </w:tcBorders>
            <w:shd w:val="clear" w:color="auto" w:fill="auto"/>
          </w:tcPr>
          <w:p w14:paraId="6DC8968F"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185/101</w:t>
            </w:r>
          </w:p>
        </w:tc>
      </w:tr>
      <w:tr w:rsidR="00866824" w:rsidRPr="009613C9" w14:paraId="7829547E"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41DD3743"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2013/2014</w:t>
            </w:r>
          </w:p>
        </w:tc>
        <w:tc>
          <w:tcPr>
            <w:tcW w:w="1033" w:type="dxa"/>
            <w:tcBorders>
              <w:top w:val="nil"/>
              <w:left w:val="nil"/>
              <w:bottom w:val="single" w:sz="4" w:space="0" w:color="auto"/>
              <w:right w:val="single" w:sz="4" w:space="0" w:color="auto"/>
            </w:tcBorders>
            <w:shd w:val="clear" w:color="auto" w:fill="auto"/>
            <w:vAlign w:val="bottom"/>
          </w:tcPr>
          <w:p w14:paraId="5E9DE9E4"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52</w:t>
            </w:r>
          </w:p>
        </w:tc>
        <w:tc>
          <w:tcPr>
            <w:tcW w:w="1283" w:type="dxa"/>
            <w:tcBorders>
              <w:top w:val="nil"/>
              <w:left w:val="nil"/>
              <w:bottom w:val="single" w:sz="4" w:space="0" w:color="auto"/>
              <w:right w:val="single" w:sz="4" w:space="0" w:color="auto"/>
            </w:tcBorders>
            <w:shd w:val="clear" w:color="auto" w:fill="auto"/>
            <w:vAlign w:val="bottom"/>
          </w:tcPr>
          <w:p w14:paraId="6B22C6E3"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1 099</w:t>
            </w:r>
          </w:p>
        </w:tc>
        <w:tc>
          <w:tcPr>
            <w:tcW w:w="1983" w:type="dxa"/>
            <w:tcBorders>
              <w:top w:val="nil"/>
              <w:left w:val="nil"/>
              <w:bottom w:val="single" w:sz="4" w:space="0" w:color="auto"/>
              <w:right w:val="single" w:sz="4" w:space="0" w:color="auto"/>
            </w:tcBorders>
            <w:shd w:val="clear" w:color="auto" w:fill="auto"/>
          </w:tcPr>
          <w:p w14:paraId="3034E45B"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187/102</w:t>
            </w:r>
          </w:p>
        </w:tc>
      </w:tr>
      <w:tr w:rsidR="00866824" w:rsidRPr="009613C9" w14:paraId="6F1DEDD9"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649B5304" w14:textId="77777777" w:rsidR="00866824" w:rsidRPr="009613C9" w:rsidRDefault="00866824" w:rsidP="00866824">
            <w:pPr>
              <w:spacing w:after="0" w:line="240" w:lineRule="auto"/>
              <w:jc w:val="both"/>
              <w:rPr>
                <w:rFonts w:ascii="Times New Roman" w:hAnsi="Times New Roman" w:cs="Times New Roman"/>
                <w:sz w:val="20"/>
                <w:szCs w:val="20"/>
              </w:rPr>
            </w:pPr>
            <w:r w:rsidRPr="009613C9">
              <w:rPr>
                <w:rFonts w:ascii="Times New Roman" w:hAnsi="Times New Roman" w:cs="Times New Roman"/>
                <w:sz w:val="20"/>
                <w:szCs w:val="20"/>
              </w:rPr>
              <w:t>2014/2015</w:t>
            </w:r>
          </w:p>
        </w:tc>
        <w:tc>
          <w:tcPr>
            <w:tcW w:w="1033" w:type="dxa"/>
            <w:tcBorders>
              <w:top w:val="nil"/>
              <w:left w:val="nil"/>
              <w:bottom w:val="single" w:sz="4" w:space="0" w:color="auto"/>
              <w:right w:val="single" w:sz="4" w:space="0" w:color="auto"/>
            </w:tcBorders>
            <w:shd w:val="clear" w:color="auto" w:fill="auto"/>
            <w:vAlign w:val="bottom"/>
          </w:tcPr>
          <w:p w14:paraId="35CCBA5D"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52</w:t>
            </w:r>
          </w:p>
        </w:tc>
        <w:tc>
          <w:tcPr>
            <w:tcW w:w="1283" w:type="dxa"/>
            <w:tcBorders>
              <w:top w:val="nil"/>
              <w:left w:val="nil"/>
              <w:bottom w:val="single" w:sz="4" w:space="0" w:color="auto"/>
              <w:right w:val="single" w:sz="4" w:space="0" w:color="auto"/>
            </w:tcBorders>
            <w:shd w:val="clear" w:color="auto" w:fill="auto"/>
            <w:vAlign w:val="bottom"/>
          </w:tcPr>
          <w:p w14:paraId="0A164992" w14:textId="77777777" w:rsidR="00866824" w:rsidRPr="009613C9" w:rsidRDefault="00866824" w:rsidP="00866824">
            <w:pPr>
              <w:spacing w:after="0" w:line="240" w:lineRule="auto"/>
              <w:jc w:val="right"/>
              <w:rPr>
                <w:rFonts w:ascii="Times New Roman" w:hAnsi="Times New Roman" w:cs="Times New Roman"/>
                <w:sz w:val="20"/>
                <w:szCs w:val="20"/>
              </w:rPr>
            </w:pPr>
            <w:r w:rsidRPr="009613C9">
              <w:rPr>
                <w:rFonts w:ascii="Times New Roman" w:hAnsi="Times New Roman" w:cs="Times New Roman"/>
                <w:sz w:val="20"/>
                <w:szCs w:val="20"/>
              </w:rPr>
              <w:t>1 107</w:t>
            </w:r>
          </w:p>
        </w:tc>
        <w:tc>
          <w:tcPr>
            <w:tcW w:w="1983" w:type="dxa"/>
            <w:tcBorders>
              <w:top w:val="nil"/>
              <w:left w:val="nil"/>
              <w:bottom w:val="single" w:sz="4" w:space="0" w:color="auto"/>
              <w:right w:val="single" w:sz="4" w:space="0" w:color="auto"/>
            </w:tcBorders>
            <w:shd w:val="clear" w:color="auto" w:fill="auto"/>
          </w:tcPr>
          <w:p w14:paraId="141119F8" w14:textId="77777777" w:rsidR="00866824" w:rsidRPr="009613C9" w:rsidRDefault="00866824" w:rsidP="00866824">
            <w:pPr>
              <w:spacing w:after="0" w:line="240" w:lineRule="auto"/>
              <w:jc w:val="center"/>
              <w:rPr>
                <w:rFonts w:ascii="Times New Roman" w:hAnsi="Times New Roman" w:cs="Times New Roman"/>
                <w:sz w:val="20"/>
                <w:szCs w:val="20"/>
              </w:rPr>
            </w:pPr>
            <w:r w:rsidRPr="009613C9">
              <w:rPr>
                <w:rFonts w:ascii="Times New Roman" w:hAnsi="Times New Roman" w:cs="Times New Roman"/>
                <w:sz w:val="20"/>
                <w:szCs w:val="20"/>
              </w:rPr>
              <w:t>187/102</w:t>
            </w:r>
          </w:p>
        </w:tc>
      </w:tr>
    </w:tbl>
    <w:p w14:paraId="6A3A84DB" w14:textId="77777777" w:rsidR="00607CB1" w:rsidRPr="00866824" w:rsidRDefault="008D271C" w:rsidP="00AD142F">
      <w:pPr>
        <w:spacing w:before="120" w:after="0" w:line="360" w:lineRule="auto"/>
        <w:jc w:val="both"/>
        <w:rPr>
          <w:rFonts w:ascii="Times New Roman" w:hAnsi="Times New Roman" w:cs="Times New Roman"/>
          <w:sz w:val="20"/>
          <w:szCs w:val="20"/>
        </w:rPr>
      </w:pPr>
      <w:r w:rsidRPr="00866824">
        <w:rPr>
          <w:rFonts w:ascii="Times New Roman" w:hAnsi="Times New Roman" w:cs="Times New Roman"/>
          <w:sz w:val="20"/>
          <w:szCs w:val="20"/>
        </w:rPr>
        <w:t>Zdroj: Archív škôl v Kopaničiarskom regióne, 2015</w:t>
      </w:r>
    </w:p>
    <w:p w14:paraId="6207BC78" w14:textId="77777777" w:rsidR="00E225CE" w:rsidRPr="00E225CE" w:rsidRDefault="009613C9" w:rsidP="009613C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07CB1" w:rsidRPr="00607CB1">
        <w:rPr>
          <w:rFonts w:ascii="Times New Roman" w:hAnsi="Times New Roman" w:cs="Times New Roman"/>
          <w:sz w:val="24"/>
          <w:szCs w:val="24"/>
        </w:rPr>
        <w:t>Z celkového počtu 55,5 tried v školskom roku 1996/1997 klesol ich počet na hodnotu 49,5 v školskom roku 20</w:t>
      </w:r>
      <w:r w:rsidR="00866824">
        <w:rPr>
          <w:rFonts w:ascii="Times New Roman" w:hAnsi="Times New Roman" w:cs="Times New Roman"/>
          <w:sz w:val="24"/>
          <w:szCs w:val="24"/>
        </w:rPr>
        <w:t>14/2015</w:t>
      </w:r>
      <w:r w:rsidR="00607CB1" w:rsidRPr="00607CB1">
        <w:rPr>
          <w:rFonts w:ascii="Times New Roman" w:hAnsi="Times New Roman" w:cs="Times New Roman"/>
          <w:sz w:val="24"/>
          <w:szCs w:val="24"/>
        </w:rPr>
        <w:t>. Následne začal opäť stúpať.</w:t>
      </w:r>
      <w:r w:rsidR="00E225CE" w:rsidRPr="00E225CE">
        <w:rPr>
          <w:rFonts w:ascii="Times New Roman" w:hAnsi="Times New Roman" w:cs="Times New Roman"/>
          <w:sz w:val="24"/>
          <w:szCs w:val="24"/>
        </w:rPr>
        <w:t xml:space="preserve"> </w:t>
      </w:r>
    </w:p>
    <w:p w14:paraId="5DD62B8C" w14:textId="77777777" w:rsidR="00E225CE" w:rsidRPr="00E225CE" w:rsidRDefault="009613C9" w:rsidP="009613C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225CE" w:rsidRPr="00E225CE">
        <w:rPr>
          <w:rFonts w:ascii="Times New Roman" w:hAnsi="Times New Roman" w:cs="Times New Roman"/>
          <w:sz w:val="24"/>
          <w:szCs w:val="24"/>
        </w:rPr>
        <w:t>Základné školy, ktorých bolo k 1.9.20</w:t>
      </w:r>
      <w:r w:rsidR="003860F6">
        <w:rPr>
          <w:rFonts w:ascii="Times New Roman" w:hAnsi="Times New Roman" w:cs="Times New Roman"/>
          <w:sz w:val="24"/>
          <w:szCs w:val="24"/>
        </w:rPr>
        <w:t>14</w:t>
      </w:r>
      <w:r w:rsidR="00E225CE" w:rsidRPr="00E225CE">
        <w:rPr>
          <w:rFonts w:ascii="Times New Roman" w:hAnsi="Times New Roman" w:cs="Times New Roman"/>
          <w:sz w:val="24"/>
          <w:szCs w:val="24"/>
        </w:rPr>
        <w:t xml:space="preserve"> v Kopaničiarskom regióne celkovo 16, navštevovalo v 154 triedach 3043 žiakov. Až v deviatich obciach sa nenachádza žiadna základná škola. Iba v meste Myjava sú  3 základné školy s tým, že jedna z nich, už vyššie spomínaná, sa nachádza v Turej Lúke. Počas sledovaného obdobia sa počet žiakov, tried a dokonca aj škôl znížil, a to dosť výrazne. Celkovo za posledných 12 rokov bol zaznamenaný pokles počtu žiakov až na úroveň 1905 žiakov, čo predstavuje 38,5 %. Príčinou toho výrazného poklesu je čoraz nižší počet narodených detí, ktoré neskôr prichádzajú do veku školopovinných detí. </w:t>
      </w:r>
    </w:p>
    <w:p w14:paraId="7C517F89" w14:textId="77777777" w:rsidR="00E225CE" w:rsidRPr="00E225CE" w:rsidRDefault="00E225CE" w:rsidP="009613C9">
      <w:pPr>
        <w:spacing w:after="0" w:line="360" w:lineRule="auto"/>
        <w:rPr>
          <w:rFonts w:ascii="Times New Roman" w:hAnsi="Times New Roman" w:cs="Times New Roman"/>
          <w:sz w:val="24"/>
          <w:szCs w:val="24"/>
        </w:rPr>
      </w:pPr>
      <w:r w:rsidRPr="00E225CE">
        <w:rPr>
          <w:rFonts w:ascii="Times New Roman" w:hAnsi="Times New Roman" w:cs="Times New Roman"/>
          <w:sz w:val="24"/>
          <w:szCs w:val="24"/>
        </w:rPr>
        <w:t xml:space="preserve">Vývoj počtu žiakov, tried a pracovníkov v základných školách znázorňuje </w:t>
      </w:r>
      <w:r w:rsidRPr="00C57880">
        <w:rPr>
          <w:rFonts w:ascii="Times New Roman" w:hAnsi="Times New Roman" w:cs="Times New Roman"/>
          <w:sz w:val="24"/>
          <w:szCs w:val="24"/>
        </w:rPr>
        <w:t xml:space="preserve">tabuľka </w:t>
      </w:r>
      <w:r w:rsidR="00390271" w:rsidRPr="00C57880">
        <w:rPr>
          <w:rFonts w:ascii="Times New Roman" w:hAnsi="Times New Roman" w:cs="Times New Roman"/>
          <w:sz w:val="24"/>
          <w:szCs w:val="24"/>
        </w:rPr>
        <w:t>3.1.13</w:t>
      </w:r>
      <w:r w:rsidRPr="00C57880">
        <w:rPr>
          <w:rFonts w:ascii="Times New Roman" w:hAnsi="Times New Roman" w:cs="Times New Roman"/>
          <w:sz w:val="24"/>
          <w:szCs w:val="24"/>
        </w:rPr>
        <w:t>.</w:t>
      </w:r>
    </w:p>
    <w:p w14:paraId="5D969744" w14:textId="77777777" w:rsidR="00E225CE" w:rsidRPr="00866824" w:rsidRDefault="00E225CE" w:rsidP="00AD142F">
      <w:pPr>
        <w:spacing w:before="120" w:after="0" w:line="360" w:lineRule="auto"/>
        <w:rPr>
          <w:rFonts w:ascii="Times New Roman" w:hAnsi="Times New Roman" w:cs="Times New Roman"/>
          <w:b/>
          <w:sz w:val="20"/>
          <w:szCs w:val="20"/>
        </w:rPr>
      </w:pPr>
      <w:r w:rsidRPr="00866824">
        <w:rPr>
          <w:rFonts w:ascii="Times New Roman" w:hAnsi="Times New Roman" w:cs="Times New Roman"/>
          <w:b/>
          <w:sz w:val="20"/>
          <w:szCs w:val="20"/>
        </w:rPr>
        <w:t xml:space="preserve">Tabuľka </w:t>
      </w:r>
      <w:r w:rsidR="00390271">
        <w:rPr>
          <w:rFonts w:ascii="Times New Roman" w:hAnsi="Times New Roman" w:cs="Times New Roman"/>
          <w:b/>
          <w:sz w:val="20"/>
          <w:szCs w:val="20"/>
        </w:rPr>
        <w:t>3.1.13</w:t>
      </w:r>
      <w:r w:rsidRPr="00866824">
        <w:rPr>
          <w:rFonts w:ascii="Times New Roman" w:hAnsi="Times New Roman" w:cs="Times New Roman"/>
          <w:b/>
          <w:sz w:val="20"/>
          <w:szCs w:val="20"/>
        </w:rPr>
        <w:t xml:space="preserve"> Vývoj počtu tried, žiakov a pracovníkov v základných školách Kopaničiarskeho regiónu za roky 1996/1997 – 2008/2009</w:t>
      </w:r>
    </w:p>
    <w:tbl>
      <w:tblPr>
        <w:tblW w:w="5940" w:type="dxa"/>
        <w:tblInd w:w="55" w:type="dxa"/>
        <w:tblCellMar>
          <w:left w:w="70" w:type="dxa"/>
          <w:right w:w="70" w:type="dxa"/>
        </w:tblCellMar>
        <w:tblLook w:val="0000" w:firstRow="0" w:lastRow="0" w:firstColumn="0" w:lastColumn="0" w:noHBand="0" w:noVBand="0"/>
      </w:tblPr>
      <w:tblGrid>
        <w:gridCol w:w="1641"/>
        <w:gridCol w:w="1033"/>
        <w:gridCol w:w="1283"/>
        <w:gridCol w:w="1983"/>
      </w:tblGrid>
      <w:tr w:rsidR="00866824" w:rsidRPr="00866824" w14:paraId="112330EA" w14:textId="77777777" w:rsidTr="00866824">
        <w:trPr>
          <w:trHeight w:val="555"/>
        </w:trPr>
        <w:tc>
          <w:tcPr>
            <w:tcW w:w="1641" w:type="dxa"/>
            <w:tcBorders>
              <w:top w:val="single" w:sz="4" w:space="0" w:color="auto"/>
              <w:left w:val="single" w:sz="4" w:space="0" w:color="auto"/>
              <w:bottom w:val="single" w:sz="4" w:space="0" w:color="auto"/>
              <w:right w:val="single" w:sz="4" w:space="0" w:color="auto"/>
            </w:tcBorders>
            <w:shd w:val="clear" w:color="auto" w:fill="D9D9D9"/>
            <w:vAlign w:val="center"/>
          </w:tcPr>
          <w:p w14:paraId="7535E623" w14:textId="77777777" w:rsidR="00866824" w:rsidRPr="00866824" w:rsidRDefault="00866824" w:rsidP="00866824">
            <w:pPr>
              <w:spacing w:after="0" w:line="240" w:lineRule="auto"/>
              <w:jc w:val="center"/>
              <w:rPr>
                <w:rFonts w:ascii="Times New Roman" w:eastAsia="Times New Roman" w:hAnsi="Times New Roman" w:cs="Times New Roman"/>
                <w:b/>
                <w:bCs/>
                <w:sz w:val="20"/>
                <w:szCs w:val="20"/>
                <w:lang w:eastAsia="cs-CZ"/>
              </w:rPr>
            </w:pPr>
            <w:r w:rsidRPr="00866824">
              <w:rPr>
                <w:rFonts w:ascii="Times New Roman" w:eastAsia="Times New Roman" w:hAnsi="Times New Roman" w:cs="Times New Roman"/>
                <w:b/>
                <w:bCs/>
                <w:sz w:val="20"/>
                <w:szCs w:val="20"/>
                <w:lang w:eastAsia="cs-CZ"/>
              </w:rPr>
              <w:t>Stredné školy/gymnázium</w:t>
            </w:r>
          </w:p>
        </w:tc>
        <w:tc>
          <w:tcPr>
            <w:tcW w:w="1033" w:type="dxa"/>
            <w:tcBorders>
              <w:top w:val="single" w:sz="4" w:space="0" w:color="auto"/>
              <w:left w:val="nil"/>
              <w:bottom w:val="single" w:sz="4" w:space="0" w:color="auto"/>
              <w:right w:val="single" w:sz="4" w:space="0" w:color="auto"/>
            </w:tcBorders>
            <w:shd w:val="clear" w:color="auto" w:fill="D9D9D9"/>
            <w:vAlign w:val="center"/>
          </w:tcPr>
          <w:p w14:paraId="2FCAD622" w14:textId="77777777" w:rsidR="00866824" w:rsidRPr="00866824" w:rsidRDefault="00866824" w:rsidP="00866824">
            <w:pPr>
              <w:spacing w:after="0" w:line="240" w:lineRule="auto"/>
              <w:jc w:val="center"/>
              <w:rPr>
                <w:rFonts w:ascii="Times New Roman" w:eastAsia="Times New Roman" w:hAnsi="Times New Roman" w:cs="Times New Roman"/>
                <w:b/>
                <w:bCs/>
                <w:sz w:val="20"/>
                <w:szCs w:val="20"/>
                <w:lang w:eastAsia="cs-CZ"/>
              </w:rPr>
            </w:pPr>
            <w:r w:rsidRPr="00866824">
              <w:rPr>
                <w:rFonts w:ascii="Times New Roman" w:eastAsia="Times New Roman" w:hAnsi="Times New Roman" w:cs="Times New Roman"/>
                <w:b/>
                <w:bCs/>
                <w:sz w:val="20"/>
                <w:szCs w:val="20"/>
                <w:lang w:eastAsia="cs-CZ"/>
              </w:rPr>
              <w:t>Počet tried</w:t>
            </w:r>
          </w:p>
        </w:tc>
        <w:tc>
          <w:tcPr>
            <w:tcW w:w="1283" w:type="dxa"/>
            <w:tcBorders>
              <w:top w:val="single" w:sz="4" w:space="0" w:color="auto"/>
              <w:left w:val="nil"/>
              <w:bottom w:val="single" w:sz="4" w:space="0" w:color="auto"/>
              <w:right w:val="single" w:sz="4" w:space="0" w:color="auto"/>
            </w:tcBorders>
            <w:shd w:val="clear" w:color="auto" w:fill="D9D9D9"/>
            <w:vAlign w:val="center"/>
          </w:tcPr>
          <w:p w14:paraId="1385B54A" w14:textId="77777777" w:rsidR="00866824" w:rsidRPr="00866824" w:rsidRDefault="00866824" w:rsidP="00866824">
            <w:pPr>
              <w:spacing w:after="0" w:line="240" w:lineRule="auto"/>
              <w:jc w:val="center"/>
              <w:rPr>
                <w:rFonts w:ascii="Times New Roman" w:eastAsia="Times New Roman" w:hAnsi="Times New Roman" w:cs="Times New Roman"/>
                <w:b/>
                <w:bCs/>
                <w:sz w:val="20"/>
                <w:szCs w:val="20"/>
                <w:lang w:eastAsia="cs-CZ"/>
              </w:rPr>
            </w:pPr>
            <w:r w:rsidRPr="00866824">
              <w:rPr>
                <w:rFonts w:ascii="Times New Roman" w:eastAsia="Times New Roman" w:hAnsi="Times New Roman" w:cs="Times New Roman"/>
                <w:b/>
                <w:bCs/>
                <w:sz w:val="20"/>
                <w:szCs w:val="20"/>
                <w:lang w:eastAsia="cs-CZ"/>
              </w:rPr>
              <w:t>Počet žiakov</w:t>
            </w:r>
          </w:p>
        </w:tc>
        <w:tc>
          <w:tcPr>
            <w:tcW w:w="1983" w:type="dxa"/>
            <w:tcBorders>
              <w:top w:val="single" w:sz="4" w:space="0" w:color="auto"/>
              <w:left w:val="nil"/>
              <w:bottom w:val="single" w:sz="4" w:space="0" w:color="auto"/>
              <w:right w:val="single" w:sz="4" w:space="0" w:color="auto"/>
            </w:tcBorders>
            <w:shd w:val="clear" w:color="auto" w:fill="D9D9D9"/>
            <w:vAlign w:val="center"/>
          </w:tcPr>
          <w:p w14:paraId="0B8890AF" w14:textId="77777777" w:rsidR="00866824" w:rsidRPr="00866824" w:rsidRDefault="00866824" w:rsidP="00866824">
            <w:pPr>
              <w:spacing w:after="0" w:line="240" w:lineRule="auto"/>
              <w:jc w:val="center"/>
              <w:rPr>
                <w:rFonts w:ascii="Times New Roman" w:eastAsia="Times New Roman" w:hAnsi="Times New Roman" w:cs="Times New Roman"/>
                <w:b/>
                <w:bCs/>
                <w:sz w:val="20"/>
                <w:szCs w:val="20"/>
                <w:lang w:eastAsia="cs-CZ"/>
              </w:rPr>
            </w:pPr>
            <w:r w:rsidRPr="00866824">
              <w:rPr>
                <w:rFonts w:ascii="Times New Roman" w:eastAsia="Times New Roman" w:hAnsi="Times New Roman" w:cs="Times New Roman"/>
                <w:b/>
                <w:bCs/>
                <w:sz w:val="20"/>
                <w:szCs w:val="20"/>
                <w:lang w:eastAsia="cs-CZ"/>
              </w:rPr>
              <w:t>Počet pracovníkov/z toho pedagogických</w:t>
            </w:r>
          </w:p>
        </w:tc>
      </w:tr>
      <w:tr w:rsidR="00866824" w:rsidRPr="00866824" w14:paraId="16F0AF33"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0E184259"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1996/1997</w:t>
            </w:r>
          </w:p>
        </w:tc>
        <w:tc>
          <w:tcPr>
            <w:tcW w:w="1033" w:type="dxa"/>
            <w:tcBorders>
              <w:top w:val="nil"/>
              <w:left w:val="nil"/>
              <w:bottom w:val="single" w:sz="4" w:space="0" w:color="auto"/>
              <w:right w:val="single" w:sz="4" w:space="0" w:color="auto"/>
            </w:tcBorders>
            <w:shd w:val="clear" w:color="auto" w:fill="auto"/>
            <w:vAlign w:val="bottom"/>
          </w:tcPr>
          <w:p w14:paraId="53B612CB"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220</w:t>
            </w:r>
          </w:p>
        </w:tc>
        <w:tc>
          <w:tcPr>
            <w:tcW w:w="1283" w:type="dxa"/>
            <w:tcBorders>
              <w:top w:val="nil"/>
              <w:left w:val="nil"/>
              <w:bottom w:val="single" w:sz="4" w:space="0" w:color="auto"/>
              <w:right w:val="single" w:sz="4" w:space="0" w:color="auto"/>
            </w:tcBorders>
            <w:shd w:val="clear" w:color="auto" w:fill="auto"/>
            <w:vAlign w:val="bottom"/>
          </w:tcPr>
          <w:p w14:paraId="0AFBD402"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4948</w:t>
            </w:r>
          </w:p>
        </w:tc>
        <w:tc>
          <w:tcPr>
            <w:tcW w:w="1983" w:type="dxa"/>
            <w:tcBorders>
              <w:top w:val="nil"/>
              <w:left w:val="nil"/>
              <w:bottom w:val="single" w:sz="4" w:space="0" w:color="auto"/>
              <w:right w:val="single" w:sz="4" w:space="0" w:color="auto"/>
            </w:tcBorders>
            <w:shd w:val="clear" w:color="auto" w:fill="auto"/>
          </w:tcPr>
          <w:p w14:paraId="7A011788"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517/372</w:t>
            </w:r>
          </w:p>
        </w:tc>
      </w:tr>
      <w:tr w:rsidR="00866824" w:rsidRPr="00866824" w14:paraId="1344592D"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A7DF57F"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1997/1998</w:t>
            </w:r>
          </w:p>
        </w:tc>
        <w:tc>
          <w:tcPr>
            <w:tcW w:w="1033" w:type="dxa"/>
            <w:tcBorders>
              <w:top w:val="nil"/>
              <w:left w:val="nil"/>
              <w:bottom w:val="single" w:sz="4" w:space="0" w:color="auto"/>
              <w:right w:val="single" w:sz="4" w:space="0" w:color="auto"/>
            </w:tcBorders>
            <w:shd w:val="clear" w:color="auto" w:fill="auto"/>
            <w:vAlign w:val="bottom"/>
          </w:tcPr>
          <w:p w14:paraId="3D3FC4EE"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210</w:t>
            </w:r>
          </w:p>
        </w:tc>
        <w:tc>
          <w:tcPr>
            <w:tcW w:w="1283" w:type="dxa"/>
            <w:tcBorders>
              <w:top w:val="nil"/>
              <w:left w:val="nil"/>
              <w:bottom w:val="single" w:sz="4" w:space="0" w:color="auto"/>
              <w:right w:val="single" w:sz="4" w:space="0" w:color="auto"/>
            </w:tcBorders>
            <w:shd w:val="clear" w:color="auto" w:fill="auto"/>
            <w:vAlign w:val="bottom"/>
          </w:tcPr>
          <w:p w14:paraId="5272B65A"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4959</w:t>
            </w:r>
          </w:p>
        </w:tc>
        <w:tc>
          <w:tcPr>
            <w:tcW w:w="1983" w:type="dxa"/>
            <w:tcBorders>
              <w:top w:val="nil"/>
              <w:left w:val="nil"/>
              <w:bottom w:val="single" w:sz="4" w:space="0" w:color="auto"/>
              <w:right w:val="single" w:sz="4" w:space="0" w:color="auto"/>
            </w:tcBorders>
            <w:shd w:val="clear" w:color="auto" w:fill="auto"/>
          </w:tcPr>
          <w:p w14:paraId="15CA7703"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503/362</w:t>
            </w:r>
          </w:p>
        </w:tc>
      </w:tr>
      <w:tr w:rsidR="00866824" w:rsidRPr="00866824" w14:paraId="60217EB8"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401DD7D5"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1998/1999</w:t>
            </w:r>
          </w:p>
        </w:tc>
        <w:tc>
          <w:tcPr>
            <w:tcW w:w="1033" w:type="dxa"/>
            <w:tcBorders>
              <w:top w:val="nil"/>
              <w:left w:val="nil"/>
              <w:bottom w:val="single" w:sz="4" w:space="0" w:color="auto"/>
              <w:right w:val="single" w:sz="4" w:space="0" w:color="auto"/>
            </w:tcBorders>
            <w:shd w:val="clear" w:color="auto" w:fill="auto"/>
            <w:vAlign w:val="bottom"/>
          </w:tcPr>
          <w:p w14:paraId="53EDE0F7"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207</w:t>
            </w:r>
          </w:p>
        </w:tc>
        <w:tc>
          <w:tcPr>
            <w:tcW w:w="1283" w:type="dxa"/>
            <w:tcBorders>
              <w:top w:val="nil"/>
              <w:left w:val="nil"/>
              <w:bottom w:val="single" w:sz="4" w:space="0" w:color="auto"/>
              <w:right w:val="single" w:sz="4" w:space="0" w:color="auto"/>
            </w:tcBorders>
            <w:shd w:val="clear" w:color="auto" w:fill="auto"/>
            <w:vAlign w:val="bottom"/>
          </w:tcPr>
          <w:p w14:paraId="67DC54B8"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4807</w:t>
            </w:r>
          </w:p>
        </w:tc>
        <w:tc>
          <w:tcPr>
            <w:tcW w:w="1983" w:type="dxa"/>
            <w:tcBorders>
              <w:top w:val="nil"/>
              <w:left w:val="nil"/>
              <w:bottom w:val="single" w:sz="4" w:space="0" w:color="auto"/>
              <w:right w:val="single" w:sz="4" w:space="0" w:color="auto"/>
            </w:tcBorders>
            <w:shd w:val="clear" w:color="auto" w:fill="auto"/>
          </w:tcPr>
          <w:p w14:paraId="0AAB13C1"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504/359</w:t>
            </w:r>
          </w:p>
        </w:tc>
      </w:tr>
      <w:tr w:rsidR="00866824" w:rsidRPr="00866824" w14:paraId="1CF82A16"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00074E1C"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1999/2000</w:t>
            </w:r>
          </w:p>
        </w:tc>
        <w:tc>
          <w:tcPr>
            <w:tcW w:w="1033" w:type="dxa"/>
            <w:tcBorders>
              <w:top w:val="nil"/>
              <w:left w:val="nil"/>
              <w:bottom w:val="single" w:sz="4" w:space="0" w:color="auto"/>
              <w:right w:val="single" w:sz="4" w:space="0" w:color="auto"/>
            </w:tcBorders>
            <w:shd w:val="clear" w:color="auto" w:fill="auto"/>
            <w:vAlign w:val="bottom"/>
          </w:tcPr>
          <w:p w14:paraId="334C45EA"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211</w:t>
            </w:r>
          </w:p>
        </w:tc>
        <w:tc>
          <w:tcPr>
            <w:tcW w:w="1283" w:type="dxa"/>
            <w:tcBorders>
              <w:top w:val="nil"/>
              <w:left w:val="nil"/>
              <w:bottom w:val="single" w:sz="4" w:space="0" w:color="auto"/>
              <w:right w:val="single" w:sz="4" w:space="0" w:color="auto"/>
            </w:tcBorders>
            <w:shd w:val="clear" w:color="auto" w:fill="auto"/>
            <w:vAlign w:val="bottom"/>
          </w:tcPr>
          <w:p w14:paraId="1022EF43"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4924</w:t>
            </w:r>
          </w:p>
        </w:tc>
        <w:tc>
          <w:tcPr>
            <w:tcW w:w="1983" w:type="dxa"/>
            <w:tcBorders>
              <w:top w:val="nil"/>
              <w:left w:val="nil"/>
              <w:bottom w:val="single" w:sz="4" w:space="0" w:color="auto"/>
              <w:right w:val="single" w:sz="4" w:space="0" w:color="auto"/>
            </w:tcBorders>
            <w:shd w:val="clear" w:color="auto" w:fill="auto"/>
          </w:tcPr>
          <w:p w14:paraId="2741A8DF"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499,5/359</w:t>
            </w:r>
          </w:p>
        </w:tc>
      </w:tr>
      <w:tr w:rsidR="00866824" w:rsidRPr="00866824" w14:paraId="52C45820"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777354DF"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2000/2001</w:t>
            </w:r>
          </w:p>
        </w:tc>
        <w:tc>
          <w:tcPr>
            <w:tcW w:w="1033" w:type="dxa"/>
            <w:tcBorders>
              <w:top w:val="nil"/>
              <w:left w:val="nil"/>
              <w:bottom w:val="single" w:sz="4" w:space="0" w:color="auto"/>
              <w:right w:val="single" w:sz="4" w:space="0" w:color="auto"/>
            </w:tcBorders>
            <w:shd w:val="clear" w:color="auto" w:fill="auto"/>
            <w:vAlign w:val="bottom"/>
          </w:tcPr>
          <w:p w14:paraId="1E8BE8C6"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203</w:t>
            </w:r>
          </w:p>
        </w:tc>
        <w:tc>
          <w:tcPr>
            <w:tcW w:w="1283" w:type="dxa"/>
            <w:tcBorders>
              <w:top w:val="nil"/>
              <w:left w:val="nil"/>
              <w:bottom w:val="single" w:sz="4" w:space="0" w:color="auto"/>
              <w:right w:val="single" w:sz="4" w:space="0" w:color="auto"/>
            </w:tcBorders>
            <w:shd w:val="clear" w:color="auto" w:fill="auto"/>
            <w:vAlign w:val="bottom"/>
          </w:tcPr>
          <w:p w14:paraId="786DADD9"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4751</w:t>
            </w:r>
          </w:p>
        </w:tc>
        <w:tc>
          <w:tcPr>
            <w:tcW w:w="1983" w:type="dxa"/>
            <w:tcBorders>
              <w:top w:val="nil"/>
              <w:left w:val="nil"/>
              <w:bottom w:val="single" w:sz="4" w:space="0" w:color="auto"/>
              <w:right w:val="single" w:sz="4" w:space="0" w:color="auto"/>
            </w:tcBorders>
            <w:shd w:val="clear" w:color="auto" w:fill="auto"/>
          </w:tcPr>
          <w:p w14:paraId="22B34755"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483,5/346</w:t>
            </w:r>
          </w:p>
        </w:tc>
      </w:tr>
      <w:tr w:rsidR="00866824" w:rsidRPr="00866824" w14:paraId="24DC1853"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175B212"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2001/2002</w:t>
            </w:r>
          </w:p>
        </w:tc>
        <w:tc>
          <w:tcPr>
            <w:tcW w:w="1033" w:type="dxa"/>
            <w:tcBorders>
              <w:top w:val="nil"/>
              <w:left w:val="nil"/>
              <w:bottom w:val="single" w:sz="4" w:space="0" w:color="auto"/>
              <w:right w:val="single" w:sz="4" w:space="0" w:color="auto"/>
            </w:tcBorders>
            <w:shd w:val="clear" w:color="auto" w:fill="auto"/>
            <w:vAlign w:val="bottom"/>
          </w:tcPr>
          <w:p w14:paraId="2B3D2C57"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199</w:t>
            </w:r>
          </w:p>
        </w:tc>
        <w:tc>
          <w:tcPr>
            <w:tcW w:w="1283" w:type="dxa"/>
            <w:tcBorders>
              <w:top w:val="nil"/>
              <w:left w:val="nil"/>
              <w:bottom w:val="single" w:sz="4" w:space="0" w:color="auto"/>
              <w:right w:val="single" w:sz="4" w:space="0" w:color="auto"/>
            </w:tcBorders>
            <w:shd w:val="clear" w:color="auto" w:fill="auto"/>
            <w:vAlign w:val="bottom"/>
          </w:tcPr>
          <w:p w14:paraId="64DACA3D"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4504</w:t>
            </w:r>
          </w:p>
        </w:tc>
        <w:tc>
          <w:tcPr>
            <w:tcW w:w="1983" w:type="dxa"/>
            <w:tcBorders>
              <w:top w:val="nil"/>
              <w:left w:val="nil"/>
              <w:bottom w:val="single" w:sz="4" w:space="0" w:color="auto"/>
              <w:right w:val="single" w:sz="4" w:space="0" w:color="auto"/>
            </w:tcBorders>
            <w:shd w:val="clear" w:color="auto" w:fill="auto"/>
          </w:tcPr>
          <w:p w14:paraId="388D6EB0"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472/335</w:t>
            </w:r>
          </w:p>
        </w:tc>
      </w:tr>
      <w:tr w:rsidR="00866824" w:rsidRPr="00866824" w14:paraId="2B848685"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A9DFF72"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2002/2003</w:t>
            </w:r>
          </w:p>
        </w:tc>
        <w:tc>
          <w:tcPr>
            <w:tcW w:w="1033" w:type="dxa"/>
            <w:tcBorders>
              <w:top w:val="nil"/>
              <w:left w:val="nil"/>
              <w:bottom w:val="single" w:sz="4" w:space="0" w:color="auto"/>
              <w:right w:val="single" w:sz="4" w:space="0" w:color="auto"/>
            </w:tcBorders>
            <w:shd w:val="clear" w:color="auto" w:fill="auto"/>
            <w:vAlign w:val="bottom"/>
          </w:tcPr>
          <w:p w14:paraId="0A5D8359"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193</w:t>
            </w:r>
          </w:p>
        </w:tc>
        <w:tc>
          <w:tcPr>
            <w:tcW w:w="1283" w:type="dxa"/>
            <w:tcBorders>
              <w:top w:val="nil"/>
              <w:left w:val="nil"/>
              <w:bottom w:val="single" w:sz="4" w:space="0" w:color="auto"/>
              <w:right w:val="single" w:sz="4" w:space="0" w:color="auto"/>
            </w:tcBorders>
            <w:shd w:val="clear" w:color="auto" w:fill="auto"/>
            <w:vAlign w:val="bottom"/>
          </w:tcPr>
          <w:p w14:paraId="40849305"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4258</w:t>
            </w:r>
          </w:p>
        </w:tc>
        <w:tc>
          <w:tcPr>
            <w:tcW w:w="1983" w:type="dxa"/>
            <w:tcBorders>
              <w:top w:val="nil"/>
              <w:left w:val="nil"/>
              <w:bottom w:val="single" w:sz="4" w:space="0" w:color="auto"/>
              <w:right w:val="single" w:sz="4" w:space="0" w:color="auto"/>
            </w:tcBorders>
            <w:shd w:val="clear" w:color="auto" w:fill="auto"/>
          </w:tcPr>
          <w:p w14:paraId="39090EAB"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471,5/333</w:t>
            </w:r>
          </w:p>
        </w:tc>
      </w:tr>
      <w:tr w:rsidR="00866824" w:rsidRPr="00866824" w14:paraId="2DACF589"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16297256"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2003/2004</w:t>
            </w:r>
          </w:p>
        </w:tc>
        <w:tc>
          <w:tcPr>
            <w:tcW w:w="1033" w:type="dxa"/>
            <w:tcBorders>
              <w:top w:val="nil"/>
              <w:left w:val="nil"/>
              <w:bottom w:val="single" w:sz="4" w:space="0" w:color="auto"/>
              <w:right w:val="single" w:sz="4" w:space="0" w:color="auto"/>
            </w:tcBorders>
            <w:shd w:val="clear" w:color="auto" w:fill="auto"/>
            <w:vAlign w:val="bottom"/>
          </w:tcPr>
          <w:p w14:paraId="4F1414CC"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187</w:t>
            </w:r>
          </w:p>
        </w:tc>
        <w:tc>
          <w:tcPr>
            <w:tcW w:w="1283" w:type="dxa"/>
            <w:tcBorders>
              <w:top w:val="nil"/>
              <w:left w:val="nil"/>
              <w:bottom w:val="single" w:sz="4" w:space="0" w:color="auto"/>
              <w:right w:val="single" w:sz="4" w:space="0" w:color="auto"/>
            </w:tcBorders>
            <w:shd w:val="clear" w:color="auto" w:fill="auto"/>
            <w:vAlign w:val="bottom"/>
          </w:tcPr>
          <w:p w14:paraId="506EC1DB"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3999</w:t>
            </w:r>
          </w:p>
        </w:tc>
        <w:tc>
          <w:tcPr>
            <w:tcW w:w="1983" w:type="dxa"/>
            <w:tcBorders>
              <w:top w:val="nil"/>
              <w:left w:val="nil"/>
              <w:bottom w:val="single" w:sz="4" w:space="0" w:color="auto"/>
              <w:right w:val="single" w:sz="4" w:space="0" w:color="auto"/>
            </w:tcBorders>
            <w:shd w:val="clear" w:color="auto" w:fill="auto"/>
          </w:tcPr>
          <w:p w14:paraId="440FD00A"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469,5/318,5</w:t>
            </w:r>
          </w:p>
        </w:tc>
      </w:tr>
      <w:tr w:rsidR="00866824" w:rsidRPr="00866824" w14:paraId="137309F7"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F5463CE"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 xml:space="preserve">2004/2005 </w:t>
            </w:r>
          </w:p>
        </w:tc>
        <w:tc>
          <w:tcPr>
            <w:tcW w:w="1033" w:type="dxa"/>
            <w:tcBorders>
              <w:top w:val="nil"/>
              <w:left w:val="nil"/>
              <w:bottom w:val="single" w:sz="4" w:space="0" w:color="auto"/>
              <w:right w:val="single" w:sz="4" w:space="0" w:color="auto"/>
            </w:tcBorders>
            <w:shd w:val="clear" w:color="auto" w:fill="auto"/>
            <w:vAlign w:val="bottom"/>
          </w:tcPr>
          <w:p w14:paraId="4385CA46"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175</w:t>
            </w:r>
          </w:p>
        </w:tc>
        <w:tc>
          <w:tcPr>
            <w:tcW w:w="1283" w:type="dxa"/>
            <w:tcBorders>
              <w:top w:val="nil"/>
              <w:left w:val="nil"/>
              <w:bottom w:val="single" w:sz="4" w:space="0" w:color="auto"/>
              <w:right w:val="single" w:sz="4" w:space="0" w:color="auto"/>
            </w:tcBorders>
            <w:shd w:val="clear" w:color="auto" w:fill="auto"/>
            <w:vAlign w:val="bottom"/>
          </w:tcPr>
          <w:p w14:paraId="7EADC39B"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3826</w:t>
            </w:r>
          </w:p>
        </w:tc>
        <w:tc>
          <w:tcPr>
            <w:tcW w:w="1983" w:type="dxa"/>
            <w:tcBorders>
              <w:top w:val="nil"/>
              <w:left w:val="nil"/>
              <w:bottom w:val="single" w:sz="4" w:space="0" w:color="auto"/>
              <w:right w:val="single" w:sz="4" w:space="0" w:color="auto"/>
            </w:tcBorders>
            <w:shd w:val="clear" w:color="auto" w:fill="auto"/>
          </w:tcPr>
          <w:p w14:paraId="6B360BE4"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416,5/285</w:t>
            </w:r>
          </w:p>
        </w:tc>
      </w:tr>
      <w:tr w:rsidR="00866824" w:rsidRPr="00866824" w14:paraId="06F0B9D4"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F51FE01"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2005/2006</w:t>
            </w:r>
          </w:p>
        </w:tc>
        <w:tc>
          <w:tcPr>
            <w:tcW w:w="1033" w:type="dxa"/>
            <w:tcBorders>
              <w:top w:val="nil"/>
              <w:left w:val="nil"/>
              <w:bottom w:val="single" w:sz="4" w:space="0" w:color="auto"/>
              <w:right w:val="single" w:sz="4" w:space="0" w:color="auto"/>
            </w:tcBorders>
            <w:shd w:val="clear" w:color="auto" w:fill="auto"/>
            <w:vAlign w:val="bottom"/>
          </w:tcPr>
          <w:p w14:paraId="478A4BD2"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166</w:t>
            </w:r>
          </w:p>
        </w:tc>
        <w:tc>
          <w:tcPr>
            <w:tcW w:w="1283" w:type="dxa"/>
            <w:tcBorders>
              <w:top w:val="nil"/>
              <w:left w:val="nil"/>
              <w:bottom w:val="single" w:sz="4" w:space="0" w:color="auto"/>
              <w:right w:val="single" w:sz="4" w:space="0" w:color="auto"/>
            </w:tcBorders>
            <w:shd w:val="clear" w:color="auto" w:fill="auto"/>
            <w:vAlign w:val="bottom"/>
          </w:tcPr>
          <w:p w14:paraId="1F8BA0DE"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3597</w:t>
            </w:r>
          </w:p>
        </w:tc>
        <w:tc>
          <w:tcPr>
            <w:tcW w:w="1983" w:type="dxa"/>
            <w:tcBorders>
              <w:top w:val="nil"/>
              <w:left w:val="nil"/>
              <w:bottom w:val="single" w:sz="4" w:space="0" w:color="auto"/>
              <w:right w:val="single" w:sz="4" w:space="0" w:color="auto"/>
            </w:tcBorders>
            <w:shd w:val="clear" w:color="auto" w:fill="auto"/>
          </w:tcPr>
          <w:p w14:paraId="4AA71580"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390/263</w:t>
            </w:r>
          </w:p>
        </w:tc>
      </w:tr>
      <w:tr w:rsidR="00866824" w:rsidRPr="00866824" w14:paraId="6E881E09"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C15A3D3"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2006/2007</w:t>
            </w:r>
          </w:p>
        </w:tc>
        <w:tc>
          <w:tcPr>
            <w:tcW w:w="1033" w:type="dxa"/>
            <w:tcBorders>
              <w:top w:val="nil"/>
              <w:left w:val="nil"/>
              <w:bottom w:val="single" w:sz="4" w:space="0" w:color="auto"/>
              <w:right w:val="single" w:sz="4" w:space="0" w:color="auto"/>
            </w:tcBorders>
            <w:shd w:val="clear" w:color="auto" w:fill="auto"/>
            <w:vAlign w:val="bottom"/>
          </w:tcPr>
          <w:p w14:paraId="453ABD21"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156</w:t>
            </w:r>
          </w:p>
        </w:tc>
        <w:tc>
          <w:tcPr>
            <w:tcW w:w="1283" w:type="dxa"/>
            <w:tcBorders>
              <w:top w:val="nil"/>
              <w:left w:val="nil"/>
              <w:bottom w:val="single" w:sz="4" w:space="0" w:color="auto"/>
              <w:right w:val="single" w:sz="4" w:space="0" w:color="auto"/>
            </w:tcBorders>
            <w:shd w:val="clear" w:color="auto" w:fill="auto"/>
            <w:vAlign w:val="bottom"/>
          </w:tcPr>
          <w:p w14:paraId="79766EE8"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3383</w:t>
            </w:r>
          </w:p>
        </w:tc>
        <w:tc>
          <w:tcPr>
            <w:tcW w:w="1983" w:type="dxa"/>
            <w:tcBorders>
              <w:top w:val="nil"/>
              <w:left w:val="nil"/>
              <w:bottom w:val="single" w:sz="4" w:space="0" w:color="auto"/>
              <w:right w:val="single" w:sz="4" w:space="0" w:color="auto"/>
            </w:tcBorders>
            <w:shd w:val="clear" w:color="auto" w:fill="auto"/>
          </w:tcPr>
          <w:p w14:paraId="4F89A4E7"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385/256,5</w:t>
            </w:r>
          </w:p>
        </w:tc>
      </w:tr>
      <w:tr w:rsidR="00866824" w:rsidRPr="00866824" w14:paraId="50241F13"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76F54397"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2007/2008</w:t>
            </w:r>
          </w:p>
        </w:tc>
        <w:tc>
          <w:tcPr>
            <w:tcW w:w="1033" w:type="dxa"/>
            <w:tcBorders>
              <w:top w:val="nil"/>
              <w:left w:val="nil"/>
              <w:bottom w:val="single" w:sz="4" w:space="0" w:color="auto"/>
              <w:right w:val="single" w:sz="4" w:space="0" w:color="auto"/>
            </w:tcBorders>
            <w:shd w:val="clear" w:color="auto" w:fill="auto"/>
            <w:vAlign w:val="bottom"/>
          </w:tcPr>
          <w:p w14:paraId="3A2EEFAB"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155</w:t>
            </w:r>
          </w:p>
        </w:tc>
        <w:tc>
          <w:tcPr>
            <w:tcW w:w="1283" w:type="dxa"/>
            <w:tcBorders>
              <w:top w:val="nil"/>
              <w:left w:val="nil"/>
              <w:bottom w:val="single" w:sz="4" w:space="0" w:color="auto"/>
              <w:right w:val="single" w:sz="4" w:space="0" w:color="auto"/>
            </w:tcBorders>
            <w:shd w:val="clear" w:color="auto" w:fill="auto"/>
            <w:vAlign w:val="bottom"/>
          </w:tcPr>
          <w:p w14:paraId="35AD37AE"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3246</w:t>
            </w:r>
          </w:p>
        </w:tc>
        <w:tc>
          <w:tcPr>
            <w:tcW w:w="1983" w:type="dxa"/>
            <w:tcBorders>
              <w:top w:val="nil"/>
              <w:left w:val="nil"/>
              <w:bottom w:val="single" w:sz="4" w:space="0" w:color="auto"/>
              <w:right w:val="single" w:sz="4" w:space="0" w:color="auto"/>
            </w:tcBorders>
            <w:shd w:val="clear" w:color="auto" w:fill="auto"/>
          </w:tcPr>
          <w:p w14:paraId="513DEFC4"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Pr>
                <w:rFonts w:ascii="Times New Roman" w:hAnsi="Times New Roman" w:cs="Times New Roman"/>
                <w:sz w:val="20"/>
                <w:szCs w:val="20"/>
              </w:rPr>
              <w:t>382/253</w:t>
            </w:r>
          </w:p>
        </w:tc>
      </w:tr>
      <w:tr w:rsidR="00866824" w:rsidRPr="00866824" w14:paraId="5789512A" w14:textId="77777777" w:rsidTr="00866824">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14C8F2D2" w14:textId="77777777" w:rsidR="00866824" w:rsidRPr="00866824" w:rsidRDefault="00866824" w:rsidP="00866824">
            <w:pPr>
              <w:spacing w:after="0" w:line="240" w:lineRule="auto"/>
              <w:jc w:val="both"/>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2008/2009</w:t>
            </w:r>
          </w:p>
        </w:tc>
        <w:tc>
          <w:tcPr>
            <w:tcW w:w="1033" w:type="dxa"/>
            <w:tcBorders>
              <w:top w:val="single" w:sz="4" w:space="0" w:color="auto"/>
              <w:left w:val="nil"/>
              <w:bottom w:val="single" w:sz="4" w:space="0" w:color="auto"/>
              <w:right w:val="single" w:sz="4" w:space="0" w:color="auto"/>
            </w:tcBorders>
            <w:shd w:val="clear" w:color="auto" w:fill="auto"/>
            <w:vAlign w:val="bottom"/>
          </w:tcPr>
          <w:p w14:paraId="7C1830BC"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154</w:t>
            </w:r>
          </w:p>
        </w:tc>
        <w:tc>
          <w:tcPr>
            <w:tcW w:w="1283" w:type="dxa"/>
            <w:tcBorders>
              <w:top w:val="single" w:sz="4" w:space="0" w:color="auto"/>
              <w:left w:val="nil"/>
              <w:bottom w:val="single" w:sz="4" w:space="0" w:color="auto"/>
              <w:right w:val="single" w:sz="4" w:space="0" w:color="auto"/>
            </w:tcBorders>
            <w:shd w:val="clear" w:color="auto" w:fill="auto"/>
            <w:vAlign w:val="bottom"/>
          </w:tcPr>
          <w:p w14:paraId="4712A351" w14:textId="77777777" w:rsidR="00866824" w:rsidRPr="00866824" w:rsidRDefault="00866824" w:rsidP="00866824">
            <w:pPr>
              <w:spacing w:after="0" w:line="240" w:lineRule="auto"/>
              <w:jc w:val="right"/>
              <w:rPr>
                <w:rFonts w:ascii="Times New Roman" w:eastAsia="Times New Roman" w:hAnsi="Times New Roman" w:cs="Times New Roman"/>
                <w:sz w:val="20"/>
                <w:szCs w:val="20"/>
                <w:lang w:eastAsia="cs-CZ"/>
              </w:rPr>
            </w:pPr>
            <w:r w:rsidRPr="008D271C">
              <w:rPr>
                <w:rFonts w:ascii="Times New Roman" w:hAnsi="Times New Roman" w:cs="Times New Roman"/>
                <w:sz w:val="20"/>
                <w:szCs w:val="20"/>
              </w:rPr>
              <w:t>3043</w:t>
            </w:r>
          </w:p>
        </w:tc>
        <w:tc>
          <w:tcPr>
            <w:tcW w:w="1983" w:type="dxa"/>
            <w:tcBorders>
              <w:top w:val="single" w:sz="4" w:space="0" w:color="auto"/>
              <w:left w:val="nil"/>
              <w:bottom w:val="single" w:sz="4" w:space="0" w:color="auto"/>
              <w:right w:val="single" w:sz="4" w:space="0" w:color="auto"/>
            </w:tcBorders>
            <w:shd w:val="clear" w:color="auto" w:fill="auto"/>
          </w:tcPr>
          <w:p w14:paraId="3110408E" w14:textId="77777777" w:rsidR="00866824" w:rsidRPr="00866824" w:rsidRDefault="00866824" w:rsidP="00866824">
            <w:pPr>
              <w:spacing w:after="0" w:line="240" w:lineRule="auto"/>
              <w:jc w:val="center"/>
              <w:rPr>
                <w:rFonts w:ascii="Times New Roman" w:eastAsia="Times New Roman" w:hAnsi="Times New Roman" w:cs="Times New Roman"/>
                <w:sz w:val="20"/>
                <w:szCs w:val="20"/>
                <w:lang w:eastAsia="cs-CZ"/>
              </w:rPr>
            </w:pPr>
            <w:r>
              <w:rPr>
                <w:rFonts w:ascii="Times New Roman" w:hAnsi="Times New Roman" w:cs="Times New Roman"/>
                <w:sz w:val="20"/>
                <w:szCs w:val="20"/>
              </w:rPr>
              <w:t>380/253</w:t>
            </w:r>
          </w:p>
        </w:tc>
      </w:tr>
      <w:tr w:rsidR="00866824" w:rsidRPr="00866824" w14:paraId="517E7C5E" w14:textId="77777777" w:rsidTr="00866824">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49FBA055"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2009/2010</w:t>
            </w:r>
          </w:p>
        </w:tc>
        <w:tc>
          <w:tcPr>
            <w:tcW w:w="1033" w:type="dxa"/>
            <w:tcBorders>
              <w:top w:val="single" w:sz="4" w:space="0" w:color="auto"/>
              <w:left w:val="nil"/>
              <w:bottom w:val="single" w:sz="4" w:space="0" w:color="auto"/>
              <w:right w:val="single" w:sz="4" w:space="0" w:color="auto"/>
            </w:tcBorders>
            <w:shd w:val="clear" w:color="auto" w:fill="auto"/>
            <w:vAlign w:val="bottom"/>
          </w:tcPr>
          <w:p w14:paraId="5542C22E"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155</w:t>
            </w:r>
          </w:p>
        </w:tc>
        <w:tc>
          <w:tcPr>
            <w:tcW w:w="1283" w:type="dxa"/>
            <w:tcBorders>
              <w:top w:val="single" w:sz="4" w:space="0" w:color="auto"/>
              <w:left w:val="nil"/>
              <w:bottom w:val="single" w:sz="4" w:space="0" w:color="auto"/>
              <w:right w:val="single" w:sz="4" w:space="0" w:color="auto"/>
            </w:tcBorders>
            <w:shd w:val="clear" w:color="auto" w:fill="auto"/>
            <w:vAlign w:val="bottom"/>
          </w:tcPr>
          <w:p w14:paraId="7D204EBA"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3059</w:t>
            </w:r>
          </w:p>
        </w:tc>
        <w:tc>
          <w:tcPr>
            <w:tcW w:w="1983" w:type="dxa"/>
            <w:tcBorders>
              <w:top w:val="single" w:sz="4" w:space="0" w:color="auto"/>
              <w:left w:val="nil"/>
              <w:bottom w:val="single" w:sz="4" w:space="0" w:color="auto"/>
              <w:right w:val="single" w:sz="4" w:space="0" w:color="auto"/>
            </w:tcBorders>
            <w:shd w:val="clear" w:color="auto" w:fill="auto"/>
          </w:tcPr>
          <w:p w14:paraId="5B79249D"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382/253</w:t>
            </w:r>
          </w:p>
        </w:tc>
      </w:tr>
      <w:tr w:rsidR="00866824" w:rsidRPr="00866824" w14:paraId="33BB34EA"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7C75FA1C"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2010/2011</w:t>
            </w:r>
          </w:p>
        </w:tc>
        <w:tc>
          <w:tcPr>
            <w:tcW w:w="1033" w:type="dxa"/>
            <w:tcBorders>
              <w:top w:val="nil"/>
              <w:left w:val="nil"/>
              <w:bottom w:val="single" w:sz="4" w:space="0" w:color="auto"/>
              <w:right w:val="single" w:sz="4" w:space="0" w:color="auto"/>
            </w:tcBorders>
            <w:shd w:val="clear" w:color="auto" w:fill="auto"/>
            <w:vAlign w:val="bottom"/>
          </w:tcPr>
          <w:p w14:paraId="55090DD0"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156</w:t>
            </w:r>
          </w:p>
        </w:tc>
        <w:tc>
          <w:tcPr>
            <w:tcW w:w="1283" w:type="dxa"/>
            <w:tcBorders>
              <w:top w:val="nil"/>
              <w:left w:val="nil"/>
              <w:bottom w:val="single" w:sz="4" w:space="0" w:color="auto"/>
              <w:right w:val="single" w:sz="4" w:space="0" w:color="auto"/>
            </w:tcBorders>
            <w:shd w:val="clear" w:color="auto" w:fill="auto"/>
            <w:vAlign w:val="bottom"/>
          </w:tcPr>
          <w:p w14:paraId="5763D853"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3088</w:t>
            </w:r>
          </w:p>
        </w:tc>
        <w:tc>
          <w:tcPr>
            <w:tcW w:w="1983" w:type="dxa"/>
            <w:tcBorders>
              <w:top w:val="nil"/>
              <w:left w:val="nil"/>
              <w:bottom w:val="single" w:sz="4" w:space="0" w:color="auto"/>
              <w:right w:val="single" w:sz="4" w:space="0" w:color="auto"/>
            </w:tcBorders>
            <w:shd w:val="clear" w:color="auto" w:fill="auto"/>
          </w:tcPr>
          <w:p w14:paraId="2C6EDA58"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384/254</w:t>
            </w:r>
          </w:p>
        </w:tc>
      </w:tr>
      <w:tr w:rsidR="00866824" w:rsidRPr="00866824" w14:paraId="72904C52"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FE9D1C5"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2011/2012</w:t>
            </w:r>
          </w:p>
        </w:tc>
        <w:tc>
          <w:tcPr>
            <w:tcW w:w="1033" w:type="dxa"/>
            <w:tcBorders>
              <w:top w:val="nil"/>
              <w:left w:val="nil"/>
              <w:bottom w:val="single" w:sz="4" w:space="0" w:color="auto"/>
              <w:right w:val="single" w:sz="4" w:space="0" w:color="auto"/>
            </w:tcBorders>
            <w:shd w:val="clear" w:color="auto" w:fill="auto"/>
            <w:vAlign w:val="bottom"/>
          </w:tcPr>
          <w:p w14:paraId="38214776"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156</w:t>
            </w:r>
          </w:p>
        </w:tc>
        <w:tc>
          <w:tcPr>
            <w:tcW w:w="1283" w:type="dxa"/>
            <w:tcBorders>
              <w:top w:val="nil"/>
              <w:left w:val="nil"/>
              <w:bottom w:val="single" w:sz="4" w:space="0" w:color="auto"/>
              <w:right w:val="single" w:sz="4" w:space="0" w:color="auto"/>
            </w:tcBorders>
            <w:shd w:val="clear" w:color="auto" w:fill="auto"/>
            <w:vAlign w:val="bottom"/>
          </w:tcPr>
          <w:p w14:paraId="6FBF4BFC"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3115</w:t>
            </w:r>
          </w:p>
        </w:tc>
        <w:tc>
          <w:tcPr>
            <w:tcW w:w="1983" w:type="dxa"/>
            <w:tcBorders>
              <w:top w:val="nil"/>
              <w:left w:val="nil"/>
              <w:bottom w:val="single" w:sz="4" w:space="0" w:color="auto"/>
              <w:right w:val="single" w:sz="4" w:space="0" w:color="auto"/>
            </w:tcBorders>
            <w:shd w:val="clear" w:color="auto" w:fill="auto"/>
          </w:tcPr>
          <w:p w14:paraId="18D305C0"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390/255</w:t>
            </w:r>
          </w:p>
        </w:tc>
      </w:tr>
      <w:tr w:rsidR="00866824" w:rsidRPr="00866824" w14:paraId="02A7367D"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24CCE11F"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2012/2013</w:t>
            </w:r>
          </w:p>
        </w:tc>
        <w:tc>
          <w:tcPr>
            <w:tcW w:w="1033" w:type="dxa"/>
            <w:tcBorders>
              <w:top w:val="nil"/>
              <w:left w:val="nil"/>
              <w:bottom w:val="single" w:sz="4" w:space="0" w:color="auto"/>
              <w:right w:val="single" w:sz="4" w:space="0" w:color="auto"/>
            </w:tcBorders>
            <w:shd w:val="clear" w:color="auto" w:fill="auto"/>
            <w:vAlign w:val="bottom"/>
          </w:tcPr>
          <w:p w14:paraId="62E53B80"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157</w:t>
            </w:r>
          </w:p>
        </w:tc>
        <w:tc>
          <w:tcPr>
            <w:tcW w:w="1283" w:type="dxa"/>
            <w:tcBorders>
              <w:top w:val="nil"/>
              <w:left w:val="nil"/>
              <w:bottom w:val="single" w:sz="4" w:space="0" w:color="auto"/>
              <w:right w:val="single" w:sz="4" w:space="0" w:color="auto"/>
            </w:tcBorders>
            <w:shd w:val="clear" w:color="auto" w:fill="auto"/>
            <w:vAlign w:val="bottom"/>
          </w:tcPr>
          <w:p w14:paraId="0F288428"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3133</w:t>
            </w:r>
          </w:p>
        </w:tc>
        <w:tc>
          <w:tcPr>
            <w:tcW w:w="1983" w:type="dxa"/>
            <w:tcBorders>
              <w:top w:val="nil"/>
              <w:left w:val="nil"/>
              <w:bottom w:val="single" w:sz="4" w:space="0" w:color="auto"/>
              <w:right w:val="single" w:sz="4" w:space="0" w:color="auto"/>
            </w:tcBorders>
            <w:shd w:val="clear" w:color="auto" w:fill="auto"/>
          </w:tcPr>
          <w:p w14:paraId="2062A02A"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392/256</w:t>
            </w:r>
          </w:p>
        </w:tc>
      </w:tr>
      <w:tr w:rsidR="00866824" w:rsidRPr="00866824" w14:paraId="117F4ED4"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63E21AF8"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2013/2014</w:t>
            </w:r>
          </w:p>
        </w:tc>
        <w:tc>
          <w:tcPr>
            <w:tcW w:w="1033" w:type="dxa"/>
            <w:tcBorders>
              <w:top w:val="nil"/>
              <w:left w:val="nil"/>
              <w:bottom w:val="single" w:sz="4" w:space="0" w:color="auto"/>
              <w:right w:val="single" w:sz="4" w:space="0" w:color="auto"/>
            </w:tcBorders>
            <w:shd w:val="clear" w:color="auto" w:fill="auto"/>
            <w:vAlign w:val="bottom"/>
          </w:tcPr>
          <w:p w14:paraId="743199D3"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158</w:t>
            </w:r>
          </w:p>
        </w:tc>
        <w:tc>
          <w:tcPr>
            <w:tcW w:w="1283" w:type="dxa"/>
            <w:tcBorders>
              <w:top w:val="nil"/>
              <w:left w:val="nil"/>
              <w:bottom w:val="single" w:sz="4" w:space="0" w:color="auto"/>
              <w:right w:val="single" w:sz="4" w:space="0" w:color="auto"/>
            </w:tcBorders>
            <w:shd w:val="clear" w:color="auto" w:fill="auto"/>
            <w:vAlign w:val="bottom"/>
          </w:tcPr>
          <w:p w14:paraId="2DE71C8E"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3164</w:t>
            </w:r>
          </w:p>
        </w:tc>
        <w:tc>
          <w:tcPr>
            <w:tcW w:w="1983" w:type="dxa"/>
            <w:tcBorders>
              <w:top w:val="nil"/>
              <w:left w:val="nil"/>
              <w:bottom w:val="single" w:sz="4" w:space="0" w:color="auto"/>
              <w:right w:val="single" w:sz="4" w:space="0" w:color="auto"/>
            </w:tcBorders>
            <w:shd w:val="clear" w:color="auto" w:fill="auto"/>
          </w:tcPr>
          <w:p w14:paraId="163F3274"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394/257</w:t>
            </w:r>
          </w:p>
        </w:tc>
      </w:tr>
      <w:tr w:rsidR="00866824" w:rsidRPr="00866824" w14:paraId="475CF049" w14:textId="77777777" w:rsidTr="00866824">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5BFFE7D1" w14:textId="77777777" w:rsidR="00866824" w:rsidRPr="008D271C" w:rsidRDefault="00866824" w:rsidP="00866824">
            <w:pPr>
              <w:spacing w:after="0" w:line="240" w:lineRule="auto"/>
              <w:jc w:val="both"/>
              <w:rPr>
                <w:rFonts w:ascii="Times New Roman" w:hAnsi="Times New Roman" w:cs="Times New Roman"/>
                <w:sz w:val="20"/>
                <w:szCs w:val="20"/>
              </w:rPr>
            </w:pPr>
            <w:r w:rsidRPr="008D271C">
              <w:rPr>
                <w:rFonts w:ascii="Times New Roman" w:hAnsi="Times New Roman" w:cs="Times New Roman"/>
                <w:sz w:val="20"/>
                <w:szCs w:val="20"/>
              </w:rPr>
              <w:t>2014/2015</w:t>
            </w:r>
          </w:p>
        </w:tc>
        <w:tc>
          <w:tcPr>
            <w:tcW w:w="1033" w:type="dxa"/>
            <w:tcBorders>
              <w:top w:val="nil"/>
              <w:left w:val="nil"/>
              <w:bottom w:val="single" w:sz="4" w:space="0" w:color="auto"/>
              <w:right w:val="single" w:sz="4" w:space="0" w:color="auto"/>
            </w:tcBorders>
            <w:shd w:val="clear" w:color="auto" w:fill="auto"/>
            <w:vAlign w:val="bottom"/>
          </w:tcPr>
          <w:p w14:paraId="036D1DBD" w14:textId="77777777" w:rsidR="00866824" w:rsidRPr="008D271C" w:rsidRDefault="00866824" w:rsidP="00866824">
            <w:pPr>
              <w:spacing w:after="0" w:line="240" w:lineRule="auto"/>
              <w:jc w:val="right"/>
              <w:rPr>
                <w:rFonts w:ascii="Times New Roman" w:hAnsi="Times New Roman" w:cs="Times New Roman"/>
                <w:sz w:val="20"/>
                <w:szCs w:val="20"/>
              </w:rPr>
            </w:pPr>
            <w:r w:rsidRPr="008D271C">
              <w:rPr>
                <w:rFonts w:ascii="Times New Roman" w:hAnsi="Times New Roman" w:cs="Times New Roman"/>
                <w:sz w:val="20"/>
                <w:szCs w:val="20"/>
              </w:rPr>
              <w:t>158</w:t>
            </w:r>
          </w:p>
        </w:tc>
        <w:tc>
          <w:tcPr>
            <w:tcW w:w="1283" w:type="dxa"/>
            <w:tcBorders>
              <w:top w:val="nil"/>
              <w:left w:val="nil"/>
              <w:bottom w:val="single" w:sz="4" w:space="0" w:color="auto"/>
              <w:right w:val="single" w:sz="4" w:space="0" w:color="auto"/>
            </w:tcBorders>
            <w:shd w:val="clear" w:color="auto" w:fill="auto"/>
            <w:vAlign w:val="bottom"/>
          </w:tcPr>
          <w:p w14:paraId="0C1A82DA" w14:textId="77777777" w:rsidR="00866824" w:rsidRPr="008D271C" w:rsidRDefault="00866824" w:rsidP="008668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3202</w:t>
            </w:r>
          </w:p>
        </w:tc>
        <w:tc>
          <w:tcPr>
            <w:tcW w:w="1983" w:type="dxa"/>
            <w:tcBorders>
              <w:top w:val="nil"/>
              <w:left w:val="nil"/>
              <w:bottom w:val="single" w:sz="4" w:space="0" w:color="auto"/>
              <w:right w:val="single" w:sz="4" w:space="0" w:color="auto"/>
            </w:tcBorders>
            <w:shd w:val="clear" w:color="auto" w:fill="auto"/>
          </w:tcPr>
          <w:p w14:paraId="701A9898" w14:textId="77777777" w:rsidR="00866824" w:rsidRPr="008D271C" w:rsidRDefault="00866824" w:rsidP="008668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399/258</w:t>
            </w:r>
          </w:p>
        </w:tc>
      </w:tr>
    </w:tbl>
    <w:p w14:paraId="537AFE1B" w14:textId="77777777" w:rsidR="008D271C" w:rsidRPr="00A327A1" w:rsidRDefault="008D271C" w:rsidP="00AD142F">
      <w:pPr>
        <w:spacing w:before="120" w:after="0" w:line="360" w:lineRule="auto"/>
        <w:jc w:val="both"/>
        <w:rPr>
          <w:rFonts w:ascii="Times New Roman" w:hAnsi="Times New Roman" w:cs="Times New Roman"/>
          <w:sz w:val="20"/>
          <w:szCs w:val="20"/>
        </w:rPr>
      </w:pPr>
      <w:r w:rsidRPr="00A327A1">
        <w:rPr>
          <w:rFonts w:ascii="Times New Roman" w:hAnsi="Times New Roman" w:cs="Times New Roman"/>
          <w:sz w:val="20"/>
          <w:szCs w:val="20"/>
        </w:rPr>
        <w:t>Zdroj: Archív škôl v Kopaničiarskom regióne, 2015</w:t>
      </w:r>
    </w:p>
    <w:p w14:paraId="307326A1" w14:textId="77777777" w:rsidR="00E225CE" w:rsidRPr="00E225CE" w:rsidRDefault="00CB5C15" w:rsidP="00AD142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 Myjave v školskom  roku 20</w:t>
      </w:r>
      <w:r w:rsidR="00A327A1">
        <w:rPr>
          <w:rFonts w:ascii="Times New Roman" w:hAnsi="Times New Roman" w:cs="Times New Roman"/>
          <w:sz w:val="24"/>
          <w:szCs w:val="24"/>
        </w:rPr>
        <w:t>14</w:t>
      </w:r>
      <w:r w:rsidR="00E225CE" w:rsidRPr="00E225CE">
        <w:rPr>
          <w:rFonts w:ascii="Times New Roman" w:hAnsi="Times New Roman" w:cs="Times New Roman"/>
          <w:sz w:val="24"/>
          <w:szCs w:val="24"/>
        </w:rPr>
        <w:t>/20</w:t>
      </w:r>
      <w:r w:rsidR="00A327A1">
        <w:rPr>
          <w:rFonts w:ascii="Times New Roman" w:hAnsi="Times New Roman" w:cs="Times New Roman"/>
          <w:sz w:val="24"/>
          <w:szCs w:val="24"/>
        </w:rPr>
        <w:t>15</w:t>
      </w:r>
      <w:r w:rsidR="00E225CE" w:rsidRPr="00E225CE">
        <w:rPr>
          <w:rFonts w:ascii="Times New Roman" w:hAnsi="Times New Roman" w:cs="Times New Roman"/>
          <w:sz w:val="24"/>
          <w:szCs w:val="24"/>
        </w:rPr>
        <w:t xml:space="preserve"> navštevovalo základné školy </w:t>
      </w:r>
      <w:r w:rsidR="00A327A1" w:rsidRPr="00A327A1">
        <w:rPr>
          <w:rFonts w:ascii="Times New Roman" w:hAnsi="Times New Roman" w:cs="Times New Roman"/>
          <w:sz w:val="24"/>
          <w:szCs w:val="24"/>
        </w:rPr>
        <w:t>993</w:t>
      </w:r>
      <w:r w:rsidR="00A327A1">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žiakov, čo je o </w:t>
      </w:r>
      <w:r w:rsidR="00A327A1">
        <w:rPr>
          <w:rFonts w:ascii="Times New Roman" w:hAnsi="Times New Roman" w:cs="Times New Roman"/>
          <w:sz w:val="24"/>
          <w:szCs w:val="24"/>
        </w:rPr>
        <w:t>2</w:t>
      </w:r>
      <w:r w:rsidR="00E225CE" w:rsidRPr="00E225CE">
        <w:rPr>
          <w:rFonts w:ascii="Times New Roman" w:hAnsi="Times New Roman" w:cs="Times New Roman"/>
          <w:sz w:val="24"/>
          <w:szCs w:val="24"/>
        </w:rPr>
        <w:t>1 menej ako v predchádzajúcom roku. Potom nasleduje mesto Stará Turá (</w:t>
      </w:r>
      <w:r w:rsidR="00A327A1" w:rsidRPr="00A327A1">
        <w:rPr>
          <w:rFonts w:ascii="Times New Roman" w:hAnsi="Times New Roman" w:cs="Times New Roman"/>
          <w:sz w:val="24"/>
          <w:szCs w:val="24"/>
        </w:rPr>
        <w:t>676</w:t>
      </w:r>
      <w:r w:rsidR="00A327A1">
        <w:rPr>
          <w:rFonts w:ascii="Times New Roman" w:hAnsi="Times New Roman" w:cs="Times New Roman"/>
          <w:sz w:val="24"/>
          <w:szCs w:val="24"/>
        </w:rPr>
        <w:t xml:space="preserve"> </w:t>
      </w:r>
      <w:r w:rsidR="00E225CE" w:rsidRPr="00E225CE">
        <w:rPr>
          <w:rFonts w:ascii="Times New Roman" w:hAnsi="Times New Roman" w:cs="Times New Roman"/>
          <w:sz w:val="24"/>
          <w:szCs w:val="24"/>
        </w:rPr>
        <w:t>žiakov) a Brezová pod Bradlom (4</w:t>
      </w:r>
      <w:r w:rsidR="00A327A1">
        <w:rPr>
          <w:rFonts w:ascii="Times New Roman" w:hAnsi="Times New Roman" w:cs="Times New Roman"/>
          <w:sz w:val="24"/>
          <w:szCs w:val="24"/>
        </w:rPr>
        <w:t>01</w:t>
      </w:r>
      <w:r w:rsidR="00E225CE" w:rsidRPr="00E225CE">
        <w:rPr>
          <w:rFonts w:ascii="Times New Roman" w:hAnsi="Times New Roman" w:cs="Times New Roman"/>
          <w:sz w:val="24"/>
          <w:szCs w:val="24"/>
        </w:rPr>
        <w:t xml:space="preserve"> žiakov), teda možno konštatovať, že základné školstvo je sústredené najmä do 3 miest regiónu, kde študuje až 7</w:t>
      </w:r>
      <w:r w:rsidR="00A327A1">
        <w:rPr>
          <w:rFonts w:ascii="Times New Roman" w:hAnsi="Times New Roman" w:cs="Times New Roman"/>
          <w:sz w:val="24"/>
          <w:szCs w:val="24"/>
        </w:rPr>
        <w:t>9</w:t>
      </w:r>
      <w:r w:rsidR="00E225CE" w:rsidRPr="00E225CE">
        <w:rPr>
          <w:rFonts w:ascii="Times New Roman" w:hAnsi="Times New Roman" w:cs="Times New Roman"/>
          <w:sz w:val="24"/>
          <w:szCs w:val="24"/>
        </w:rPr>
        <w:t xml:space="preserve"> % všetkých žiakov. Naopak, najmenej detí navštevovalo základnú školu v Jablonke (1</w:t>
      </w:r>
      <w:r w:rsidR="00A327A1">
        <w:rPr>
          <w:rFonts w:ascii="Times New Roman" w:hAnsi="Times New Roman" w:cs="Times New Roman"/>
          <w:sz w:val="24"/>
          <w:szCs w:val="24"/>
        </w:rPr>
        <w:t>2</w:t>
      </w:r>
      <w:r w:rsidR="00E225CE" w:rsidRPr="00E225CE">
        <w:rPr>
          <w:rFonts w:ascii="Times New Roman" w:hAnsi="Times New Roman" w:cs="Times New Roman"/>
          <w:sz w:val="24"/>
          <w:szCs w:val="24"/>
        </w:rPr>
        <w:t>) a Rudníku (1</w:t>
      </w:r>
      <w:r w:rsidR="00A327A1">
        <w:rPr>
          <w:rFonts w:ascii="Times New Roman" w:hAnsi="Times New Roman" w:cs="Times New Roman"/>
          <w:sz w:val="24"/>
          <w:szCs w:val="24"/>
        </w:rPr>
        <w:t>5</w:t>
      </w:r>
      <w:r w:rsidR="00E225CE" w:rsidRPr="00E225CE">
        <w:rPr>
          <w:rFonts w:ascii="Times New Roman" w:hAnsi="Times New Roman" w:cs="Times New Roman"/>
          <w:sz w:val="24"/>
          <w:szCs w:val="24"/>
        </w:rPr>
        <w:t xml:space="preserve">). Vo väčšine vidieckych </w:t>
      </w:r>
      <w:r w:rsidR="00E225CE" w:rsidRPr="00E225CE">
        <w:rPr>
          <w:rFonts w:ascii="Times New Roman" w:hAnsi="Times New Roman" w:cs="Times New Roman"/>
          <w:sz w:val="24"/>
          <w:szCs w:val="24"/>
        </w:rPr>
        <w:lastRenderedPageBreak/>
        <w:t xml:space="preserve">obcí, v ktorých sa nachádza základná škola, ide o ZŠ pre 1.-4. roč. a navyše s počtom tried 2-3, kde často krát v jednej triede sú spojené 2 ročníky. </w:t>
      </w:r>
    </w:p>
    <w:p w14:paraId="4C9DB9A4" w14:textId="77777777" w:rsidR="00E225CE" w:rsidRDefault="00CB5C15" w:rsidP="00CB5C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Počet stredných škôl v regióne je nižší, v školskom roku 20</w:t>
      </w:r>
      <w:r w:rsidR="00A327A1">
        <w:rPr>
          <w:rFonts w:ascii="Times New Roman" w:hAnsi="Times New Roman" w:cs="Times New Roman"/>
          <w:sz w:val="24"/>
          <w:szCs w:val="24"/>
        </w:rPr>
        <w:t>14</w:t>
      </w:r>
      <w:r w:rsidR="00E225CE" w:rsidRPr="00E225CE">
        <w:rPr>
          <w:rFonts w:ascii="Times New Roman" w:hAnsi="Times New Roman" w:cs="Times New Roman"/>
          <w:sz w:val="24"/>
          <w:szCs w:val="24"/>
        </w:rPr>
        <w:t>/20</w:t>
      </w:r>
      <w:r w:rsidR="00A327A1">
        <w:rPr>
          <w:rFonts w:ascii="Times New Roman" w:hAnsi="Times New Roman" w:cs="Times New Roman"/>
          <w:sz w:val="24"/>
          <w:szCs w:val="24"/>
        </w:rPr>
        <w:t>15</w:t>
      </w:r>
      <w:r w:rsidR="00E225CE" w:rsidRPr="00E225CE">
        <w:rPr>
          <w:rFonts w:ascii="Times New Roman" w:hAnsi="Times New Roman" w:cs="Times New Roman"/>
          <w:sz w:val="24"/>
          <w:szCs w:val="24"/>
        </w:rPr>
        <w:t xml:space="preserve"> tu pôsobili 4 stredné školy, ktoré navštevovalo 1</w:t>
      </w:r>
      <w:r w:rsidR="00A327A1">
        <w:rPr>
          <w:rFonts w:ascii="Times New Roman" w:hAnsi="Times New Roman" w:cs="Times New Roman"/>
          <w:sz w:val="24"/>
          <w:szCs w:val="24"/>
        </w:rPr>
        <w:t>28</w:t>
      </w:r>
      <w:r w:rsidR="00E225CE" w:rsidRPr="00E225CE">
        <w:rPr>
          <w:rFonts w:ascii="Times New Roman" w:hAnsi="Times New Roman" w:cs="Times New Roman"/>
          <w:sz w:val="24"/>
          <w:szCs w:val="24"/>
        </w:rPr>
        <w:t>9 študentov a jedno gymnázium (4</w:t>
      </w:r>
      <w:r w:rsidR="004303F0">
        <w:rPr>
          <w:rFonts w:ascii="Times New Roman" w:hAnsi="Times New Roman" w:cs="Times New Roman"/>
          <w:sz w:val="24"/>
          <w:szCs w:val="24"/>
        </w:rPr>
        <w:t>0</w:t>
      </w:r>
      <w:r w:rsidR="00583BBF">
        <w:rPr>
          <w:rFonts w:ascii="Times New Roman" w:hAnsi="Times New Roman" w:cs="Times New Roman"/>
          <w:sz w:val="24"/>
          <w:szCs w:val="24"/>
        </w:rPr>
        <w:t>0</w:t>
      </w:r>
      <w:r w:rsidR="00E225CE" w:rsidRPr="00E225CE">
        <w:rPr>
          <w:rFonts w:ascii="Times New Roman" w:hAnsi="Times New Roman" w:cs="Times New Roman"/>
          <w:sz w:val="24"/>
          <w:szCs w:val="24"/>
        </w:rPr>
        <w:t xml:space="preserve"> študentov). Kým u stredných škôl pozorujeme za posledných 1</w:t>
      </w:r>
      <w:r w:rsidR="00866824">
        <w:rPr>
          <w:rFonts w:ascii="Times New Roman" w:hAnsi="Times New Roman" w:cs="Times New Roman"/>
          <w:sz w:val="24"/>
          <w:szCs w:val="24"/>
        </w:rPr>
        <w:t>8</w:t>
      </w:r>
      <w:r w:rsidR="00E225CE" w:rsidRPr="00E225CE">
        <w:rPr>
          <w:rFonts w:ascii="Times New Roman" w:hAnsi="Times New Roman" w:cs="Times New Roman"/>
          <w:sz w:val="24"/>
          <w:szCs w:val="24"/>
        </w:rPr>
        <w:t xml:space="preserve"> rokov výrazný pokles študentov o 964 (41,5 %) – viď </w:t>
      </w:r>
      <w:r w:rsidR="00E225CE" w:rsidRPr="00CB5C15">
        <w:rPr>
          <w:rFonts w:ascii="Times New Roman" w:hAnsi="Times New Roman" w:cs="Times New Roman"/>
          <w:sz w:val="24"/>
          <w:szCs w:val="24"/>
        </w:rPr>
        <w:t xml:space="preserve">tabuľka </w:t>
      </w:r>
      <w:r w:rsidR="00390271" w:rsidRPr="00CB5C15">
        <w:rPr>
          <w:rFonts w:ascii="Times New Roman" w:hAnsi="Times New Roman" w:cs="Times New Roman"/>
          <w:sz w:val="24"/>
          <w:szCs w:val="24"/>
        </w:rPr>
        <w:t>3.1.14</w:t>
      </w:r>
      <w:r w:rsidR="00E225CE" w:rsidRPr="00E225CE">
        <w:rPr>
          <w:rFonts w:ascii="Times New Roman" w:hAnsi="Times New Roman" w:cs="Times New Roman"/>
          <w:sz w:val="24"/>
          <w:szCs w:val="24"/>
        </w:rPr>
        <w:t>, tak u gymnázia nastal mierny nárast o 61 študentov (16,6 %), čo je zapríčinené najmä zvýšeným dopytom po štúdiu na type školy, ktorý poskytuje lepšie predpoklady na ďalšie štúdium na vysokej škole. V Kopaničiarskom regióne prišlo za ostatné roky aj k integrácii stredného školstva</w:t>
      </w:r>
      <w:r w:rsidR="004303F0">
        <w:rPr>
          <w:rFonts w:ascii="Times New Roman" w:hAnsi="Times New Roman" w:cs="Times New Roman"/>
          <w:sz w:val="24"/>
          <w:szCs w:val="24"/>
        </w:rPr>
        <w:t>.</w:t>
      </w:r>
      <w:r w:rsidR="00E225CE" w:rsidRPr="00E225CE">
        <w:rPr>
          <w:rFonts w:ascii="Times New Roman" w:hAnsi="Times New Roman" w:cs="Times New Roman"/>
          <w:sz w:val="24"/>
          <w:szCs w:val="24"/>
        </w:rPr>
        <w:t xml:space="preserve"> Kým v roku 1996 tu pôsobilo 7 stredných škôl (vrátane 4 učilíšť) a 1 gymnázium, v roku </w:t>
      </w:r>
      <w:r w:rsidR="004F1494" w:rsidRPr="00E225CE">
        <w:rPr>
          <w:rFonts w:ascii="Times New Roman" w:hAnsi="Times New Roman" w:cs="Times New Roman"/>
          <w:sz w:val="24"/>
          <w:szCs w:val="24"/>
        </w:rPr>
        <w:t>2</w:t>
      </w:r>
      <w:r w:rsidR="004F1494">
        <w:rPr>
          <w:rFonts w:ascii="Times New Roman" w:hAnsi="Times New Roman" w:cs="Times New Roman"/>
          <w:sz w:val="24"/>
          <w:szCs w:val="24"/>
        </w:rPr>
        <w:t xml:space="preserve">015 </w:t>
      </w:r>
      <w:r w:rsidR="00E225CE" w:rsidRPr="00E225CE">
        <w:rPr>
          <w:rFonts w:ascii="Times New Roman" w:hAnsi="Times New Roman" w:cs="Times New Roman"/>
          <w:sz w:val="24"/>
          <w:szCs w:val="24"/>
        </w:rPr>
        <w:t xml:space="preserve">tu pôsobia už len 4 stredné školy </w:t>
      </w:r>
      <w:r w:rsidR="004F1494">
        <w:rPr>
          <w:rFonts w:ascii="Times New Roman" w:hAnsi="Times New Roman" w:cs="Times New Roman"/>
          <w:sz w:val="24"/>
          <w:szCs w:val="24"/>
        </w:rPr>
        <w:t xml:space="preserve">a </w:t>
      </w:r>
      <w:r w:rsidR="00E225CE" w:rsidRPr="00E225CE">
        <w:rPr>
          <w:rFonts w:ascii="Times New Roman" w:hAnsi="Times New Roman" w:cs="Times New Roman"/>
          <w:sz w:val="24"/>
          <w:szCs w:val="24"/>
        </w:rPr>
        <w:t xml:space="preserve"> gymnázi</w:t>
      </w:r>
      <w:r w:rsidR="004F1494">
        <w:rPr>
          <w:rFonts w:ascii="Times New Roman" w:hAnsi="Times New Roman" w:cs="Times New Roman"/>
          <w:sz w:val="24"/>
          <w:szCs w:val="24"/>
        </w:rPr>
        <w:t>u</w:t>
      </w:r>
      <w:r w:rsidR="00E225CE" w:rsidRPr="00E225CE">
        <w:rPr>
          <w:rFonts w:ascii="Times New Roman" w:hAnsi="Times New Roman" w:cs="Times New Roman"/>
          <w:sz w:val="24"/>
          <w:szCs w:val="24"/>
        </w:rPr>
        <w:t xml:space="preserve">m. </w:t>
      </w:r>
      <w:r w:rsidR="004F1494">
        <w:rPr>
          <w:rFonts w:ascii="Times New Roman" w:hAnsi="Times New Roman" w:cs="Times New Roman"/>
          <w:sz w:val="24"/>
          <w:szCs w:val="24"/>
        </w:rPr>
        <w:t xml:space="preserve">A to v r. 2006 vznikla v meste Stará Turá </w:t>
      </w:r>
      <w:r w:rsidR="004F1494" w:rsidRPr="004F1494">
        <w:rPr>
          <w:rFonts w:ascii="Times New Roman" w:hAnsi="Times New Roman" w:cs="Times New Roman"/>
          <w:sz w:val="24"/>
          <w:szCs w:val="24"/>
        </w:rPr>
        <w:t>Súkromná hotelová akadémia</w:t>
      </w:r>
      <w:r w:rsidR="004F1494">
        <w:rPr>
          <w:rFonts w:ascii="Times New Roman" w:hAnsi="Times New Roman" w:cs="Times New Roman"/>
          <w:sz w:val="24"/>
          <w:szCs w:val="24"/>
        </w:rPr>
        <w:t xml:space="preserve">, ktorá reflektovala na potreby regiónu a vychováva študentov v odboroch </w:t>
      </w:r>
      <w:r w:rsidR="004F1494" w:rsidRPr="004F1494">
        <w:rPr>
          <w:rFonts w:ascii="Times New Roman" w:hAnsi="Times New Roman" w:cs="Times New Roman"/>
          <w:sz w:val="24"/>
          <w:szCs w:val="24"/>
        </w:rPr>
        <w:t>hotelová akadémia</w:t>
      </w:r>
      <w:r w:rsidR="004F1494">
        <w:rPr>
          <w:rFonts w:ascii="Times New Roman" w:hAnsi="Times New Roman" w:cs="Times New Roman"/>
          <w:sz w:val="24"/>
          <w:szCs w:val="24"/>
        </w:rPr>
        <w:t xml:space="preserve"> a </w:t>
      </w:r>
      <w:r w:rsidR="004F1494" w:rsidRPr="004F1494">
        <w:rPr>
          <w:rFonts w:ascii="Times New Roman" w:hAnsi="Times New Roman" w:cs="Times New Roman"/>
          <w:sz w:val="24"/>
          <w:szCs w:val="24"/>
        </w:rPr>
        <w:t>cestovný ruch</w:t>
      </w:r>
      <w:r w:rsidR="004F1494">
        <w:rPr>
          <w:rFonts w:ascii="Times New Roman" w:hAnsi="Times New Roman" w:cs="Times New Roman"/>
          <w:sz w:val="24"/>
          <w:szCs w:val="24"/>
        </w:rPr>
        <w:t>.</w:t>
      </w:r>
      <w:r w:rsidR="004F1494" w:rsidRPr="004F1494">
        <w:rPr>
          <w:rFonts w:ascii="Times New Roman" w:hAnsi="Times New Roman" w:cs="Times New Roman"/>
          <w:sz w:val="24"/>
          <w:szCs w:val="24"/>
        </w:rPr>
        <w:t xml:space="preserve"> </w:t>
      </w:r>
      <w:r w:rsidR="00E225CE" w:rsidRPr="00E225CE">
        <w:rPr>
          <w:rFonts w:ascii="Times New Roman" w:hAnsi="Times New Roman" w:cs="Times New Roman"/>
          <w:sz w:val="24"/>
          <w:szCs w:val="24"/>
        </w:rPr>
        <w:t>Najviac žiakov navštevuje Strednú priemyselnú školu Myjava (5</w:t>
      </w:r>
      <w:r w:rsidR="004F1494">
        <w:rPr>
          <w:rFonts w:ascii="Times New Roman" w:hAnsi="Times New Roman" w:cs="Times New Roman"/>
          <w:sz w:val="24"/>
          <w:szCs w:val="24"/>
        </w:rPr>
        <w:t>0</w:t>
      </w:r>
      <w:r w:rsidR="00E225CE" w:rsidRPr="00E225CE">
        <w:rPr>
          <w:rFonts w:ascii="Times New Roman" w:hAnsi="Times New Roman" w:cs="Times New Roman"/>
          <w:sz w:val="24"/>
          <w:szCs w:val="24"/>
        </w:rPr>
        <w:t>5) a</w:t>
      </w:r>
      <w:r w:rsidR="00583BBF">
        <w:rPr>
          <w:rFonts w:ascii="Times New Roman" w:hAnsi="Times New Roman" w:cs="Times New Roman"/>
          <w:sz w:val="24"/>
          <w:szCs w:val="24"/>
        </w:rPr>
        <w:t> </w:t>
      </w:r>
      <w:r w:rsidR="00E225CE" w:rsidRPr="00E225CE">
        <w:rPr>
          <w:rFonts w:ascii="Times New Roman" w:hAnsi="Times New Roman" w:cs="Times New Roman"/>
          <w:sz w:val="24"/>
          <w:szCs w:val="24"/>
        </w:rPr>
        <w:t>Gymnázium Myjava</w:t>
      </w:r>
      <w:r w:rsidR="00583BBF">
        <w:rPr>
          <w:rFonts w:ascii="Times New Roman" w:hAnsi="Times New Roman" w:cs="Times New Roman"/>
          <w:sz w:val="24"/>
          <w:szCs w:val="24"/>
        </w:rPr>
        <w:t>.</w:t>
      </w:r>
    </w:p>
    <w:p w14:paraId="59E7A989" w14:textId="77777777" w:rsidR="00583BBF" w:rsidRPr="00583BBF" w:rsidRDefault="00583BBF" w:rsidP="00583BBF">
      <w:pPr>
        <w:spacing w:before="120" w:after="0" w:line="240" w:lineRule="auto"/>
        <w:jc w:val="both"/>
        <w:rPr>
          <w:rFonts w:ascii="Times New Roman" w:hAnsi="Times New Roman" w:cs="Times New Roman"/>
          <w:b/>
          <w:sz w:val="20"/>
          <w:szCs w:val="20"/>
        </w:rPr>
      </w:pPr>
      <w:r w:rsidRPr="00583BBF">
        <w:rPr>
          <w:rFonts w:ascii="Times New Roman" w:hAnsi="Times New Roman" w:cs="Times New Roman"/>
          <w:b/>
          <w:sz w:val="20"/>
          <w:szCs w:val="20"/>
        </w:rPr>
        <w:t xml:space="preserve">Tabuľka </w:t>
      </w:r>
      <w:r w:rsidR="00390271">
        <w:rPr>
          <w:rFonts w:ascii="Times New Roman" w:hAnsi="Times New Roman" w:cs="Times New Roman"/>
          <w:b/>
          <w:sz w:val="20"/>
          <w:szCs w:val="20"/>
        </w:rPr>
        <w:t>3.1.14</w:t>
      </w:r>
      <w:r w:rsidRPr="00583BBF">
        <w:rPr>
          <w:rFonts w:ascii="Times New Roman" w:hAnsi="Times New Roman" w:cs="Times New Roman"/>
          <w:b/>
          <w:sz w:val="20"/>
          <w:szCs w:val="20"/>
        </w:rPr>
        <w:t xml:space="preserve"> Vývoj počtu tried, žiakov a pracovníkov na stredných školách a v gymnáziu  Kopaničiarskeho regiónu za roky 1996/1997 – 2008/2009</w:t>
      </w:r>
    </w:p>
    <w:tbl>
      <w:tblPr>
        <w:tblW w:w="5940" w:type="dxa"/>
        <w:tblInd w:w="55" w:type="dxa"/>
        <w:tblCellMar>
          <w:left w:w="70" w:type="dxa"/>
          <w:right w:w="70" w:type="dxa"/>
        </w:tblCellMar>
        <w:tblLook w:val="0000" w:firstRow="0" w:lastRow="0" w:firstColumn="0" w:lastColumn="0" w:noHBand="0" w:noVBand="0"/>
      </w:tblPr>
      <w:tblGrid>
        <w:gridCol w:w="1641"/>
        <w:gridCol w:w="1033"/>
        <w:gridCol w:w="1283"/>
        <w:gridCol w:w="1983"/>
      </w:tblGrid>
      <w:tr w:rsidR="00583BBF" w:rsidRPr="00583BBF" w14:paraId="21C0BA2D" w14:textId="77777777" w:rsidTr="00583BBF">
        <w:trPr>
          <w:trHeight w:val="555"/>
        </w:trPr>
        <w:tc>
          <w:tcPr>
            <w:tcW w:w="1641" w:type="dxa"/>
            <w:tcBorders>
              <w:top w:val="single" w:sz="4" w:space="0" w:color="auto"/>
              <w:left w:val="single" w:sz="4" w:space="0" w:color="auto"/>
              <w:bottom w:val="single" w:sz="4" w:space="0" w:color="auto"/>
              <w:right w:val="single" w:sz="4" w:space="0" w:color="auto"/>
            </w:tcBorders>
            <w:shd w:val="clear" w:color="auto" w:fill="D9D9D9"/>
            <w:vAlign w:val="center"/>
          </w:tcPr>
          <w:p w14:paraId="275FC842" w14:textId="77777777" w:rsidR="00583BBF" w:rsidRPr="00583BBF" w:rsidRDefault="00583BBF" w:rsidP="00583BBF">
            <w:pPr>
              <w:spacing w:after="0" w:line="240" w:lineRule="auto"/>
              <w:jc w:val="center"/>
              <w:rPr>
                <w:rFonts w:ascii="Times New Roman" w:eastAsia="Times New Roman" w:hAnsi="Times New Roman" w:cs="Times New Roman"/>
                <w:b/>
                <w:bCs/>
                <w:sz w:val="20"/>
                <w:szCs w:val="20"/>
                <w:lang w:eastAsia="cs-CZ"/>
              </w:rPr>
            </w:pPr>
            <w:r w:rsidRPr="00583BBF">
              <w:rPr>
                <w:rFonts w:ascii="Times New Roman" w:eastAsia="Times New Roman" w:hAnsi="Times New Roman" w:cs="Times New Roman"/>
                <w:b/>
                <w:bCs/>
                <w:sz w:val="20"/>
                <w:szCs w:val="20"/>
                <w:lang w:eastAsia="cs-CZ"/>
              </w:rPr>
              <w:t>Stredné školy/gymnázium</w:t>
            </w:r>
          </w:p>
        </w:tc>
        <w:tc>
          <w:tcPr>
            <w:tcW w:w="1033" w:type="dxa"/>
            <w:tcBorders>
              <w:top w:val="single" w:sz="4" w:space="0" w:color="auto"/>
              <w:left w:val="nil"/>
              <w:bottom w:val="single" w:sz="4" w:space="0" w:color="auto"/>
              <w:right w:val="single" w:sz="4" w:space="0" w:color="auto"/>
            </w:tcBorders>
            <w:shd w:val="clear" w:color="auto" w:fill="D9D9D9"/>
            <w:vAlign w:val="center"/>
          </w:tcPr>
          <w:p w14:paraId="20925D80" w14:textId="77777777" w:rsidR="00583BBF" w:rsidRPr="00583BBF" w:rsidRDefault="00583BBF" w:rsidP="00583BBF">
            <w:pPr>
              <w:spacing w:after="0" w:line="240" w:lineRule="auto"/>
              <w:jc w:val="center"/>
              <w:rPr>
                <w:rFonts w:ascii="Times New Roman" w:eastAsia="Times New Roman" w:hAnsi="Times New Roman" w:cs="Times New Roman"/>
                <w:b/>
                <w:bCs/>
                <w:sz w:val="20"/>
                <w:szCs w:val="20"/>
                <w:lang w:eastAsia="cs-CZ"/>
              </w:rPr>
            </w:pPr>
            <w:r w:rsidRPr="00583BBF">
              <w:rPr>
                <w:rFonts w:ascii="Times New Roman" w:eastAsia="Times New Roman" w:hAnsi="Times New Roman" w:cs="Times New Roman"/>
                <w:b/>
                <w:bCs/>
                <w:sz w:val="20"/>
                <w:szCs w:val="20"/>
                <w:lang w:eastAsia="cs-CZ"/>
              </w:rPr>
              <w:t>Počet tried</w:t>
            </w:r>
          </w:p>
        </w:tc>
        <w:tc>
          <w:tcPr>
            <w:tcW w:w="1283" w:type="dxa"/>
            <w:tcBorders>
              <w:top w:val="single" w:sz="4" w:space="0" w:color="auto"/>
              <w:left w:val="nil"/>
              <w:bottom w:val="single" w:sz="4" w:space="0" w:color="auto"/>
              <w:right w:val="single" w:sz="4" w:space="0" w:color="auto"/>
            </w:tcBorders>
            <w:shd w:val="clear" w:color="auto" w:fill="D9D9D9"/>
            <w:vAlign w:val="center"/>
          </w:tcPr>
          <w:p w14:paraId="2A19C2F4" w14:textId="77777777" w:rsidR="00583BBF" w:rsidRPr="00583BBF" w:rsidRDefault="00583BBF" w:rsidP="00583BBF">
            <w:pPr>
              <w:spacing w:after="0" w:line="240" w:lineRule="auto"/>
              <w:jc w:val="center"/>
              <w:rPr>
                <w:rFonts w:ascii="Times New Roman" w:eastAsia="Times New Roman" w:hAnsi="Times New Roman" w:cs="Times New Roman"/>
                <w:b/>
                <w:bCs/>
                <w:sz w:val="20"/>
                <w:szCs w:val="20"/>
                <w:lang w:eastAsia="cs-CZ"/>
              </w:rPr>
            </w:pPr>
            <w:r w:rsidRPr="00583BBF">
              <w:rPr>
                <w:rFonts w:ascii="Times New Roman" w:eastAsia="Times New Roman" w:hAnsi="Times New Roman" w:cs="Times New Roman"/>
                <w:b/>
                <w:bCs/>
                <w:sz w:val="20"/>
                <w:szCs w:val="20"/>
                <w:lang w:eastAsia="cs-CZ"/>
              </w:rPr>
              <w:t>Počet žiakov</w:t>
            </w:r>
          </w:p>
        </w:tc>
        <w:tc>
          <w:tcPr>
            <w:tcW w:w="1983" w:type="dxa"/>
            <w:tcBorders>
              <w:top w:val="single" w:sz="4" w:space="0" w:color="auto"/>
              <w:left w:val="nil"/>
              <w:bottom w:val="single" w:sz="4" w:space="0" w:color="auto"/>
              <w:right w:val="single" w:sz="4" w:space="0" w:color="auto"/>
            </w:tcBorders>
            <w:shd w:val="clear" w:color="auto" w:fill="D9D9D9"/>
            <w:vAlign w:val="center"/>
          </w:tcPr>
          <w:p w14:paraId="3958E11C" w14:textId="77777777" w:rsidR="00583BBF" w:rsidRPr="00583BBF" w:rsidRDefault="00583BBF" w:rsidP="00583BBF">
            <w:pPr>
              <w:spacing w:after="0" w:line="240" w:lineRule="auto"/>
              <w:jc w:val="center"/>
              <w:rPr>
                <w:rFonts w:ascii="Times New Roman" w:eastAsia="Times New Roman" w:hAnsi="Times New Roman" w:cs="Times New Roman"/>
                <w:b/>
                <w:bCs/>
                <w:sz w:val="20"/>
                <w:szCs w:val="20"/>
                <w:lang w:eastAsia="cs-CZ"/>
              </w:rPr>
            </w:pPr>
            <w:r w:rsidRPr="00583BBF">
              <w:rPr>
                <w:rFonts w:ascii="Times New Roman" w:eastAsia="Times New Roman" w:hAnsi="Times New Roman" w:cs="Times New Roman"/>
                <w:b/>
                <w:bCs/>
                <w:sz w:val="20"/>
                <w:szCs w:val="20"/>
                <w:lang w:eastAsia="cs-CZ"/>
              </w:rPr>
              <w:t>Počet pracovníkov/z toho pedagogických</w:t>
            </w:r>
          </w:p>
        </w:tc>
      </w:tr>
      <w:tr w:rsidR="00583BBF" w:rsidRPr="00583BBF" w14:paraId="02ACEB34" w14:textId="77777777" w:rsidTr="00583BBF">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79B3235D" w14:textId="77777777" w:rsidR="00583BBF" w:rsidRPr="00583BBF" w:rsidRDefault="00583BBF" w:rsidP="00583BBF">
            <w:pPr>
              <w:spacing w:after="0" w:line="240" w:lineRule="auto"/>
              <w:jc w:val="both"/>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1996/1997</w:t>
            </w:r>
          </w:p>
        </w:tc>
        <w:tc>
          <w:tcPr>
            <w:tcW w:w="1033" w:type="dxa"/>
            <w:tcBorders>
              <w:top w:val="nil"/>
              <w:left w:val="nil"/>
              <w:bottom w:val="single" w:sz="4" w:space="0" w:color="auto"/>
              <w:right w:val="single" w:sz="4" w:space="0" w:color="auto"/>
            </w:tcBorders>
            <w:shd w:val="clear" w:color="auto" w:fill="auto"/>
            <w:vAlign w:val="bottom"/>
          </w:tcPr>
          <w:p w14:paraId="6860B0E0" w14:textId="77777777" w:rsidR="00583BBF" w:rsidRPr="00583BBF" w:rsidRDefault="00583BBF" w:rsidP="00583BBF">
            <w:pPr>
              <w:spacing w:after="0" w:line="240" w:lineRule="auto"/>
              <w:jc w:val="right"/>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 xml:space="preserve">93  /  12 </w:t>
            </w:r>
          </w:p>
        </w:tc>
        <w:tc>
          <w:tcPr>
            <w:tcW w:w="1283" w:type="dxa"/>
            <w:tcBorders>
              <w:top w:val="nil"/>
              <w:left w:val="nil"/>
              <w:bottom w:val="single" w:sz="4" w:space="0" w:color="auto"/>
              <w:right w:val="single" w:sz="4" w:space="0" w:color="auto"/>
            </w:tcBorders>
            <w:shd w:val="clear" w:color="auto" w:fill="auto"/>
            <w:vAlign w:val="bottom"/>
          </w:tcPr>
          <w:p w14:paraId="606E7896" w14:textId="77777777" w:rsidR="00583BBF" w:rsidRPr="00583BBF" w:rsidRDefault="00583BBF" w:rsidP="00583BBF">
            <w:pPr>
              <w:spacing w:after="0" w:line="240" w:lineRule="auto"/>
              <w:jc w:val="right"/>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2383  /  367</w:t>
            </w:r>
          </w:p>
        </w:tc>
        <w:tc>
          <w:tcPr>
            <w:tcW w:w="1983" w:type="dxa"/>
            <w:tcBorders>
              <w:top w:val="nil"/>
              <w:left w:val="nil"/>
              <w:bottom w:val="single" w:sz="4" w:space="0" w:color="auto"/>
              <w:right w:val="single" w:sz="4" w:space="0" w:color="auto"/>
            </w:tcBorders>
            <w:shd w:val="clear" w:color="auto" w:fill="auto"/>
          </w:tcPr>
          <w:p w14:paraId="0914EBF6" w14:textId="77777777" w:rsidR="00583BBF" w:rsidRPr="00583BBF" w:rsidRDefault="00583BBF" w:rsidP="00583BBF">
            <w:pPr>
              <w:spacing w:after="0" w:line="240" w:lineRule="auto"/>
              <w:jc w:val="center"/>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 xml:space="preserve">441/233  /  36/25 </w:t>
            </w:r>
          </w:p>
        </w:tc>
      </w:tr>
      <w:tr w:rsidR="00583BBF" w:rsidRPr="00583BBF" w14:paraId="6A156835" w14:textId="77777777" w:rsidTr="00583BBF">
        <w:trPr>
          <w:trHeight w:val="255"/>
        </w:trPr>
        <w:tc>
          <w:tcPr>
            <w:tcW w:w="1641" w:type="dxa"/>
            <w:tcBorders>
              <w:top w:val="nil"/>
              <w:left w:val="single" w:sz="4" w:space="0" w:color="auto"/>
              <w:bottom w:val="single" w:sz="4" w:space="0" w:color="auto"/>
              <w:right w:val="single" w:sz="4" w:space="0" w:color="auto"/>
            </w:tcBorders>
            <w:shd w:val="clear" w:color="auto" w:fill="auto"/>
            <w:vAlign w:val="bottom"/>
          </w:tcPr>
          <w:p w14:paraId="3EC7CB29" w14:textId="77777777" w:rsidR="00583BBF" w:rsidRPr="00583BBF" w:rsidRDefault="00583BBF" w:rsidP="00583BBF">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2014/2015</w:t>
            </w:r>
          </w:p>
        </w:tc>
        <w:tc>
          <w:tcPr>
            <w:tcW w:w="1033" w:type="dxa"/>
            <w:tcBorders>
              <w:top w:val="nil"/>
              <w:left w:val="nil"/>
              <w:bottom w:val="single" w:sz="4" w:space="0" w:color="auto"/>
              <w:right w:val="single" w:sz="4" w:space="0" w:color="auto"/>
            </w:tcBorders>
            <w:shd w:val="clear" w:color="auto" w:fill="auto"/>
            <w:vAlign w:val="bottom"/>
          </w:tcPr>
          <w:p w14:paraId="11C9B040" w14:textId="77777777" w:rsidR="00583BBF" w:rsidRPr="00583BBF" w:rsidRDefault="00583BBF" w:rsidP="00583BBF">
            <w:pPr>
              <w:spacing w:after="0" w:line="240" w:lineRule="auto"/>
              <w:jc w:val="right"/>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5</w:t>
            </w:r>
            <w:r>
              <w:rPr>
                <w:rFonts w:ascii="Times New Roman" w:eastAsia="Times New Roman" w:hAnsi="Times New Roman" w:cs="Times New Roman"/>
                <w:sz w:val="20"/>
                <w:szCs w:val="20"/>
                <w:lang w:eastAsia="cs-CZ"/>
              </w:rPr>
              <w:t>9</w:t>
            </w:r>
            <w:r w:rsidRPr="00583BBF">
              <w:rPr>
                <w:rFonts w:ascii="Times New Roman" w:eastAsia="Times New Roman" w:hAnsi="Times New Roman" w:cs="Times New Roman"/>
                <w:sz w:val="20"/>
                <w:szCs w:val="20"/>
                <w:lang w:eastAsia="cs-CZ"/>
              </w:rPr>
              <w:t xml:space="preserve">  /  1</w:t>
            </w:r>
            <w:r>
              <w:rPr>
                <w:rFonts w:ascii="Times New Roman" w:eastAsia="Times New Roman" w:hAnsi="Times New Roman" w:cs="Times New Roman"/>
                <w:sz w:val="20"/>
                <w:szCs w:val="20"/>
                <w:lang w:eastAsia="cs-CZ"/>
              </w:rPr>
              <w:t>4</w:t>
            </w:r>
          </w:p>
        </w:tc>
        <w:tc>
          <w:tcPr>
            <w:tcW w:w="1283" w:type="dxa"/>
            <w:tcBorders>
              <w:top w:val="nil"/>
              <w:left w:val="nil"/>
              <w:bottom w:val="single" w:sz="4" w:space="0" w:color="auto"/>
              <w:right w:val="single" w:sz="4" w:space="0" w:color="auto"/>
            </w:tcBorders>
            <w:shd w:val="clear" w:color="auto" w:fill="auto"/>
            <w:vAlign w:val="bottom"/>
          </w:tcPr>
          <w:p w14:paraId="017B5541" w14:textId="77777777" w:rsidR="00583BBF" w:rsidRPr="00583BBF" w:rsidRDefault="00583BBF" w:rsidP="00866824">
            <w:pPr>
              <w:spacing w:after="0" w:line="240" w:lineRule="auto"/>
              <w:jc w:val="right"/>
              <w:rPr>
                <w:rFonts w:ascii="Times New Roman" w:eastAsia="Times New Roman" w:hAnsi="Times New Roman" w:cs="Times New Roman"/>
                <w:sz w:val="20"/>
                <w:szCs w:val="20"/>
                <w:lang w:eastAsia="cs-CZ"/>
              </w:rPr>
            </w:pPr>
            <w:r w:rsidRPr="00583BBF">
              <w:rPr>
                <w:rFonts w:ascii="Times New Roman" w:eastAsia="Times New Roman" w:hAnsi="Times New Roman" w:cs="Times New Roman"/>
                <w:sz w:val="20"/>
                <w:szCs w:val="20"/>
                <w:lang w:eastAsia="cs-CZ"/>
              </w:rPr>
              <w:t>1</w:t>
            </w:r>
            <w:r w:rsidR="00866824">
              <w:rPr>
                <w:rFonts w:ascii="Times New Roman" w:eastAsia="Times New Roman" w:hAnsi="Times New Roman" w:cs="Times New Roman"/>
                <w:sz w:val="20"/>
                <w:szCs w:val="20"/>
                <w:lang w:eastAsia="cs-CZ"/>
              </w:rPr>
              <w:t>41</w:t>
            </w:r>
            <w:r w:rsidRPr="00583BBF">
              <w:rPr>
                <w:rFonts w:ascii="Times New Roman" w:eastAsia="Times New Roman" w:hAnsi="Times New Roman" w:cs="Times New Roman"/>
                <w:sz w:val="20"/>
                <w:szCs w:val="20"/>
                <w:lang w:eastAsia="cs-CZ"/>
              </w:rPr>
              <w:t xml:space="preserve">9 </w:t>
            </w:r>
            <w:r>
              <w:rPr>
                <w:rFonts w:ascii="Times New Roman" w:eastAsia="Times New Roman" w:hAnsi="Times New Roman" w:cs="Times New Roman"/>
                <w:sz w:val="20"/>
                <w:szCs w:val="20"/>
                <w:lang w:eastAsia="cs-CZ"/>
              </w:rPr>
              <w:t>/  400</w:t>
            </w:r>
          </w:p>
        </w:tc>
        <w:tc>
          <w:tcPr>
            <w:tcW w:w="1983" w:type="dxa"/>
            <w:tcBorders>
              <w:top w:val="nil"/>
              <w:left w:val="nil"/>
              <w:bottom w:val="single" w:sz="4" w:space="0" w:color="auto"/>
              <w:right w:val="single" w:sz="4" w:space="0" w:color="auto"/>
            </w:tcBorders>
            <w:shd w:val="clear" w:color="auto" w:fill="auto"/>
          </w:tcPr>
          <w:p w14:paraId="73825575" w14:textId="77777777" w:rsidR="00583BBF" w:rsidRPr="00583BBF" w:rsidRDefault="00583BBF" w:rsidP="00583BBF">
            <w:pPr>
              <w:spacing w:after="0" w:line="240" w:lineRule="auto"/>
              <w:jc w:val="cente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340/202  /  49/31</w:t>
            </w:r>
          </w:p>
        </w:tc>
      </w:tr>
    </w:tbl>
    <w:p w14:paraId="524BA4A0" w14:textId="77777777" w:rsidR="00583BBF" w:rsidRPr="00E225CE" w:rsidRDefault="00583BBF" w:rsidP="00AD142F">
      <w:pPr>
        <w:spacing w:before="120" w:after="0" w:line="360" w:lineRule="auto"/>
        <w:jc w:val="both"/>
        <w:rPr>
          <w:rFonts w:ascii="Times New Roman" w:hAnsi="Times New Roman" w:cs="Times New Roman"/>
          <w:sz w:val="24"/>
          <w:szCs w:val="24"/>
        </w:rPr>
      </w:pPr>
    </w:p>
    <w:p w14:paraId="3AF77321" w14:textId="77777777" w:rsidR="00E225CE" w:rsidRPr="00E225CE" w:rsidRDefault="00CB5C15" w:rsidP="00CB5C1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225CE" w:rsidRPr="00E225CE">
        <w:rPr>
          <w:rFonts w:ascii="Times New Roman" w:hAnsi="Times New Roman" w:cs="Times New Roman"/>
          <w:sz w:val="24"/>
          <w:szCs w:val="24"/>
        </w:rPr>
        <w:t xml:space="preserve">Skvalitňovanie vyučovacieho procesu na školách odzrkadľujú mnohé ukazovatele, akými sú okrem iného aj vybavenie škôl počítačovou technikou a interaktívnymi tabuľami, ale aj ich zapájanie do rôznych vzdelávacích programov. Aj v tomto smere nastal v školách Kopaničiarskeho regiónu výrazný posun vpred. </w:t>
      </w:r>
    </w:p>
    <w:p w14:paraId="42088D22" w14:textId="77777777" w:rsidR="00E225CE" w:rsidRPr="00E225CE" w:rsidRDefault="00CB5C15" w:rsidP="00CB5C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Školy sa zapájajú čoraz viac aj do rôznych vzdelávacích, výmenných, či podporných programov a projektov, akými sú Infovek, Digitálny štúrovci, Sokrates, Comenius,  Enviroprojekt, Otvorená škola a pod., ktoré rozširujú vzdelávacie aktivity nielen pre samotných žiakov a študentov, ale aj pre ich učiteľov. </w:t>
      </w:r>
    </w:p>
    <w:p w14:paraId="5D1B2A84" w14:textId="77777777" w:rsidR="00CB5C15" w:rsidRDefault="00CB5C15" w:rsidP="00CB5C15">
      <w:pPr>
        <w:spacing w:after="0" w:line="360" w:lineRule="auto"/>
        <w:jc w:val="both"/>
        <w:rPr>
          <w:rFonts w:ascii="Times New Roman" w:hAnsi="Times New Roman" w:cs="Times New Roman"/>
          <w:b/>
          <w:i/>
          <w:sz w:val="24"/>
          <w:szCs w:val="24"/>
        </w:rPr>
      </w:pPr>
    </w:p>
    <w:p w14:paraId="763AE9A2" w14:textId="77777777" w:rsidR="00E225CE" w:rsidRPr="005D0AC0" w:rsidRDefault="00E225CE" w:rsidP="00CB5C15">
      <w:pPr>
        <w:spacing w:after="0" w:line="360" w:lineRule="auto"/>
        <w:jc w:val="both"/>
        <w:rPr>
          <w:rFonts w:ascii="Times New Roman" w:hAnsi="Times New Roman" w:cs="Times New Roman"/>
          <w:b/>
          <w:i/>
          <w:sz w:val="24"/>
          <w:szCs w:val="24"/>
        </w:rPr>
      </w:pPr>
      <w:r w:rsidRPr="005D0AC0">
        <w:rPr>
          <w:rFonts w:ascii="Times New Roman" w:hAnsi="Times New Roman" w:cs="Times New Roman"/>
          <w:b/>
          <w:i/>
          <w:sz w:val="24"/>
          <w:szCs w:val="24"/>
        </w:rPr>
        <w:t>Zdravotníctvo</w:t>
      </w:r>
    </w:p>
    <w:p w14:paraId="4D21EA54" w14:textId="77777777" w:rsidR="00E225CE" w:rsidRPr="00E225CE" w:rsidRDefault="00CB5C15" w:rsidP="00CB5C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Zdravotníctvo a sociálna starostlivosť obyvateľov Kopaničiarskeho regiónu je zabezpečovaná v spádových oblastiach. Hlavnými centrami spádových oblastí sú najmä mesto Myjava, ale aj Stará Turá a Brezová pod Bradlom. Okrem toho vo viacerých obciach existujú zdravotné strediská, avšak z väčšiny za zdravotnou starostlivosťou cestujú obyvatelia vidieka </w:t>
      </w:r>
      <w:r w:rsidR="00E225CE" w:rsidRPr="00E225CE">
        <w:rPr>
          <w:rFonts w:ascii="Times New Roman" w:hAnsi="Times New Roman" w:cs="Times New Roman"/>
          <w:sz w:val="24"/>
          <w:szCs w:val="24"/>
        </w:rPr>
        <w:lastRenderedPageBreak/>
        <w:t xml:space="preserve">do miest, najmä do okresného mesta Myjava, kde je zriadená nemocnica s poliklinikou. </w:t>
      </w:r>
      <w:r w:rsidR="00E225CE" w:rsidRPr="00CB5C15">
        <w:rPr>
          <w:rFonts w:ascii="Times New Roman" w:hAnsi="Times New Roman" w:cs="Times New Roman"/>
          <w:sz w:val="24"/>
          <w:szCs w:val="24"/>
        </w:rPr>
        <w:t xml:space="preserve">V tabuľke </w:t>
      </w:r>
      <w:r w:rsidR="00390271" w:rsidRPr="00CB5C15">
        <w:rPr>
          <w:rFonts w:ascii="Times New Roman" w:hAnsi="Times New Roman" w:cs="Times New Roman"/>
          <w:sz w:val="24"/>
          <w:szCs w:val="24"/>
        </w:rPr>
        <w:t>3.1.15</w:t>
      </w:r>
      <w:r w:rsidR="00E225CE" w:rsidRPr="00CB5C15">
        <w:rPr>
          <w:rFonts w:ascii="Times New Roman" w:hAnsi="Times New Roman" w:cs="Times New Roman"/>
          <w:sz w:val="24"/>
          <w:szCs w:val="24"/>
        </w:rPr>
        <w:t xml:space="preserve"> sú znázornené zdravotnícke zariadenia v Kopaničiarskom regióne v roku 20</w:t>
      </w:r>
      <w:r w:rsidR="00866824" w:rsidRPr="00CB5C15">
        <w:rPr>
          <w:rFonts w:ascii="Times New Roman" w:hAnsi="Times New Roman" w:cs="Times New Roman"/>
          <w:sz w:val="24"/>
          <w:szCs w:val="24"/>
        </w:rPr>
        <w:t>1</w:t>
      </w:r>
      <w:r w:rsidR="00866824">
        <w:rPr>
          <w:rFonts w:ascii="Times New Roman" w:hAnsi="Times New Roman" w:cs="Times New Roman"/>
          <w:sz w:val="24"/>
          <w:szCs w:val="24"/>
        </w:rPr>
        <w:t>4</w:t>
      </w:r>
      <w:r w:rsidR="00E225CE" w:rsidRPr="00E225CE">
        <w:rPr>
          <w:rFonts w:ascii="Times New Roman" w:hAnsi="Times New Roman" w:cs="Times New Roman"/>
          <w:sz w:val="24"/>
          <w:szCs w:val="24"/>
        </w:rPr>
        <w:t xml:space="preserve">. </w:t>
      </w:r>
    </w:p>
    <w:p w14:paraId="292789BC" w14:textId="77777777" w:rsidR="00E459C7" w:rsidRPr="00390271" w:rsidRDefault="00E225CE" w:rsidP="005D0AC0">
      <w:pPr>
        <w:spacing w:before="120" w:after="0" w:line="360" w:lineRule="auto"/>
        <w:jc w:val="both"/>
        <w:rPr>
          <w:rFonts w:ascii="Times New Roman" w:hAnsi="Times New Roman" w:cs="Times New Roman"/>
          <w:b/>
          <w:sz w:val="20"/>
          <w:szCs w:val="20"/>
        </w:rPr>
      </w:pPr>
      <w:r w:rsidRPr="00390271">
        <w:rPr>
          <w:rFonts w:ascii="Times New Roman" w:hAnsi="Times New Roman" w:cs="Times New Roman"/>
          <w:b/>
          <w:sz w:val="20"/>
          <w:szCs w:val="20"/>
        </w:rPr>
        <w:t xml:space="preserve">Tabuľka </w:t>
      </w:r>
      <w:r w:rsidR="00E459C7" w:rsidRPr="00390271">
        <w:rPr>
          <w:rFonts w:ascii="Times New Roman" w:hAnsi="Times New Roman" w:cs="Times New Roman"/>
          <w:b/>
          <w:sz w:val="20"/>
          <w:szCs w:val="20"/>
        </w:rPr>
        <w:t>3.1.1</w:t>
      </w:r>
      <w:r w:rsidR="00390271">
        <w:rPr>
          <w:rFonts w:ascii="Times New Roman" w:hAnsi="Times New Roman" w:cs="Times New Roman"/>
          <w:b/>
          <w:sz w:val="20"/>
          <w:szCs w:val="20"/>
        </w:rPr>
        <w:t>5</w:t>
      </w:r>
      <w:r w:rsidRPr="00390271">
        <w:rPr>
          <w:rFonts w:ascii="Times New Roman" w:hAnsi="Times New Roman" w:cs="Times New Roman"/>
          <w:b/>
          <w:sz w:val="20"/>
          <w:szCs w:val="20"/>
        </w:rPr>
        <w:t xml:space="preserve"> </w:t>
      </w:r>
      <w:r w:rsidR="00146BB1" w:rsidRPr="00390271">
        <w:rPr>
          <w:rFonts w:ascii="Times New Roman" w:hAnsi="Times New Roman" w:cs="Times New Roman"/>
          <w:b/>
          <w:sz w:val="20"/>
          <w:szCs w:val="20"/>
        </w:rPr>
        <w:t>Zastúpenie zdravotníckych zariadení v MAS v roku 2014</w:t>
      </w:r>
    </w:p>
    <w:tbl>
      <w:tblPr>
        <w:tblW w:w="8080" w:type="dxa"/>
        <w:tblInd w:w="55" w:type="dxa"/>
        <w:tblCellMar>
          <w:left w:w="70" w:type="dxa"/>
          <w:right w:w="70" w:type="dxa"/>
        </w:tblCellMar>
        <w:tblLook w:val="04A0" w:firstRow="1" w:lastRow="0" w:firstColumn="1" w:lastColumn="0" w:noHBand="0" w:noVBand="1"/>
      </w:tblPr>
      <w:tblGrid>
        <w:gridCol w:w="2300"/>
        <w:gridCol w:w="1140"/>
        <w:gridCol w:w="1840"/>
        <w:gridCol w:w="1260"/>
        <w:gridCol w:w="1540"/>
      </w:tblGrid>
      <w:tr w:rsidR="00E459C7" w:rsidRPr="00FE2F69" w14:paraId="2F74A387" w14:textId="77777777" w:rsidTr="00E459C7">
        <w:trPr>
          <w:trHeight w:val="630"/>
        </w:trPr>
        <w:tc>
          <w:tcPr>
            <w:tcW w:w="23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DBB661" w14:textId="77777777" w:rsidR="00E459C7" w:rsidRPr="00FE2F69" w:rsidRDefault="00E459C7" w:rsidP="00E459C7">
            <w:pPr>
              <w:spacing w:after="0" w:line="240" w:lineRule="auto"/>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Obec</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14:paraId="43F09336" w14:textId="77777777" w:rsidR="00E459C7" w:rsidRPr="00FE2F69" w:rsidRDefault="00E459C7" w:rsidP="00E459C7">
            <w:pPr>
              <w:spacing w:after="0" w:line="240" w:lineRule="auto"/>
              <w:jc w:val="center"/>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Praktický lekár</w:t>
            </w:r>
          </w:p>
        </w:tc>
        <w:tc>
          <w:tcPr>
            <w:tcW w:w="1840" w:type="dxa"/>
            <w:tcBorders>
              <w:top w:val="single" w:sz="4" w:space="0" w:color="auto"/>
              <w:left w:val="nil"/>
              <w:bottom w:val="single" w:sz="4" w:space="0" w:color="auto"/>
              <w:right w:val="single" w:sz="4" w:space="0" w:color="auto"/>
            </w:tcBorders>
            <w:shd w:val="clear" w:color="000000" w:fill="D9D9D9"/>
            <w:vAlign w:val="center"/>
            <w:hideMark/>
          </w:tcPr>
          <w:p w14:paraId="7F4C4EB6" w14:textId="77777777" w:rsidR="00E459C7" w:rsidRPr="00FE2F69" w:rsidRDefault="00E459C7" w:rsidP="00E459C7">
            <w:pPr>
              <w:spacing w:after="0" w:line="240" w:lineRule="auto"/>
              <w:jc w:val="center"/>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Praktický lekár pre deti a mládež</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2D74A2FD" w14:textId="77777777" w:rsidR="00E459C7" w:rsidRPr="00FE2F69" w:rsidRDefault="00E459C7" w:rsidP="00E459C7">
            <w:pPr>
              <w:spacing w:after="0" w:line="240" w:lineRule="auto"/>
              <w:jc w:val="center"/>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Stomatológ</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14:paraId="6E9D9BF3" w14:textId="77777777" w:rsidR="00E459C7" w:rsidRPr="00FE2F69" w:rsidRDefault="00E459C7" w:rsidP="00E459C7">
            <w:pPr>
              <w:spacing w:after="0" w:line="240" w:lineRule="auto"/>
              <w:jc w:val="center"/>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Špecializovaní lekári</w:t>
            </w:r>
          </w:p>
        </w:tc>
      </w:tr>
      <w:tr w:rsidR="00E459C7" w:rsidRPr="00FE2F69" w14:paraId="37E0ADD1" w14:textId="77777777" w:rsidTr="00E459C7">
        <w:trPr>
          <w:trHeight w:val="315"/>
        </w:trPr>
        <w:tc>
          <w:tcPr>
            <w:tcW w:w="2300" w:type="dxa"/>
            <w:tcBorders>
              <w:top w:val="nil"/>
              <w:left w:val="single" w:sz="4" w:space="0" w:color="auto"/>
              <w:bottom w:val="single" w:sz="4" w:space="0" w:color="auto"/>
              <w:right w:val="single" w:sz="4" w:space="0" w:color="auto"/>
            </w:tcBorders>
            <w:shd w:val="clear" w:color="000000" w:fill="D9D9D9"/>
            <w:noWrap/>
            <w:vAlign w:val="bottom"/>
            <w:hideMark/>
          </w:tcPr>
          <w:p w14:paraId="28B23B66" w14:textId="77777777" w:rsidR="00E459C7" w:rsidRPr="00FE2F69" w:rsidRDefault="00E459C7" w:rsidP="00E459C7">
            <w:pPr>
              <w:spacing w:after="0" w:line="240" w:lineRule="auto"/>
              <w:rPr>
                <w:rFonts w:ascii="Times New Roman" w:eastAsia="Times New Roman" w:hAnsi="Times New Roman" w:cs="Times New Roman"/>
                <w:b/>
                <w:bCs/>
                <w:color w:val="000000"/>
                <w:sz w:val="20"/>
                <w:szCs w:val="20"/>
                <w:lang w:eastAsia="sk-SK"/>
              </w:rPr>
            </w:pPr>
            <w:r w:rsidRPr="00FE2F69">
              <w:rPr>
                <w:rFonts w:ascii="Times New Roman" w:eastAsia="Times New Roman" w:hAnsi="Times New Roman" w:cs="Times New Roman"/>
                <w:b/>
                <w:bCs/>
                <w:color w:val="000000"/>
                <w:sz w:val="20"/>
                <w:szCs w:val="20"/>
                <w:lang w:eastAsia="sk-SK"/>
              </w:rPr>
              <w:t>Kopaničiarsky región</w:t>
            </w:r>
          </w:p>
        </w:tc>
        <w:tc>
          <w:tcPr>
            <w:tcW w:w="1140" w:type="dxa"/>
            <w:tcBorders>
              <w:top w:val="nil"/>
              <w:left w:val="nil"/>
              <w:bottom w:val="single" w:sz="4" w:space="0" w:color="auto"/>
              <w:right w:val="single" w:sz="4" w:space="0" w:color="auto"/>
            </w:tcBorders>
            <w:shd w:val="clear" w:color="auto" w:fill="auto"/>
            <w:noWrap/>
            <w:vAlign w:val="bottom"/>
            <w:hideMark/>
          </w:tcPr>
          <w:p w14:paraId="589D8B39" w14:textId="77777777" w:rsidR="00E459C7" w:rsidRPr="00FE2F69" w:rsidRDefault="00E459C7" w:rsidP="00E459C7">
            <w:pPr>
              <w:spacing w:after="0" w:line="240" w:lineRule="auto"/>
              <w:jc w:val="center"/>
              <w:rPr>
                <w:rFonts w:ascii="Times New Roman" w:eastAsia="Times New Roman" w:hAnsi="Times New Roman" w:cs="Times New Roman"/>
                <w:color w:val="000000"/>
                <w:sz w:val="20"/>
                <w:szCs w:val="20"/>
                <w:lang w:eastAsia="sk-SK"/>
              </w:rPr>
            </w:pPr>
            <w:r w:rsidRPr="00FE2F69">
              <w:rPr>
                <w:rFonts w:ascii="Times New Roman" w:eastAsia="Times New Roman" w:hAnsi="Times New Roman" w:cs="Times New Roman"/>
                <w:color w:val="000000"/>
                <w:sz w:val="20"/>
                <w:szCs w:val="20"/>
                <w:lang w:eastAsia="sk-SK"/>
              </w:rPr>
              <w:t>20</w:t>
            </w:r>
          </w:p>
        </w:tc>
        <w:tc>
          <w:tcPr>
            <w:tcW w:w="1840" w:type="dxa"/>
            <w:tcBorders>
              <w:top w:val="nil"/>
              <w:left w:val="nil"/>
              <w:bottom w:val="single" w:sz="4" w:space="0" w:color="auto"/>
              <w:right w:val="single" w:sz="4" w:space="0" w:color="auto"/>
            </w:tcBorders>
            <w:shd w:val="clear" w:color="auto" w:fill="auto"/>
            <w:noWrap/>
            <w:vAlign w:val="bottom"/>
            <w:hideMark/>
          </w:tcPr>
          <w:p w14:paraId="2EF2FB60" w14:textId="77777777" w:rsidR="00E459C7" w:rsidRPr="00FE2F69" w:rsidRDefault="00E459C7" w:rsidP="00E459C7">
            <w:pPr>
              <w:spacing w:after="0" w:line="240" w:lineRule="auto"/>
              <w:jc w:val="center"/>
              <w:rPr>
                <w:rFonts w:ascii="Times New Roman" w:eastAsia="Times New Roman" w:hAnsi="Times New Roman" w:cs="Times New Roman"/>
                <w:color w:val="000000"/>
                <w:sz w:val="20"/>
                <w:szCs w:val="20"/>
                <w:lang w:eastAsia="sk-SK"/>
              </w:rPr>
            </w:pPr>
            <w:r w:rsidRPr="00FE2F69">
              <w:rPr>
                <w:rFonts w:ascii="Times New Roman" w:eastAsia="Times New Roman" w:hAnsi="Times New Roman" w:cs="Times New Roman"/>
                <w:color w:val="000000"/>
                <w:sz w:val="20"/>
                <w:szCs w:val="20"/>
                <w:lang w:eastAsia="sk-SK"/>
              </w:rPr>
              <w:t>10</w:t>
            </w:r>
          </w:p>
        </w:tc>
        <w:tc>
          <w:tcPr>
            <w:tcW w:w="1260" w:type="dxa"/>
            <w:tcBorders>
              <w:top w:val="nil"/>
              <w:left w:val="nil"/>
              <w:bottom w:val="single" w:sz="4" w:space="0" w:color="auto"/>
              <w:right w:val="single" w:sz="4" w:space="0" w:color="auto"/>
            </w:tcBorders>
            <w:shd w:val="clear" w:color="auto" w:fill="auto"/>
            <w:noWrap/>
            <w:vAlign w:val="bottom"/>
            <w:hideMark/>
          </w:tcPr>
          <w:p w14:paraId="3AA25A68" w14:textId="77777777" w:rsidR="00E459C7" w:rsidRPr="00FE2F69" w:rsidRDefault="00E459C7" w:rsidP="00E459C7">
            <w:pPr>
              <w:spacing w:after="0" w:line="240" w:lineRule="auto"/>
              <w:jc w:val="center"/>
              <w:rPr>
                <w:rFonts w:ascii="Times New Roman" w:eastAsia="Times New Roman" w:hAnsi="Times New Roman" w:cs="Times New Roman"/>
                <w:color w:val="000000"/>
                <w:sz w:val="20"/>
                <w:szCs w:val="20"/>
                <w:lang w:eastAsia="sk-SK"/>
              </w:rPr>
            </w:pPr>
            <w:r w:rsidRPr="00FE2F69">
              <w:rPr>
                <w:rFonts w:ascii="Times New Roman" w:eastAsia="Times New Roman" w:hAnsi="Times New Roman" w:cs="Times New Roman"/>
                <w:color w:val="000000"/>
                <w:sz w:val="20"/>
                <w:szCs w:val="20"/>
                <w:lang w:eastAsia="sk-SK"/>
              </w:rPr>
              <w:t>24</w:t>
            </w:r>
          </w:p>
        </w:tc>
        <w:tc>
          <w:tcPr>
            <w:tcW w:w="1540" w:type="dxa"/>
            <w:tcBorders>
              <w:top w:val="nil"/>
              <w:left w:val="nil"/>
              <w:bottom w:val="single" w:sz="4" w:space="0" w:color="auto"/>
              <w:right w:val="single" w:sz="4" w:space="0" w:color="auto"/>
            </w:tcBorders>
            <w:shd w:val="clear" w:color="auto" w:fill="auto"/>
            <w:noWrap/>
            <w:vAlign w:val="bottom"/>
            <w:hideMark/>
          </w:tcPr>
          <w:p w14:paraId="01731B08" w14:textId="77777777" w:rsidR="00E459C7" w:rsidRPr="00FE2F69" w:rsidRDefault="00E459C7" w:rsidP="00E459C7">
            <w:pPr>
              <w:spacing w:after="0" w:line="240" w:lineRule="auto"/>
              <w:jc w:val="center"/>
              <w:rPr>
                <w:rFonts w:ascii="Times New Roman" w:eastAsia="Times New Roman" w:hAnsi="Times New Roman" w:cs="Times New Roman"/>
                <w:color w:val="000000"/>
                <w:sz w:val="20"/>
                <w:szCs w:val="20"/>
                <w:lang w:eastAsia="sk-SK"/>
              </w:rPr>
            </w:pPr>
            <w:r w:rsidRPr="00FE2F69">
              <w:rPr>
                <w:rFonts w:ascii="Times New Roman" w:eastAsia="Times New Roman" w:hAnsi="Times New Roman" w:cs="Times New Roman"/>
                <w:color w:val="000000"/>
                <w:sz w:val="20"/>
                <w:szCs w:val="20"/>
                <w:lang w:eastAsia="sk-SK"/>
              </w:rPr>
              <w:t>38</w:t>
            </w:r>
          </w:p>
        </w:tc>
      </w:tr>
    </w:tbl>
    <w:p w14:paraId="4178EF56" w14:textId="77777777" w:rsidR="008951E2" w:rsidRDefault="00FE2F69" w:rsidP="008951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57829553" w14:textId="77777777" w:rsidR="00E225CE" w:rsidRPr="00E225CE" w:rsidRDefault="008951E2" w:rsidP="00895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225CE" w:rsidRPr="00E225CE">
        <w:rPr>
          <w:rFonts w:ascii="Times New Roman" w:hAnsi="Times New Roman" w:cs="Times New Roman"/>
          <w:sz w:val="24"/>
          <w:szCs w:val="24"/>
        </w:rPr>
        <w:t>Nemocnica s poliklinikou Myjava je jediným komplexným zdravotníckym zariadením v juhozápadnej časti Trenčianskeho kraja. V dvoch poliklinických pavilónoch sídlia ambulancie praktických lekárov a odborných lekárov. V hlavnej budove je sústredených 8 lôžkových oddelení s kapacitou 210 lôžok, ktoré poskytujú pre pacientov zdravotnú starostlivosť na jedno, dvoj a trojlôžkových izbách. Má dobudované pracoviská spoločných vyšetrovacích a  liečebných lôžok. K dispozícii je Záchranná zdravotná služba s nepretržitou prevádzkou. V areáli nemocnice je pristávacia plocha pre leteckú záchrannú službu. dialyzačné stredisko, verejná lekáreň a viaceré súkromné ambulancie dopĺňajú komplexné zdravotnícke služby. Od 1. októbra 2002 získala NsP Myjava od ministra zdravotníctva SR štatút „nemocnice s poliklinikou II. typu“. Od 1. januára 2003 prešla zriaďovateľská funkcia nemocnice s poliklinikou II. typu z Ministerstva zdravotníctva SR na Trenčiansky samosprávny kraj. V súčasnosti Nemocnica s poliklinikou Myjava ako príspevková organizácia je právnickou osobou, ktorá je na rozpočet Trenčianskeho samosprávneho kraja zapojená príspevkom.</w:t>
      </w:r>
    </w:p>
    <w:p w14:paraId="47A77E3F" w14:textId="77777777" w:rsidR="00E225CE" w:rsidRPr="00E225CE" w:rsidRDefault="00FE2F69" w:rsidP="00FE2F69">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Hlavná činnosť NsP je zameraná na plnenie úloh v oblasti preventívno-liečebnej starostlivosti v nasledovnom rozsahu:</w:t>
      </w:r>
    </w:p>
    <w:p w14:paraId="7FA322B4" w14:textId="77777777" w:rsidR="00E225CE" w:rsidRPr="00E225CE" w:rsidRDefault="00E225CE" w:rsidP="00FE2F69">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a)</w:t>
      </w:r>
      <w:r w:rsidRPr="00E225CE">
        <w:rPr>
          <w:rFonts w:ascii="Times New Roman" w:hAnsi="Times New Roman" w:cs="Times New Roman"/>
          <w:sz w:val="24"/>
          <w:szCs w:val="24"/>
        </w:rPr>
        <w:tab/>
        <w:t>ústavnú zdravotnú starostlivosť,</w:t>
      </w:r>
    </w:p>
    <w:p w14:paraId="30776235" w14:textId="77777777" w:rsidR="00E225CE" w:rsidRPr="00E225CE" w:rsidRDefault="00E225CE" w:rsidP="00FE2F69">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b)</w:t>
      </w:r>
      <w:r w:rsidRPr="00E225CE">
        <w:rPr>
          <w:rFonts w:ascii="Times New Roman" w:hAnsi="Times New Roman" w:cs="Times New Roman"/>
          <w:sz w:val="24"/>
          <w:szCs w:val="24"/>
        </w:rPr>
        <w:tab/>
        <w:t>ambulantnú starostlivosť</w:t>
      </w:r>
      <w:r w:rsidR="00FE2F69">
        <w:rPr>
          <w:rFonts w:ascii="Times New Roman" w:hAnsi="Times New Roman" w:cs="Times New Roman"/>
          <w:sz w:val="24"/>
          <w:szCs w:val="24"/>
        </w:rPr>
        <w:t xml:space="preserve"> (</w:t>
      </w:r>
      <w:r w:rsidRPr="00E225CE">
        <w:rPr>
          <w:rFonts w:ascii="Times New Roman" w:hAnsi="Times New Roman" w:cs="Times New Roman"/>
          <w:sz w:val="24"/>
          <w:szCs w:val="24"/>
        </w:rPr>
        <w:t>primárnu</w:t>
      </w:r>
      <w:r w:rsidR="00FE2F69">
        <w:rPr>
          <w:rFonts w:ascii="Times New Roman" w:hAnsi="Times New Roman" w:cs="Times New Roman"/>
          <w:sz w:val="24"/>
          <w:szCs w:val="24"/>
        </w:rPr>
        <w:t xml:space="preserve"> a </w:t>
      </w:r>
      <w:r w:rsidRPr="00E225CE">
        <w:rPr>
          <w:rFonts w:ascii="Times New Roman" w:hAnsi="Times New Roman" w:cs="Times New Roman"/>
          <w:sz w:val="24"/>
          <w:szCs w:val="24"/>
        </w:rPr>
        <w:t xml:space="preserve"> špecializovanú</w:t>
      </w:r>
      <w:r w:rsidR="00FE2F69">
        <w:rPr>
          <w:rFonts w:ascii="Times New Roman" w:hAnsi="Times New Roman" w:cs="Times New Roman"/>
          <w:sz w:val="24"/>
          <w:szCs w:val="24"/>
        </w:rPr>
        <w:t>)</w:t>
      </w:r>
    </w:p>
    <w:p w14:paraId="6EFF46D2" w14:textId="77777777" w:rsidR="00E225CE" w:rsidRPr="00E225CE" w:rsidRDefault="00E225CE" w:rsidP="00FE2F69">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c)</w:t>
      </w:r>
      <w:r w:rsidRPr="00E225CE">
        <w:rPr>
          <w:rFonts w:ascii="Times New Roman" w:hAnsi="Times New Roman" w:cs="Times New Roman"/>
          <w:sz w:val="24"/>
          <w:szCs w:val="24"/>
        </w:rPr>
        <w:tab/>
        <w:t>spoločné vyšetrovacie a liečebné zložky,</w:t>
      </w:r>
    </w:p>
    <w:p w14:paraId="524CCFA3" w14:textId="77777777" w:rsidR="00E225CE" w:rsidRPr="00E225CE" w:rsidRDefault="00E225CE" w:rsidP="00FE2F69">
      <w:pPr>
        <w:spacing w:after="0" w:line="360" w:lineRule="auto"/>
        <w:ind w:left="284"/>
        <w:rPr>
          <w:rFonts w:ascii="Times New Roman" w:hAnsi="Times New Roman" w:cs="Times New Roman"/>
          <w:sz w:val="24"/>
          <w:szCs w:val="24"/>
        </w:rPr>
      </w:pPr>
      <w:r w:rsidRPr="00E225CE">
        <w:rPr>
          <w:rFonts w:ascii="Times New Roman" w:hAnsi="Times New Roman" w:cs="Times New Roman"/>
          <w:sz w:val="24"/>
          <w:szCs w:val="24"/>
        </w:rPr>
        <w:t>d)</w:t>
      </w:r>
      <w:r w:rsidRPr="00E225CE">
        <w:rPr>
          <w:rFonts w:ascii="Times New Roman" w:hAnsi="Times New Roman" w:cs="Times New Roman"/>
          <w:sz w:val="24"/>
          <w:szCs w:val="24"/>
        </w:rPr>
        <w:tab/>
        <w:t>záchranná zdravotná služba.</w:t>
      </w:r>
    </w:p>
    <w:p w14:paraId="67C6890A" w14:textId="77777777" w:rsidR="00E225CE" w:rsidRPr="00E225CE" w:rsidRDefault="00FE2F69" w:rsidP="00FE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 nemocnici sa nachádzajú tieto lôžkové oddelenia: interné, chirurgické, detsko-dojčenské, gynekologicko-pôrodnícke, otorinolaryngologické, oddelenie fyziatrie, balneológie a liečebnej rehabilitácie, geriatrické a doliečovacie oddelenie.</w:t>
      </w:r>
    </w:p>
    <w:p w14:paraId="468422E4" w14:textId="77777777" w:rsidR="00E225CE" w:rsidRPr="00E225CE" w:rsidRDefault="00FE2F69" w:rsidP="00FE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mestách Stará Turá a Brezová pod Bradlom sa nachádzajú aj samostatné ambulancie praktického lekára pre deti a dorast, pre dospelých, ale aj stomatológa a gynekológa. V Starej Turej, kde sa nachádza poliklinika, sú navyše aj rôzne špeciálne ambulancie, ako interná, diabetologická, chirurgická, ortopedická a pod.  </w:t>
      </w:r>
    </w:p>
    <w:p w14:paraId="563B71FF" w14:textId="77777777" w:rsidR="00E225CE" w:rsidRPr="00E225CE" w:rsidRDefault="00FE2F69" w:rsidP="00FE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225CE" w:rsidRPr="00E225CE">
        <w:rPr>
          <w:rFonts w:ascii="Times New Roman" w:hAnsi="Times New Roman" w:cs="Times New Roman"/>
          <w:sz w:val="24"/>
          <w:szCs w:val="24"/>
        </w:rPr>
        <w:t xml:space="preserve">V obciach Lubina, Bzince pod Javorinou a Vrbovce sú zriadené zdravotné strediská, kde okrem praktických lekárov ordinujú aj špecialisti (Bzince pod Javorinou – stomatológ, detský lekár 2x – týždenne, Lubina – stomatológ a Vrbovce – gynekológ). Praktickí lekári pre dospelých ordinujú v obciach Krajné, Hrachovište a Kostolné (2x – týždenne).  </w:t>
      </w:r>
    </w:p>
    <w:p w14:paraId="4191366D" w14:textId="77777777" w:rsidR="00FE2F69" w:rsidRDefault="00FE2F69" w:rsidP="00FE2F69">
      <w:pPr>
        <w:spacing w:after="0" w:line="360" w:lineRule="auto"/>
        <w:rPr>
          <w:rFonts w:ascii="Times New Roman" w:hAnsi="Times New Roman" w:cs="Times New Roman"/>
          <w:b/>
          <w:i/>
          <w:sz w:val="24"/>
          <w:szCs w:val="24"/>
        </w:rPr>
      </w:pPr>
    </w:p>
    <w:p w14:paraId="7AE1D7EC" w14:textId="77777777" w:rsidR="00E225CE" w:rsidRPr="005D0AC0" w:rsidRDefault="00E225CE" w:rsidP="00FE2F69">
      <w:pPr>
        <w:spacing w:after="0" w:line="360" w:lineRule="auto"/>
        <w:rPr>
          <w:rFonts w:ascii="Times New Roman" w:hAnsi="Times New Roman" w:cs="Times New Roman"/>
          <w:b/>
          <w:i/>
          <w:sz w:val="24"/>
          <w:szCs w:val="24"/>
        </w:rPr>
      </w:pPr>
      <w:r w:rsidRPr="005D0AC0">
        <w:rPr>
          <w:rFonts w:ascii="Times New Roman" w:hAnsi="Times New Roman" w:cs="Times New Roman"/>
          <w:b/>
          <w:i/>
          <w:sz w:val="24"/>
          <w:szCs w:val="24"/>
        </w:rPr>
        <w:t>Sociálne a verejné služby</w:t>
      </w:r>
    </w:p>
    <w:p w14:paraId="45258141" w14:textId="77777777" w:rsidR="00E225CE" w:rsidRPr="00E225CE" w:rsidRDefault="00FE2F69" w:rsidP="00FE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súčasnom období slúži pre sociálne potreby v regióne viacero zariadení, takmer všetky v meste Myjava. Poskytovanie sociálnej starostlivosti je zabezpečované prostredníctvom 5 sociálnych zariadení, ktoré okrem tradičného domova dôchodcov zahŕňajú aj sociálne zariadenia pre deti pod zriaďovateľskou pôsobnosťou Vyššieho územného celku Trenčiansky samosprávny kraj. Najväčším je Domov dôchodcov – Domov sociálnych služieb v Myjave, ktorý má kapacitu 150 obyvateľov a vyhovuje aj potrebám občanov susedných okresov a býva neustále plne obsadený. V ostatnom čase narastá záujem o poskytnutie opatrovateľskej služby v domácnostiach. V súčasnosti je opatrovateľská služba poskytovaná 100 opatrovaným občanom. V regióne sa nachádza aj jeden Detský domov, situovaný na južnom okraji mesta Myjava. Sú tu ubytované deti s nariadenou ústavnou  výchovou v počte 28 detí vo veku od  6 do 18 rokov. V detskom domove sú tri vychovávateľky.  </w:t>
      </w:r>
    </w:p>
    <w:p w14:paraId="4ADC72A7" w14:textId="77777777" w:rsidR="00E225CE" w:rsidRDefault="00FE2F69" w:rsidP="00FE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Starej Turej je zriadený Domov dôchodcov – Domov sociálnych služieb, ktorý môžu využívať aj obyvatelia okolitých obcí. Ďalšie zariadenia sú vybudované v Bzinciach pod Javorinou – domov dôchodcov, Krajné – domov dôchodcov, v obci Hrachovište je zriadený penzión pre starších ľudí, ktorý však </w:t>
      </w:r>
      <w:r w:rsidR="00E225CE" w:rsidRPr="00F560B2">
        <w:rPr>
          <w:rFonts w:ascii="Times New Roman" w:hAnsi="Times New Roman" w:cs="Times New Roman"/>
          <w:sz w:val="24"/>
          <w:szCs w:val="24"/>
        </w:rPr>
        <w:t xml:space="preserve">kapacitne nepostačuje. Zariadenia sociálnej starostlivosti v Kopaničiarskom regióne možno vidieť v tabuľke </w:t>
      </w:r>
      <w:r w:rsidR="00837E29" w:rsidRPr="00F560B2">
        <w:rPr>
          <w:rFonts w:ascii="Times New Roman" w:hAnsi="Times New Roman" w:cs="Times New Roman"/>
          <w:sz w:val="24"/>
          <w:szCs w:val="24"/>
        </w:rPr>
        <w:t>3.1.16</w:t>
      </w:r>
      <w:r w:rsidR="00E225CE" w:rsidRPr="00F560B2">
        <w:rPr>
          <w:rFonts w:ascii="Times New Roman" w:hAnsi="Times New Roman" w:cs="Times New Roman"/>
          <w:sz w:val="24"/>
          <w:szCs w:val="24"/>
        </w:rPr>
        <w:t>.</w:t>
      </w:r>
    </w:p>
    <w:p w14:paraId="06275AEC" w14:textId="77777777" w:rsidR="00203593" w:rsidRPr="00DC71E8" w:rsidRDefault="00837E29" w:rsidP="00837E29">
      <w:pPr>
        <w:spacing w:before="120" w:after="0"/>
        <w:rPr>
          <w:rFonts w:ascii="Times New Roman" w:hAnsi="Times New Roman" w:cs="Times New Roman"/>
          <w:b/>
          <w:sz w:val="20"/>
          <w:szCs w:val="20"/>
        </w:rPr>
      </w:pPr>
      <w:r w:rsidRPr="00DC71E8">
        <w:rPr>
          <w:rFonts w:ascii="Times New Roman" w:hAnsi="Times New Roman" w:cs="Times New Roman"/>
          <w:b/>
          <w:sz w:val="20"/>
          <w:szCs w:val="20"/>
        </w:rPr>
        <w:t>Tabuľka 3.1.16</w:t>
      </w:r>
      <w:r w:rsidR="00203593" w:rsidRPr="00DC71E8">
        <w:rPr>
          <w:rFonts w:ascii="Times New Roman" w:hAnsi="Times New Roman" w:cs="Times New Roman"/>
          <w:b/>
          <w:sz w:val="20"/>
          <w:szCs w:val="20"/>
        </w:rPr>
        <w:t xml:space="preserve"> Zariadenia sociálnej starostlivosti v Ko</w:t>
      </w:r>
      <w:r w:rsidRPr="00DC71E8">
        <w:rPr>
          <w:rFonts w:ascii="Times New Roman" w:hAnsi="Times New Roman" w:cs="Times New Roman"/>
          <w:b/>
          <w:sz w:val="20"/>
          <w:szCs w:val="20"/>
        </w:rPr>
        <w:t>paničiarskom regióne v roku 2014</w:t>
      </w:r>
    </w:p>
    <w:tbl>
      <w:tblPr>
        <w:tblW w:w="9017" w:type="dxa"/>
        <w:tblInd w:w="53" w:type="dxa"/>
        <w:tblCellMar>
          <w:left w:w="70" w:type="dxa"/>
          <w:right w:w="70" w:type="dxa"/>
        </w:tblCellMar>
        <w:tblLook w:val="0000" w:firstRow="0" w:lastRow="0" w:firstColumn="0" w:lastColumn="0" w:noHBand="0" w:noVBand="0"/>
      </w:tblPr>
      <w:tblGrid>
        <w:gridCol w:w="4837"/>
        <w:gridCol w:w="2740"/>
        <w:gridCol w:w="1440"/>
      </w:tblGrid>
      <w:tr w:rsidR="00203593" w:rsidRPr="00203593" w14:paraId="623AAEA4" w14:textId="77777777" w:rsidTr="00DC71E8">
        <w:trPr>
          <w:trHeight w:hRule="exact" w:val="284"/>
        </w:trPr>
        <w:tc>
          <w:tcPr>
            <w:tcW w:w="4837" w:type="dxa"/>
            <w:tcBorders>
              <w:top w:val="single" w:sz="4" w:space="0" w:color="auto"/>
              <w:left w:val="single" w:sz="4" w:space="0" w:color="auto"/>
              <w:bottom w:val="single" w:sz="4" w:space="0" w:color="auto"/>
              <w:right w:val="single" w:sz="4" w:space="0" w:color="auto"/>
            </w:tcBorders>
            <w:shd w:val="clear" w:color="auto" w:fill="D9D9D9"/>
          </w:tcPr>
          <w:p w14:paraId="2ED7B294"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Zariadenie sociálnej starostlivosti</w:t>
            </w:r>
          </w:p>
        </w:tc>
        <w:tc>
          <w:tcPr>
            <w:tcW w:w="2740" w:type="dxa"/>
            <w:tcBorders>
              <w:top w:val="single" w:sz="4" w:space="0" w:color="auto"/>
              <w:left w:val="nil"/>
              <w:bottom w:val="single" w:sz="4" w:space="0" w:color="auto"/>
              <w:right w:val="single" w:sz="4" w:space="0" w:color="auto"/>
            </w:tcBorders>
            <w:shd w:val="clear" w:color="auto" w:fill="D9D9D9"/>
          </w:tcPr>
          <w:p w14:paraId="23EA9D00"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Adresa</w:t>
            </w:r>
          </w:p>
        </w:tc>
        <w:tc>
          <w:tcPr>
            <w:tcW w:w="1440" w:type="dxa"/>
            <w:tcBorders>
              <w:top w:val="single" w:sz="4" w:space="0" w:color="auto"/>
              <w:left w:val="nil"/>
              <w:bottom w:val="single" w:sz="4" w:space="0" w:color="auto"/>
              <w:right w:val="single" w:sz="4" w:space="0" w:color="auto"/>
            </w:tcBorders>
            <w:shd w:val="clear" w:color="auto" w:fill="D9D9D9"/>
          </w:tcPr>
          <w:p w14:paraId="7A95DC8B"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Počet klientov</w:t>
            </w:r>
          </w:p>
        </w:tc>
      </w:tr>
      <w:tr w:rsidR="00203593" w:rsidRPr="00203593" w14:paraId="76E194B2"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004AA405"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Domov dôchodcov – Domov sociálnych služieb</w:t>
            </w:r>
          </w:p>
        </w:tc>
        <w:tc>
          <w:tcPr>
            <w:tcW w:w="2740" w:type="dxa"/>
            <w:tcBorders>
              <w:top w:val="nil"/>
              <w:left w:val="nil"/>
              <w:bottom w:val="single" w:sz="4" w:space="0" w:color="auto"/>
              <w:right w:val="single" w:sz="4" w:space="0" w:color="auto"/>
            </w:tcBorders>
            <w:shd w:val="clear" w:color="auto" w:fill="auto"/>
            <w:vAlign w:val="bottom"/>
          </w:tcPr>
          <w:p w14:paraId="4A831082"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 Staromyjavská 77</w:t>
            </w:r>
          </w:p>
        </w:tc>
        <w:tc>
          <w:tcPr>
            <w:tcW w:w="1440" w:type="dxa"/>
            <w:tcBorders>
              <w:top w:val="nil"/>
              <w:left w:val="nil"/>
              <w:bottom w:val="single" w:sz="4" w:space="0" w:color="auto"/>
              <w:right w:val="single" w:sz="4" w:space="0" w:color="auto"/>
            </w:tcBorders>
            <w:shd w:val="clear" w:color="auto" w:fill="auto"/>
          </w:tcPr>
          <w:p w14:paraId="211D2A04"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150</w:t>
            </w:r>
          </w:p>
        </w:tc>
      </w:tr>
      <w:tr w:rsidR="00203593" w:rsidRPr="00203593" w14:paraId="0062F24F"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4712682D"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Detský domov</w:t>
            </w:r>
          </w:p>
        </w:tc>
        <w:tc>
          <w:tcPr>
            <w:tcW w:w="2740" w:type="dxa"/>
            <w:tcBorders>
              <w:top w:val="nil"/>
              <w:left w:val="nil"/>
              <w:bottom w:val="single" w:sz="4" w:space="0" w:color="auto"/>
              <w:right w:val="single" w:sz="4" w:space="0" w:color="auto"/>
            </w:tcBorders>
            <w:shd w:val="clear" w:color="auto" w:fill="auto"/>
            <w:vAlign w:val="bottom"/>
          </w:tcPr>
          <w:p w14:paraId="2833556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 Brezovská 3</w:t>
            </w:r>
          </w:p>
        </w:tc>
        <w:tc>
          <w:tcPr>
            <w:tcW w:w="1440" w:type="dxa"/>
            <w:tcBorders>
              <w:top w:val="nil"/>
              <w:left w:val="nil"/>
              <w:bottom w:val="single" w:sz="4" w:space="0" w:color="auto"/>
              <w:right w:val="single" w:sz="4" w:space="0" w:color="auto"/>
            </w:tcBorders>
            <w:shd w:val="clear" w:color="auto" w:fill="auto"/>
          </w:tcPr>
          <w:p w14:paraId="545FF5BB"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20</w:t>
            </w:r>
          </w:p>
        </w:tc>
      </w:tr>
      <w:tr w:rsidR="00203593" w:rsidRPr="00203593" w14:paraId="566D1DBB"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6EF67F5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Domov pre osamelých rodičov ISTOTA</w:t>
            </w:r>
          </w:p>
        </w:tc>
        <w:tc>
          <w:tcPr>
            <w:tcW w:w="2740" w:type="dxa"/>
            <w:tcBorders>
              <w:top w:val="nil"/>
              <w:left w:val="nil"/>
              <w:bottom w:val="single" w:sz="4" w:space="0" w:color="auto"/>
              <w:right w:val="single" w:sz="4" w:space="0" w:color="auto"/>
            </w:tcBorders>
            <w:shd w:val="clear" w:color="auto" w:fill="auto"/>
            <w:vAlign w:val="bottom"/>
          </w:tcPr>
          <w:p w14:paraId="018000C1"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 Trokanova 236</w:t>
            </w:r>
          </w:p>
        </w:tc>
        <w:tc>
          <w:tcPr>
            <w:tcW w:w="1440" w:type="dxa"/>
            <w:tcBorders>
              <w:top w:val="nil"/>
              <w:left w:val="nil"/>
              <w:bottom w:val="single" w:sz="4" w:space="0" w:color="auto"/>
              <w:right w:val="single" w:sz="4" w:space="0" w:color="auto"/>
            </w:tcBorders>
            <w:shd w:val="clear" w:color="auto" w:fill="auto"/>
          </w:tcPr>
          <w:p w14:paraId="26A9AD61"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31</w:t>
            </w:r>
          </w:p>
        </w:tc>
      </w:tr>
      <w:tr w:rsidR="00203593" w:rsidRPr="00203593" w14:paraId="041EFAA8"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331A7CD1"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DSS pre deti a dospelých s dennou starostlivosťou ÚSVIT</w:t>
            </w:r>
          </w:p>
        </w:tc>
        <w:tc>
          <w:tcPr>
            <w:tcW w:w="2740" w:type="dxa"/>
            <w:tcBorders>
              <w:top w:val="nil"/>
              <w:left w:val="nil"/>
              <w:bottom w:val="single" w:sz="4" w:space="0" w:color="auto"/>
              <w:right w:val="single" w:sz="4" w:space="0" w:color="auto"/>
            </w:tcBorders>
            <w:shd w:val="clear" w:color="auto" w:fill="auto"/>
            <w:vAlign w:val="bottom"/>
          </w:tcPr>
          <w:p w14:paraId="1A33330C"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 Hoštáky 671/12</w:t>
            </w:r>
          </w:p>
        </w:tc>
        <w:tc>
          <w:tcPr>
            <w:tcW w:w="1440" w:type="dxa"/>
            <w:tcBorders>
              <w:top w:val="nil"/>
              <w:left w:val="nil"/>
              <w:bottom w:val="single" w:sz="4" w:space="0" w:color="auto"/>
              <w:right w:val="single" w:sz="4" w:space="0" w:color="auto"/>
            </w:tcBorders>
            <w:shd w:val="clear" w:color="auto" w:fill="auto"/>
          </w:tcPr>
          <w:p w14:paraId="393A1406"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20</w:t>
            </w:r>
          </w:p>
        </w:tc>
      </w:tr>
      <w:tr w:rsidR="00203593" w:rsidRPr="00203593" w14:paraId="36DB70A8"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3382B5A8"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Útulok</w:t>
            </w:r>
          </w:p>
        </w:tc>
        <w:tc>
          <w:tcPr>
            <w:tcW w:w="2740" w:type="dxa"/>
            <w:tcBorders>
              <w:top w:val="nil"/>
              <w:left w:val="nil"/>
              <w:bottom w:val="single" w:sz="4" w:space="0" w:color="auto"/>
              <w:right w:val="single" w:sz="4" w:space="0" w:color="auto"/>
            </w:tcBorders>
            <w:shd w:val="clear" w:color="auto" w:fill="auto"/>
            <w:vAlign w:val="bottom"/>
          </w:tcPr>
          <w:p w14:paraId="387FB178"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 Trokanova 236</w:t>
            </w:r>
          </w:p>
        </w:tc>
        <w:tc>
          <w:tcPr>
            <w:tcW w:w="1440" w:type="dxa"/>
            <w:tcBorders>
              <w:top w:val="nil"/>
              <w:left w:val="nil"/>
              <w:bottom w:val="single" w:sz="4" w:space="0" w:color="auto"/>
              <w:right w:val="single" w:sz="4" w:space="0" w:color="auto"/>
            </w:tcBorders>
            <w:shd w:val="clear" w:color="auto" w:fill="auto"/>
          </w:tcPr>
          <w:p w14:paraId="15C80E5B"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17</w:t>
            </w:r>
          </w:p>
        </w:tc>
      </w:tr>
      <w:tr w:rsidR="00DC71E8" w:rsidRPr="00203593" w14:paraId="4C514ED7" w14:textId="77777777" w:rsidTr="00DC71E8">
        <w:trPr>
          <w:trHeight w:hRule="exact" w:val="291"/>
        </w:trPr>
        <w:tc>
          <w:tcPr>
            <w:tcW w:w="4837" w:type="dxa"/>
            <w:tcBorders>
              <w:top w:val="nil"/>
              <w:left w:val="single" w:sz="4" w:space="0" w:color="auto"/>
              <w:bottom w:val="single" w:sz="4" w:space="0" w:color="auto"/>
              <w:right w:val="single" w:sz="4" w:space="0" w:color="auto"/>
            </w:tcBorders>
            <w:shd w:val="clear" w:color="auto" w:fill="auto"/>
            <w:vAlign w:val="bottom"/>
          </w:tcPr>
          <w:p w14:paraId="1B7DAE55" w14:textId="77777777" w:rsidR="00DC71E8" w:rsidRPr="00203593" w:rsidRDefault="00DC71E8" w:rsidP="007E10F7">
            <w:pPr>
              <w:rPr>
                <w:rFonts w:ascii="Times New Roman" w:hAnsi="Times New Roman" w:cs="Times New Roman"/>
                <w:sz w:val="20"/>
                <w:szCs w:val="20"/>
              </w:rPr>
            </w:pPr>
            <w:r>
              <w:rPr>
                <w:rFonts w:ascii="Times New Roman" w:hAnsi="Times New Roman" w:cs="Times New Roman"/>
                <w:sz w:val="20"/>
                <w:szCs w:val="20"/>
              </w:rPr>
              <w:t>ZOS Nezábudka</w:t>
            </w:r>
          </w:p>
        </w:tc>
        <w:tc>
          <w:tcPr>
            <w:tcW w:w="2740" w:type="dxa"/>
            <w:tcBorders>
              <w:top w:val="nil"/>
              <w:left w:val="nil"/>
              <w:bottom w:val="single" w:sz="4" w:space="0" w:color="auto"/>
              <w:right w:val="single" w:sz="4" w:space="0" w:color="auto"/>
            </w:tcBorders>
            <w:shd w:val="clear" w:color="auto" w:fill="auto"/>
            <w:vAlign w:val="bottom"/>
          </w:tcPr>
          <w:p w14:paraId="3F95A96D" w14:textId="77777777" w:rsidR="00DC71E8" w:rsidRPr="00203593" w:rsidRDefault="00DC71E8" w:rsidP="007E10F7">
            <w:pPr>
              <w:rPr>
                <w:rFonts w:ascii="Times New Roman" w:hAnsi="Times New Roman" w:cs="Times New Roman"/>
                <w:sz w:val="20"/>
                <w:szCs w:val="20"/>
              </w:rPr>
            </w:pPr>
            <w:r>
              <w:rPr>
                <w:rFonts w:ascii="Times New Roman" w:hAnsi="Times New Roman" w:cs="Times New Roman"/>
                <w:sz w:val="20"/>
                <w:szCs w:val="20"/>
              </w:rPr>
              <w:t>Myjava, Hurbanova ul. 621/13</w:t>
            </w:r>
          </w:p>
        </w:tc>
        <w:tc>
          <w:tcPr>
            <w:tcW w:w="1440" w:type="dxa"/>
            <w:tcBorders>
              <w:top w:val="nil"/>
              <w:left w:val="nil"/>
              <w:bottom w:val="single" w:sz="4" w:space="0" w:color="auto"/>
              <w:right w:val="single" w:sz="4" w:space="0" w:color="auto"/>
            </w:tcBorders>
            <w:shd w:val="clear" w:color="auto" w:fill="auto"/>
          </w:tcPr>
          <w:p w14:paraId="6B919D6D" w14:textId="77777777" w:rsidR="00DC71E8" w:rsidRPr="00203593" w:rsidRDefault="00DC71E8" w:rsidP="007E10F7">
            <w:pPr>
              <w:jc w:val="center"/>
              <w:rPr>
                <w:rFonts w:ascii="Times New Roman" w:hAnsi="Times New Roman" w:cs="Times New Roman"/>
                <w:sz w:val="20"/>
                <w:szCs w:val="20"/>
              </w:rPr>
            </w:pPr>
            <w:r>
              <w:rPr>
                <w:rFonts w:ascii="Times New Roman" w:hAnsi="Times New Roman" w:cs="Times New Roman"/>
                <w:sz w:val="20"/>
                <w:szCs w:val="20"/>
              </w:rPr>
              <w:t>100</w:t>
            </w:r>
          </w:p>
        </w:tc>
      </w:tr>
      <w:tr w:rsidR="00203593" w:rsidRPr="00203593" w14:paraId="26CC9DDF"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vAlign w:val="bottom"/>
          </w:tcPr>
          <w:p w14:paraId="664A6BD7"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Domov dôchodcov - Domov sociálnych služieb</w:t>
            </w:r>
          </w:p>
        </w:tc>
        <w:tc>
          <w:tcPr>
            <w:tcW w:w="2740" w:type="dxa"/>
            <w:tcBorders>
              <w:top w:val="nil"/>
              <w:left w:val="nil"/>
              <w:bottom w:val="single" w:sz="4" w:space="0" w:color="auto"/>
              <w:right w:val="single" w:sz="4" w:space="0" w:color="auto"/>
            </w:tcBorders>
            <w:shd w:val="clear" w:color="auto" w:fill="auto"/>
            <w:vAlign w:val="bottom"/>
          </w:tcPr>
          <w:p w14:paraId="5017F9DC"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Bzince pod Javorinou</w:t>
            </w:r>
          </w:p>
        </w:tc>
        <w:tc>
          <w:tcPr>
            <w:tcW w:w="1440" w:type="dxa"/>
            <w:tcBorders>
              <w:top w:val="nil"/>
              <w:left w:val="nil"/>
              <w:bottom w:val="single" w:sz="4" w:space="0" w:color="auto"/>
              <w:right w:val="single" w:sz="4" w:space="0" w:color="auto"/>
            </w:tcBorders>
            <w:shd w:val="clear" w:color="auto" w:fill="auto"/>
          </w:tcPr>
          <w:p w14:paraId="42D95632"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49</w:t>
            </w:r>
          </w:p>
        </w:tc>
      </w:tr>
      <w:tr w:rsidR="00203593" w:rsidRPr="00203593" w14:paraId="2E4D8243"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tcPr>
          <w:p w14:paraId="12D1487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Penzión Diana – DSS</w:t>
            </w:r>
          </w:p>
        </w:tc>
        <w:tc>
          <w:tcPr>
            <w:tcW w:w="2740" w:type="dxa"/>
            <w:tcBorders>
              <w:top w:val="nil"/>
              <w:left w:val="nil"/>
              <w:bottom w:val="single" w:sz="4" w:space="0" w:color="auto"/>
              <w:right w:val="single" w:sz="4" w:space="0" w:color="auto"/>
            </w:tcBorders>
            <w:shd w:val="clear" w:color="auto" w:fill="auto"/>
            <w:vAlign w:val="bottom"/>
          </w:tcPr>
          <w:p w14:paraId="01D57F2F"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Krajné 292</w:t>
            </w:r>
          </w:p>
        </w:tc>
        <w:tc>
          <w:tcPr>
            <w:tcW w:w="1440" w:type="dxa"/>
            <w:tcBorders>
              <w:top w:val="nil"/>
              <w:left w:val="nil"/>
              <w:bottom w:val="single" w:sz="4" w:space="0" w:color="auto"/>
              <w:right w:val="single" w:sz="4" w:space="0" w:color="auto"/>
            </w:tcBorders>
            <w:shd w:val="clear" w:color="auto" w:fill="auto"/>
            <w:noWrap/>
            <w:vAlign w:val="bottom"/>
          </w:tcPr>
          <w:p w14:paraId="767CD6E8"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120</w:t>
            </w:r>
          </w:p>
        </w:tc>
      </w:tr>
      <w:tr w:rsidR="00203593" w:rsidRPr="00203593" w14:paraId="2E8F7205"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vAlign w:val="bottom"/>
          </w:tcPr>
          <w:p w14:paraId="6E8B182F"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Domov dôchodcov - Domov sociálnych služieb</w:t>
            </w:r>
          </w:p>
        </w:tc>
        <w:tc>
          <w:tcPr>
            <w:tcW w:w="2740" w:type="dxa"/>
            <w:tcBorders>
              <w:top w:val="nil"/>
              <w:left w:val="nil"/>
              <w:bottom w:val="single" w:sz="4" w:space="0" w:color="auto"/>
              <w:right w:val="single" w:sz="4" w:space="0" w:color="auto"/>
            </w:tcBorders>
            <w:shd w:val="clear" w:color="auto" w:fill="auto"/>
            <w:vAlign w:val="bottom"/>
          </w:tcPr>
          <w:p w14:paraId="692BA6B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Stará Turá - Papraď 1595</w:t>
            </w:r>
          </w:p>
        </w:tc>
        <w:tc>
          <w:tcPr>
            <w:tcW w:w="1440" w:type="dxa"/>
            <w:tcBorders>
              <w:top w:val="nil"/>
              <w:left w:val="nil"/>
              <w:bottom w:val="single" w:sz="4" w:space="0" w:color="auto"/>
              <w:right w:val="single" w:sz="4" w:space="0" w:color="auto"/>
            </w:tcBorders>
            <w:shd w:val="clear" w:color="auto" w:fill="auto"/>
            <w:noWrap/>
            <w:vAlign w:val="bottom"/>
          </w:tcPr>
          <w:p w14:paraId="4AA81DE3"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50</w:t>
            </w:r>
          </w:p>
        </w:tc>
      </w:tr>
      <w:tr w:rsidR="00203593" w:rsidRPr="00203593" w14:paraId="6A905537" w14:textId="77777777" w:rsidTr="00DC71E8">
        <w:trPr>
          <w:trHeight w:hRule="exact" w:val="284"/>
        </w:trPr>
        <w:tc>
          <w:tcPr>
            <w:tcW w:w="4837" w:type="dxa"/>
            <w:tcBorders>
              <w:top w:val="nil"/>
              <w:left w:val="single" w:sz="4" w:space="0" w:color="auto"/>
              <w:bottom w:val="single" w:sz="4" w:space="0" w:color="auto"/>
              <w:right w:val="single" w:sz="4" w:space="0" w:color="auto"/>
            </w:tcBorders>
            <w:shd w:val="clear" w:color="auto" w:fill="auto"/>
            <w:vAlign w:val="bottom"/>
          </w:tcPr>
          <w:p w14:paraId="5015FA83"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Domov dôchodcov</w:t>
            </w:r>
          </w:p>
        </w:tc>
        <w:tc>
          <w:tcPr>
            <w:tcW w:w="2740" w:type="dxa"/>
            <w:tcBorders>
              <w:top w:val="nil"/>
              <w:left w:val="nil"/>
              <w:bottom w:val="single" w:sz="4" w:space="0" w:color="auto"/>
              <w:right w:val="single" w:sz="4" w:space="0" w:color="auto"/>
            </w:tcBorders>
            <w:shd w:val="clear" w:color="auto" w:fill="auto"/>
            <w:vAlign w:val="bottom"/>
          </w:tcPr>
          <w:p w14:paraId="7638657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Hrachovište 256</w:t>
            </w:r>
          </w:p>
        </w:tc>
        <w:tc>
          <w:tcPr>
            <w:tcW w:w="1440" w:type="dxa"/>
            <w:tcBorders>
              <w:top w:val="nil"/>
              <w:left w:val="nil"/>
              <w:bottom w:val="single" w:sz="4" w:space="0" w:color="auto"/>
              <w:right w:val="single" w:sz="4" w:space="0" w:color="auto"/>
            </w:tcBorders>
            <w:shd w:val="clear" w:color="auto" w:fill="auto"/>
            <w:noWrap/>
            <w:vAlign w:val="bottom"/>
          </w:tcPr>
          <w:p w14:paraId="6C99FD1E" w14:textId="77777777" w:rsidR="00203593" w:rsidRPr="00203593" w:rsidRDefault="00203593" w:rsidP="007E10F7">
            <w:pPr>
              <w:jc w:val="center"/>
              <w:rPr>
                <w:rFonts w:ascii="Times New Roman" w:hAnsi="Times New Roman" w:cs="Times New Roman"/>
                <w:sz w:val="20"/>
                <w:szCs w:val="20"/>
              </w:rPr>
            </w:pPr>
            <w:r w:rsidRPr="00203593">
              <w:rPr>
                <w:rFonts w:ascii="Times New Roman" w:hAnsi="Times New Roman" w:cs="Times New Roman"/>
                <w:sz w:val="20"/>
                <w:szCs w:val="20"/>
              </w:rPr>
              <w:t>50</w:t>
            </w:r>
          </w:p>
        </w:tc>
      </w:tr>
    </w:tbl>
    <w:p w14:paraId="3E221FC8" w14:textId="77777777" w:rsidR="00203593" w:rsidRDefault="00203593" w:rsidP="00FE2F69">
      <w:pPr>
        <w:spacing w:after="0" w:line="360" w:lineRule="auto"/>
        <w:jc w:val="both"/>
        <w:rPr>
          <w:rFonts w:ascii="Times New Roman" w:hAnsi="Times New Roman" w:cs="Times New Roman"/>
          <w:sz w:val="24"/>
          <w:szCs w:val="24"/>
        </w:rPr>
      </w:pPr>
    </w:p>
    <w:p w14:paraId="3E2A1EB6" w14:textId="77777777" w:rsidR="00203593" w:rsidRPr="00E225CE" w:rsidRDefault="00203593" w:rsidP="00FE2F69">
      <w:pPr>
        <w:spacing w:after="0" w:line="360" w:lineRule="auto"/>
        <w:jc w:val="both"/>
        <w:rPr>
          <w:rFonts w:ascii="Times New Roman" w:hAnsi="Times New Roman" w:cs="Times New Roman"/>
          <w:sz w:val="24"/>
          <w:szCs w:val="24"/>
        </w:rPr>
      </w:pPr>
    </w:p>
    <w:p w14:paraId="70E90AE6" w14:textId="77777777" w:rsid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E225CE" w:rsidRPr="00E225CE">
        <w:rPr>
          <w:rFonts w:ascii="Times New Roman" w:hAnsi="Times New Roman" w:cs="Times New Roman"/>
          <w:sz w:val="24"/>
          <w:szCs w:val="24"/>
        </w:rPr>
        <w:t xml:space="preserve">V ostatných obciach sa nenachádzajú žiadne zariadenia ubytovacieho charakteru, poskytujúce sociálnu starostlivosť. Niektoré obce majú zriadenú opatrovateľskú službu pre starých, resp. </w:t>
      </w:r>
      <w:r w:rsidR="00E225CE" w:rsidRPr="00DC71E8">
        <w:rPr>
          <w:rFonts w:ascii="Times New Roman" w:hAnsi="Times New Roman" w:cs="Times New Roman"/>
          <w:sz w:val="24"/>
          <w:szCs w:val="24"/>
        </w:rPr>
        <w:t xml:space="preserve">chorých občanov, príp. zabezpečujú rozvoz stravy najmä pre starších občanov, čo dokumentuje tabuľka </w:t>
      </w:r>
      <w:r w:rsidRPr="00DC71E8">
        <w:rPr>
          <w:rFonts w:ascii="Times New Roman" w:hAnsi="Times New Roman" w:cs="Times New Roman"/>
          <w:sz w:val="24"/>
          <w:szCs w:val="24"/>
        </w:rPr>
        <w:t>3.1.17</w:t>
      </w:r>
      <w:r w:rsidR="00E225CE" w:rsidRPr="00DC71E8">
        <w:rPr>
          <w:rFonts w:ascii="Times New Roman" w:hAnsi="Times New Roman" w:cs="Times New Roman"/>
          <w:sz w:val="24"/>
          <w:szCs w:val="24"/>
        </w:rPr>
        <w:t>.</w:t>
      </w:r>
    </w:p>
    <w:p w14:paraId="37541124" w14:textId="77777777" w:rsidR="00837E29" w:rsidRPr="00F560B2" w:rsidRDefault="00837E29" w:rsidP="00837E29">
      <w:pPr>
        <w:pStyle w:val="Zarkazkladnhotextu"/>
        <w:spacing w:before="120" w:after="0"/>
        <w:ind w:left="0"/>
        <w:jc w:val="both"/>
        <w:rPr>
          <w:b/>
          <w:sz w:val="20"/>
          <w:szCs w:val="20"/>
        </w:rPr>
      </w:pPr>
      <w:r w:rsidRPr="00F560B2">
        <w:rPr>
          <w:b/>
          <w:sz w:val="20"/>
          <w:szCs w:val="20"/>
        </w:rPr>
        <w:t>Tabuľka 3.1.17 Subjekty v Kopaničiarskom regióne  poskytujúce opatrovateľskú službu, prepravnú službu a organizovanie spoločného stravovania v roku 2014</w:t>
      </w:r>
    </w:p>
    <w:tbl>
      <w:tblPr>
        <w:tblW w:w="9015" w:type="dxa"/>
        <w:tblInd w:w="55" w:type="dxa"/>
        <w:tblCellMar>
          <w:left w:w="70" w:type="dxa"/>
          <w:right w:w="70" w:type="dxa"/>
        </w:tblCellMar>
        <w:tblLook w:val="0000" w:firstRow="0" w:lastRow="0" w:firstColumn="0" w:lastColumn="0" w:noHBand="0" w:noVBand="0"/>
      </w:tblPr>
      <w:tblGrid>
        <w:gridCol w:w="1275"/>
        <w:gridCol w:w="2880"/>
        <w:gridCol w:w="2520"/>
        <w:gridCol w:w="2340"/>
      </w:tblGrid>
      <w:tr w:rsidR="00203593" w:rsidRPr="00203593" w14:paraId="170E375E" w14:textId="77777777" w:rsidTr="00837E29">
        <w:trPr>
          <w:trHeight w:hRule="exact" w:val="284"/>
        </w:trPr>
        <w:tc>
          <w:tcPr>
            <w:tcW w:w="1275"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2F226806"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Obec</w:t>
            </w:r>
          </w:p>
        </w:tc>
        <w:tc>
          <w:tcPr>
            <w:tcW w:w="2880" w:type="dxa"/>
            <w:tcBorders>
              <w:top w:val="single" w:sz="8" w:space="0" w:color="auto"/>
              <w:left w:val="nil"/>
              <w:bottom w:val="single" w:sz="8" w:space="0" w:color="auto"/>
              <w:right w:val="single" w:sz="4" w:space="0" w:color="auto"/>
            </w:tcBorders>
            <w:shd w:val="clear" w:color="auto" w:fill="D9D9D9"/>
            <w:noWrap/>
            <w:vAlign w:val="bottom"/>
          </w:tcPr>
          <w:p w14:paraId="55FD6EC4"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Názov</w:t>
            </w:r>
          </w:p>
        </w:tc>
        <w:tc>
          <w:tcPr>
            <w:tcW w:w="2520" w:type="dxa"/>
            <w:tcBorders>
              <w:top w:val="single" w:sz="8" w:space="0" w:color="auto"/>
              <w:left w:val="nil"/>
              <w:bottom w:val="single" w:sz="8" w:space="0" w:color="auto"/>
              <w:right w:val="nil"/>
            </w:tcBorders>
            <w:shd w:val="clear" w:color="auto" w:fill="D9D9D9"/>
            <w:noWrap/>
            <w:vAlign w:val="bottom"/>
          </w:tcPr>
          <w:p w14:paraId="768F4511"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Adresa</w:t>
            </w:r>
          </w:p>
        </w:tc>
        <w:tc>
          <w:tcPr>
            <w:tcW w:w="2340" w:type="dxa"/>
            <w:tcBorders>
              <w:top w:val="single" w:sz="8" w:space="0" w:color="auto"/>
              <w:left w:val="single" w:sz="4" w:space="0" w:color="auto"/>
              <w:bottom w:val="single" w:sz="8" w:space="0" w:color="auto"/>
              <w:right w:val="single" w:sz="8" w:space="0" w:color="auto"/>
            </w:tcBorders>
            <w:shd w:val="clear" w:color="auto" w:fill="D9D9D9"/>
            <w:noWrap/>
            <w:vAlign w:val="bottom"/>
          </w:tcPr>
          <w:p w14:paraId="7159A4A5" w14:textId="77777777" w:rsidR="00203593" w:rsidRPr="00203593" w:rsidRDefault="00203593" w:rsidP="007E10F7">
            <w:pPr>
              <w:rPr>
                <w:rFonts w:ascii="Times New Roman" w:hAnsi="Times New Roman" w:cs="Times New Roman"/>
                <w:b/>
                <w:bCs/>
                <w:sz w:val="20"/>
                <w:szCs w:val="20"/>
              </w:rPr>
            </w:pPr>
            <w:r w:rsidRPr="00203593">
              <w:rPr>
                <w:rFonts w:ascii="Times New Roman" w:hAnsi="Times New Roman" w:cs="Times New Roman"/>
                <w:b/>
                <w:bCs/>
                <w:sz w:val="20"/>
                <w:szCs w:val="20"/>
              </w:rPr>
              <w:t>Typ služby</w:t>
            </w:r>
          </w:p>
        </w:tc>
      </w:tr>
      <w:tr w:rsidR="00203593" w:rsidRPr="00203593" w14:paraId="4654DD12"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176EDA82"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Brezová pod Bradlom</w:t>
            </w:r>
          </w:p>
        </w:tc>
        <w:tc>
          <w:tcPr>
            <w:tcW w:w="2880" w:type="dxa"/>
            <w:tcBorders>
              <w:top w:val="nil"/>
              <w:left w:val="nil"/>
              <w:bottom w:val="single" w:sz="4" w:space="0" w:color="auto"/>
              <w:right w:val="single" w:sz="4" w:space="0" w:color="auto"/>
            </w:tcBorders>
            <w:shd w:val="clear" w:color="auto" w:fill="auto"/>
            <w:noWrap/>
            <w:vAlign w:val="center"/>
          </w:tcPr>
          <w:p w14:paraId="12C15A09"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U Sváka Ragana, spol. s.r.o.</w:t>
            </w:r>
          </w:p>
        </w:tc>
        <w:tc>
          <w:tcPr>
            <w:tcW w:w="2520" w:type="dxa"/>
            <w:tcBorders>
              <w:top w:val="nil"/>
              <w:left w:val="nil"/>
              <w:bottom w:val="single" w:sz="4" w:space="0" w:color="auto"/>
              <w:right w:val="single" w:sz="4" w:space="0" w:color="auto"/>
            </w:tcBorders>
            <w:shd w:val="clear" w:color="auto" w:fill="auto"/>
            <w:noWrap/>
            <w:vAlign w:val="center"/>
          </w:tcPr>
          <w:p w14:paraId="1EA7D693"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D. Jurkoviča 415</w:t>
            </w:r>
          </w:p>
        </w:tc>
        <w:tc>
          <w:tcPr>
            <w:tcW w:w="2340" w:type="dxa"/>
            <w:tcBorders>
              <w:top w:val="nil"/>
              <w:left w:val="nil"/>
              <w:bottom w:val="single" w:sz="4" w:space="0" w:color="auto"/>
              <w:right w:val="single" w:sz="8" w:space="0" w:color="auto"/>
            </w:tcBorders>
            <w:shd w:val="clear" w:color="auto" w:fill="auto"/>
            <w:noWrap/>
            <w:vAlign w:val="center"/>
          </w:tcPr>
          <w:p w14:paraId="27DF8DEF"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stravovanie pre dôchodcov</w:t>
            </w:r>
          </w:p>
        </w:tc>
      </w:tr>
      <w:tr w:rsidR="00203593" w:rsidRPr="00203593" w14:paraId="55889FFF" w14:textId="77777777" w:rsidTr="00837E29">
        <w:trPr>
          <w:trHeight w:hRule="exact" w:val="284"/>
        </w:trPr>
        <w:tc>
          <w:tcPr>
            <w:tcW w:w="1275" w:type="dxa"/>
            <w:vMerge w:val="restart"/>
            <w:tcBorders>
              <w:top w:val="nil"/>
              <w:left w:val="single" w:sz="8" w:space="0" w:color="auto"/>
              <w:bottom w:val="single" w:sz="4" w:space="0" w:color="000000"/>
              <w:right w:val="single" w:sz="8" w:space="0" w:color="auto"/>
            </w:tcBorders>
            <w:shd w:val="clear" w:color="auto" w:fill="auto"/>
            <w:noWrap/>
            <w:vAlign w:val="center"/>
          </w:tcPr>
          <w:p w14:paraId="40B1CDD0"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Hrachovište</w:t>
            </w:r>
          </w:p>
        </w:tc>
        <w:tc>
          <w:tcPr>
            <w:tcW w:w="2880" w:type="dxa"/>
            <w:tcBorders>
              <w:top w:val="nil"/>
              <w:left w:val="nil"/>
              <w:bottom w:val="single" w:sz="4" w:space="0" w:color="auto"/>
              <w:right w:val="single" w:sz="4" w:space="0" w:color="auto"/>
            </w:tcBorders>
            <w:shd w:val="clear" w:color="auto" w:fill="auto"/>
            <w:noWrap/>
            <w:vAlign w:val="center"/>
          </w:tcPr>
          <w:p w14:paraId="003168F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Obec Hrachovište</w:t>
            </w:r>
          </w:p>
        </w:tc>
        <w:tc>
          <w:tcPr>
            <w:tcW w:w="2520" w:type="dxa"/>
            <w:tcBorders>
              <w:top w:val="nil"/>
              <w:left w:val="nil"/>
              <w:bottom w:val="single" w:sz="4" w:space="0" w:color="auto"/>
              <w:right w:val="single" w:sz="4" w:space="0" w:color="auto"/>
            </w:tcBorders>
            <w:shd w:val="clear" w:color="auto" w:fill="auto"/>
            <w:noWrap/>
            <w:vAlign w:val="center"/>
          </w:tcPr>
          <w:p w14:paraId="0294EC15"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Hrachovište 255</w:t>
            </w:r>
          </w:p>
        </w:tc>
        <w:tc>
          <w:tcPr>
            <w:tcW w:w="2340" w:type="dxa"/>
            <w:tcBorders>
              <w:top w:val="nil"/>
              <w:left w:val="nil"/>
              <w:bottom w:val="single" w:sz="4" w:space="0" w:color="auto"/>
              <w:right w:val="single" w:sz="8" w:space="0" w:color="auto"/>
            </w:tcBorders>
            <w:shd w:val="clear" w:color="auto" w:fill="auto"/>
            <w:noWrap/>
            <w:vAlign w:val="center"/>
          </w:tcPr>
          <w:p w14:paraId="26318A05"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opatrovateľská služba</w:t>
            </w:r>
          </w:p>
        </w:tc>
      </w:tr>
      <w:tr w:rsidR="00203593" w:rsidRPr="00203593" w14:paraId="5615D370" w14:textId="77777777" w:rsidTr="00837E29">
        <w:trPr>
          <w:trHeight w:hRule="exact" w:val="284"/>
        </w:trPr>
        <w:tc>
          <w:tcPr>
            <w:tcW w:w="1275" w:type="dxa"/>
            <w:vMerge/>
            <w:tcBorders>
              <w:top w:val="nil"/>
              <w:left w:val="single" w:sz="8" w:space="0" w:color="auto"/>
              <w:bottom w:val="single" w:sz="4" w:space="0" w:color="000000"/>
              <w:right w:val="single" w:sz="8" w:space="0" w:color="auto"/>
            </w:tcBorders>
            <w:vAlign w:val="center"/>
          </w:tcPr>
          <w:p w14:paraId="756ECA72" w14:textId="77777777" w:rsidR="00203593" w:rsidRPr="00203593" w:rsidRDefault="00203593" w:rsidP="007E10F7">
            <w:pPr>
              <w:rPr>
                <w:rFonts w:ascii="Times New Roman" w:hAnsi="Times New Roman" w:cs="Times New Roman"/>
                <w:sz w:val="20"/>
                <w:szCs w:val="20"/>
              </w:rPr>
            </w:pPr>
          </w:p>
        </w:tc>
        <w:tc>
          <w:tcPr>
            <w:tcW w:w="2880" w:type="dxa"/>
            <w:tcBorders>
              <w:top w:val="nil"/>
              <w:left w:val="nil"/>
              <w:bottom w:val="single" w:sz="4" w:space="0" w:color="auto"/>
              <w:right w:val="single" w:sz="4" w:space="0" w:color="auto"/>
            </w:tcBorders>
            <w:shd w:val="clear" w:color="auto" w:fill="auto"/>
            <w:noWrap/>
            <w:vAlign w:val="center"/>
          </w:tcPr>
          <w:p w14:paraId="3659609D"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Medo s.r.o.</w:t>
            </w:r>
          </w:p>
        </w:tc>
        <w:tc>
          <w:tcPr>
            <w:tcW w:w="2520" w:type="dxa"/>
            <w:tcBorders>
              <w:top w:val="nil"/>
              <w:left w:val="nil"/>
              <w:bottom w:val="single" w:sz="4" w:space="0" w:color="auto"/>
              <w:right w:val="single" w:sz="4" w:space="0" w:color="auto"/>
            </w:tcBorders>
            <w:shd w:val="clear" w:color="auto" w:fill="auto"/>
            <w:noWrap/>
            <w:vAlign w:val="center"/>
          </w:tcPr>
          <w:p w14:paraId="1DDC41C7"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Ul. ČS Armády 889, Jablonica</w:t>
            </w:r>
          </w:p>
        </w:tc>
        <w:tc>
          <w:tcPr>
            <w:tcW w:w="2340" w:type="dxa"/>
            <w:tcBorders>
              <w:top w:val="nil"/>
              <w:left w:val="nil"/>
              <w:bottom w:val="single" w:sz="4" w:space="0" w:color="auto"/>
              <w:right w:val="single" w:sz="8" w:space="0" w:color="auto"/>
            </w:tcBorders>
            <w:shd w:val="clear" w:color="auto" w:fill="auto"/>
            <w:noWrap/>
            <w:vAlign w:val="center"/>
          </w:tcPr>
          <w:p w14:paraId="25D4217F"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rozvoz stravy</w:t>
            </w:r>
          </w:p>
        </w:tc>
      </w:tr>
      <w:tr w:rsidR="00203593" w:rsidRPr="00203593" w14:paraId="19C87A9A"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1E5D4269"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 xml:space="preserve">Jablonka </w:t>
            </w:r>
          </w:p>
        </w:tc>
        <w:tc>
          <w:tcPr>
            <w:tcW w:w="2880" w:type="dxa"/>
            <w:tcBorders>
              <w:top w:val="nil"/>
              <w:left w:val="nil"/>
              <w:bottom w:val="single" w:sz="4" w:space="0" w:color="auto"/>
              <w:right w:val="single" w:sz="4" w:space="0" w:color="auto"/>
            </w:tcBorders>
            <w:shd w:val="clear" w:color="auto" w:fill="auto"/>
            <w:noWrap/>
            <w:vAlign w:val="center"/>
          </w:tcPr>
          <w:p w14:paraId="7AC97DFF"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 xml:space="preserve">Obec Jablonka </w:t>
            </w:r>
          </w:p>
        </w:tc>
        <w:tc>
          <w:tcPr>
            <w:tcW w:w="2520" w:type="dxa"/>
            <w:tcBorders>
              <w:top w:val="nil"/>
              <w:left w:val="nil"/>
              <w:bottom w:val="single" w:sz="4" w:space="0" w:color="auto"/>
              <w:right w:val="single" w:sz="4" w:space="0" w:color="auto"/>
            </w:tcBorders>
            <w:shd w:val="clear" w:color="auto" w:fill="auto"/>
            <w:noWrap/>
            <w:vAlign w:val="center"/>
          </w:tcPr>
          <w:p w14:paraId="1EF3A742"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Jablonka 51</w:t>
            </w:r>
          </w:p>
        </w:tc>
        <w:tc>
          <w:tcPr>
            <w:tcW w:w="2340" w:type="dxa"/>
            <w:tcBorders>
              <w:top w:val="nil"/>
              <w:left w:val="nil"/>
              <w:bottom w:val="single" w:sz="4" w:space="0" w:color="auto"/>
              <w:right w:val="single" w:sz="8" w:space="0" w:color="auto"/>
            </w:tcBorders>
            <w:shd w:val="clear" w:color="auto" w:fill="auto"/>
            <w:noWrap/>
            <w:vAlign w:val="center"/>
          </w:tcPr>
          <w:p w14:paraId="04646021"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rozvoz obedov dôchodcom</w:t>
            </w:r>
          </w:p>
        </w:tc>
      </w:tr>
      <w:tr w:rsidR="00203593" w:rsidRPr="00203593" w14:paraId="69F902BD"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3B142AA8"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Kostolné</w:t>
            </w:r>
          </w:p>
        </w:tc>
        <w:tc>
          <w:tcPr>
            <w:tcW w:w="2880" w:type="dxa"/>
            <w:tcBorders>
              <w:top w:val="nil"/>
              <w:left w:val="nil"/>
              <w:bottom w:val="single" w:sz="4" w:space="0" w:color="auto"/>
              <w:right w:val="single" w:sz="4" w:space="0" w:color="auto"/>
            </w:tcBorders>
            <w:shd w:val="clear" w:color="auto" w:fill="auto"/>
            <w:noWrap/>
            <w:vAlign w:val="center"/>
          </w:tcPr>
          <w:p w14:paraId="0FB5382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Obec Kostolné</w:t>
            </w:r>
          </w:p>
        </w:tc>
        <w:tc>
          <w:tcPr>
            <w:tcW w:w="2520" w:type="dxa"/>
            <w:tcBorders>
              <w:top w:val="nil"/>
              <w:left w:val="nil"/>
              <w:bottom w:val="single" w:sz="4" w:space="0" w:color="auto"/>
              <w:right w:val="single" w:sz="4" w:space="0" w:color="auto"/>
            </w:tcBorders>
            <w:shd w:val="clear" w:color="auto" w:fill="auto"/>
            <w:noWrap/>
            <w:vAlign w:val="center"/>
          </w:tcPr>
          <w:p w14:paraId="3638618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Kostolné 1</w:t>
            </w:r>
          </w:p>
        </w:tc>
        <w:tc>
          <w:tcPr>
            <w:tcW w:w="2340" w:type="dxa"/>
            <w:tcBorders>
              <w:top w:val="nil"/>
              <w:left w:val="nil"/>
              <w:bottom w:val="single" w:sz="4" w:space="0" w:color="auto"/>
              <w:right w:val="single" w:sz="8" w:space="0" w:color="auto"/>
            </w:tcBorders>
            <w:shd w:val="clear" w:color="auto" w:fill="auto"/>
            <w:noWrap/>
            <w:vAlign w:val="center"/>
          </w:tcPr>
          <w:p w14:paraId="2C022959"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opatrovateľská služba</w:t>
            </w:r>
          </w:p>
        </w:tc>
      </w:tr>
      <w:tr w:rsidR="00203593" w:rsidRPr="00203593" w14:paraId="622493C1"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10EAEA79"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Myjava</w:t>
            </w:r>
          </w:p>
        </w:tc>
        <w:tc>
          <w:tcPr>
            <w:tcW w:w="2880" w:type="dxa"/>
            <w:tcBorders>
              <w:top w:val="nil"/>
              <w:left w:val="nil"/>
              <w:bottom w:val="single" w:sz="4" w:space="0" w:color="auto"/>
              <w:right w:val="single" w:sz="4" w:space="0" w:color="auto"/>
            </w:tcBorders>
            <w:shd w:val="clear" w:color="auto" w:fill="auto"/>
            <w:noWrap/>
            <w:vAlign w:val="center"/>
          </w:tcPr>
          <w:p w14:paraId="1F31E752"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Mesto Myjava</w:t>
            </w:r>
          </w:p>
        </w:tc>
        <w:tc>
          <w:tcPr>
            <w:tcW w:w="2520" w:type="dxa"/>
            <w:tcBorders>
              <w:top w:val="nil"/>
              <w:left w:val="nil"/>
              <w:bottom w:val="single" w:sz="4" w:space="0" w:color="auto"/>
              <w:right w:val="single" w:sz="4" w:space="0" w:color="auto"/>
            </w:tcBorders>
            <w:shd w:val="clear" w:color="auto" w:fill="auto"/>
            <w:noWrap/>
            <w:vAlign w:val="center"/>
          </w:tcPr>
          <w:p w14:paraId="5883F394"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M.R. Štefánika 560/4</w:t>
            </w:r>
          </w:p>
        </w:tc>
        <w:tc>
          <w:tcPr>
            <w:tcW w:w="2340" w:type="dxa"/>
            <w:tcBorders>
              <w:top w:val="nil"/>
              <w:left w:val="nil"/>
              <w:bottom w:val="single" w:sz="4" w:space="0" w:color="auto"/>
              <w:right w:val="single" w:sz="8" w:space="0" w:color="auto"/>
            </w:tcBorders>
            <w:shd w:val="clear" w:color="auto" w:fill="auto"/>
            <w:noWrap/>
            <w:vAlign w:val="center"/>
          </w:tcPr>
          <w:p w14:paraId="592456D8"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opatrovateľská služba</w:t>
            </w:r>
          </w:p>
        </w:tc>
      </w:tr>
      <w:tr w:rsidR="00203593" w:rsidRPr="00203593" w14:paraId="1DAE3660"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3045338C"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Rudník</w:t>
            </w:r>
          </w:p>
        </w:tc>
        <w:tc>
          <w:tcPr>
            <w:tcW w:w="2880" w:type="dxa"/>
            <w:tcBorders>
              <w:top w:val="nil"/>
              <w:left w:val="nil"/>
              <w:bottom w:val="single" w:sz="4" w:space="0" w:color="auto"/>
              <w:right w:val="single" w:sz="4" w:space="0" w:color="auto"/>
            </w:tcBorders>
            <w:shd w:val="clear" w:color="auto" w:fill="auto"/>
            <w:noWrap/>
            <w:vAlign w:val="center"/>
          </w:tcPr>
          <w:p w14:paraId="69D752EE"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Školská jedáleň</w:t>
            </w:r>
          </w:p>
        </w:tc>
        <w:tc>
          <w:tcPr>
            <w:tcW w:w="2520" w:type="dxa"/>
            <w:tcBorders>
              <w:top w:val="nil"/>
              <w:left w:val="nil"/>
              <w:bottom w:val="single" w:sz="4" w:space="0" w:color="auto"/>
              <w:right w:val="single" w:sz="4" w:space="0" w:color="auto"/>
            </w:tcBorders>
            <w:shd w:val="clear" w:color="auto" w:fill="auto"/>
            <w:noWrap/>
            <w:vAlign w:val="center"/>
          </w:tcPr>
          <w:p w14:paraId="049562D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Rudník 1</w:t>
            </w:r>
          </w:p>
        </w:tc>
        <w:tc>
          <w:tcPr>
            <w:tcW w:w="2340" w:type="dxa"/>
            <w:tcBorders>
              <w:top w:val="nil"/>
              <w:left w:val="nil"/>
              <w:bottom w:val="single" w:sz="4" w:space="0" w:color="auto"/>
              <w:right w:val="single" w:sz="8" w:space="0" w:color="auto"/>
            </w:tcBorders>
            <w:shd w:val="clear" w:color="auto" w:fill="auto"/>
            <w:noWrap/>
            <w:vAlign w:val="center"/>
          </w:tcPr>
          <w:p w14:paraId="71FD4E35"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vývarovňa, rozvoz stravy</w:t>
            </w:r>
          </w:p>
        </w:tc>
      </w:tr>
      <w:tr w:rsidR="00203593" w:rsidRPr="00203593" w14:paraId="26414906" w14:textId="77777777" w:rsidTr="00837E29">
        <w:trPr>
          <w:trHeight w:hRule="exact" w:val="284"/>
        </w:trPr>
        <w:tc>
          <w:tcPr>
            <w:tcW w:w="1275" w:type="dxa"/>
            <w:tcBorders>
              <w:top w:val="nil"/>
              <w:left w:val="single" w:sz="8" w:space="0" w:color="auto"/>
              <w:bottom w:val="single" w:sz="4" w:space="0" w:color="auto"/>
              <w:right w:val="single" w:sz="8" w:space="0" w:color="auto"/>
            </w:tcBorders>
            <w:shd w:val="clear" w:color="auto" w:fill="auto"/>
            <w:noWrap/>
            <w:vAlign w:val="bottom"/>
          </w:tcPr>
          <w:p w14:paraId="3F68C2BD"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Stará Myjava</w:t>
            </w:r>
          </w:p>
        </w:tc>
        <w:tc>
          <w:tcPr>
            <w:tcW w:w="2880" w:type="dxa"/>
            <w:tcBorders>
              <w:top w:val="nil"/>
              <w:left w:val="nil"/>
              <w:bottom w:val="single" w:sz="4" w:space="0" w:color="auto"/>
              <w:right w:val="single" w:sz="4" w:space="0" w:color="auto"/>
            </w:tcBorders>
            <w:shd w:val="clear" w:color="auto" w:fill="auto"/>
            <w:noWrap/>
            <w:vAlign w:val="center"/>
          </w:tcPr>
          <w:p w14:paraId="3103998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Anna Pekníková</w:t>
            </w:r>
          </w:p>
        </w:tc>
        <w:tc>
          <w:tcPr>
            <w:tcW w:w="2520" w:type="dxa"/>
            <w:tcBorders>
              <w:top w:val="nil"/>
              <w:left w:val="nil"/>
              <w:bottom w:val="single" w:sz="4" w:space="0" w:color="auto"/>
              <w:right w:val="single" w:sz="4" w:space="0" w:color="auto"/>
            </w:tcBorders>
            <w:shd w:val="clear" w:color="auto" w:fill="auto"/>
            <w:noWrap/>
            <w:vAlign w:val="center"/>
          </w:tcPr>
          <w:p w14:paraId="7226048B"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Stará Myjava 145</w:t>
            </w:r>
          </w:p>
        </w:tc>
        <w:tc>
          <w:tcPr>
            <w:tcW w:w="2340" w:type="dxa"/>
            <w:tcBorders>
              <w:top w:val="nil"/>
              <w:left w:val="nil"/>
              <w:bottom w:val="single" w:sz="4" w:space="0" w:color="auto"/>
              <w:right w:val="single" w:sz="8" w:space="0" w:color="auto"/>
            </w:tcBorders>
            <w:shd w:val="clear" w:color="auto" w:fill="auto"/>
            <w:noWrap/>
            <w:vAlign w:val="center"/>
          </w:tcPr>
          <w:p w14:paraId="3789384A"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stravovanie</w:t>
            </w:r>
          </w:p>
        </w:tc>
      </w:tr>
      <w:tr w:rsidR="00203593" w:rsidRPr="00203593" w14:paraId="418B2FE6" w14:textId="77777777" w:rsidTr="00837E29">
        <w:trPr>
          <w:trHeight w:hRule="exact" w:val="284"/>
        </w:trPr>
        <w:tc>
          <w:tcPr>
            <w:tcW w:w="1275" w:type="dxa"/>
            <w:tcBorders>
              <w:top w:val="nil"/>
              <w:left w:val="single" w:sz="8" w:space="0" w:color="auto"/>
              <w:bottom w:val="single" w:sz="8" w:space="0" w:color="auto"/>
              <w:right w:val="single" w:sz="8" w:space="0" w:color="auto"/>
            </w:tcBorders>
            <w:shd w:val="clear" w:color="auto" w:fill="auto"/>
            <w:noWrap/>
            <w:vAlign w:val="bottom"/>
          </w:tcPr>
          <w:p w14:paraId="319B325D"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Stará Turá</w:t>
            </w:r>
          </w:p>
        </w:tc>
        <w:tc>
          <w:tcPr>
            <w:tcW w:w="2880" w:type="dxa"/>
            <w:tcBorders>
              <w:top w:val="nil"/>
              <w:left w:val="nil"/>
              <w:bottom w:val="single" w:sz="8" w:space="0" w:color="auto"/>
              <w:right w:val="single" w:sz="4" w:space="0" w:color="auto"/>
            </w:tcBorders>
            <w:shd w:val="clear" w:color="auto" w:fill="auto"/>
            <w:vAlign w:val="center"/>
          </w:tcPr>
          <w:p w14:paraId="29E7E2B1"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Zariadenie opatrovateľskej služby</w:t>
            </w:r>
          </w:p>
        </w:tc>
        <w:tc>
          <w:tcPr>
            <w:tcW w:w="2520" w:type="dxa"/>
            <w:tcBorders>
              <w:top w:val="nil"/>
              <w:left w:val="nil"/>
              <w:bottom w:val="single" w:sz="8" w:space="0" w:color="auto"/>
              <w:right w:val="single" w:sz="4" w:space="0" w:color="auto"/>
            </w:tcBorders>
            <w:shd w:val="clear" w:color="auto" w:fill="auto"/>
            <w:vAlign w:val="center"/>
          </w:tcPr>
          <w:p w14:paraId="3FF0700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8.apríla 217/2</w:t>
            </w:r>
          </w:p>
        </w:tc>
        <w:tc>
          <w:tcPr>
            <w:tcW w:w="2340" w:type="dxa"/>
            <w:tcBorders>
              <w:top w:val="nil"/>
              <w:left w:val="nil"/>
              <w:bottom w:val="single" w:sz="8" w:space="0" w:color="auto"/>
              <w:right w:val="single" w:sz="8" w:space="0" w:color="auto"/>
            </w:tcBorders>
            <w:shd w:val="clear" w:color="auto" w:fill="auto"/>
            <w:noWrap/>
            <w:vAlign w:val="center"/>
          </w:tcPr>
          <w:p w14:paraId="06067A36" w14:textId="77777777" w:rsidR="00203593" w:rsidRPr="00203593" w:rsidRDefault="00203593" w:rsidP="007E10F7">
            <w:pPr>
              <w:rPr>
                <w:rFonts w:ascii="Times New Roman" w:hAnsi="Times New Roman" w:cs="Times New Roman"/>
                <w:sz w:val="20"/>
                <w:szCs w:val="20"/>
              </w:rPr>
            </w:pPr>
            <w:r w:rsidRPr="00203593">
              <w:rPr>
                <w:rFonts w:ascii="Times New Roman" w:hAnsi="Times New Roman" w:cs="Times New Roman"/>
                <w:sz w:val="20"/>
                <w:szCs w:val="20"/>
              </w:rPr>
              <w:t>opatrovateľská služba</w:t>
            </w:r>
          </w:p>
        </w:tc>
      </w:tr>
    </w:tbl>
    <w:p w14:paraId="13B972EF" w14:textId="77777777" w:rsidR="00EE3313" w:rsidRDefault="00EE3313" w:rsidP="00DC71E8">
      <w:pPr>
        <w:spacing w:after="0" w:line="360" w:lineRule="auto"/>
        <w:jc w:val="both"/>
        <w:rPr>
          <w:rFonts w:ascii="Times New Roman" w:hAnsi="Times New Roman" w:cs="Times New Roman"/>
          <w:b/>
          <w:sz w:val="24"/>
          <w:szCs w:val="24"/>
        </w:rPr>
      </w:pPr>
    </w:p>
    <w:p w14:paraId="4C7AEF46" w14:textId="77777777" w:rsidR="00E225CE" w:rsidRPr="005D0AC0" w:rsidRDefault="00E225CE" w:rsidP="00DC71E8">
      <w:pPr>
        <w:spacing w:after="0" w:line="360" w:lineRule="auto"/>
        <w:jc w:val="both"/>
        <w:rPr>
          <w:rFonts w:ascii="Times New Roman" w:hAnsi="Times New Roman" w:cs="Times New Roman"/>
          <w:b/>
          <w:i/>
          <w:sz w:val="24"/>
          <w:szCs w:val="24"/>
        </w:rPr>
      </w:pPr>
      <w:r w:rsidRPr="005D0AC0">
        <w:rPr>
          <w:rFonts w:ascii="Times New Roman" w:hAnsi="Times New Roman" w:cs="Times New Roman"/>
          <w:b/>
          <w:i/>
          <w:sz w:val="24"/>
          <w:szCs w:val="24"/>
        </w:rPr>
        <w:t xml:space="preserve">Prehľad kultúrnych a historických zdrojov </w:t>
      </w:r>
    </w:p>
    <w:p w14:paraId="233A2FF7"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S bohatou, aj keď nie príliš dlhou históriou Kopaničiarskeho regiónu sú späté aj mnohé pamiatky, pamätníky, budovy a iné kultúrno-historické stavby. </w:t>
      </w:r>
    </w:p>
    <w:p w14:paraId="0A4EE0EA" w14:textId="77777777" w:rsidR="00EE3313"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sa nachádza až 50 národných kultúrnych pamiatok. Ide najmä o kostoly, pamätné tabule (6 samostatne + 8 v rámci inej pamiatky), pamätné a ľudové domy. </w:t>
      </w:r>
    </w:p>
    <w:p w14:paraId="0F171DBE" w14:textId="77777777" w:rsidR="00EE3313" w:rsidRDefault="00EE3313" w:rsidP="00E459C7">
      <w:pPr>
        <w:keepNext/>
        <w:spacing w:after="0" w:line="240" w:lineRule="auto"/>
        <w:jc w:val="both"/>
        <w:rPr>
          <w:rFonts w:ascii="Times New Roman" w:hAnsi="Times New Roman" w:cs="Times New Roman"/>
          <w:sz w:val="20"/>
          <w:szCs w:val="20"/>
        </w:rPr>
      </w:pPr>
    </w:p>
    <w:p w14:paraId="04DCC65D" w14:textId="77777777" w:rsidR="00607608" w:rsidRPr="00EE3313" w:rsidRDefault="00607608" w:rsidP="00E459C7">
      <w:pPr>
        <w:keepNext/>
        <w:spacing w:after="0" w:line="240" w:lineRule="auto"/>
        <w:jc w:val="both"/>
        <w:rPr>
          <w:rFonts w:ascii="Times New Roman" w:eastAsia="Times New Roman" w:hAnsi="Times New Roman" w:cs="Times New Roman"/>
          <w:b/>
          <w:sz w:val="20"/>
          <w:szCs w:val="20"/>
          <w:lang w:eastAsia="sk-SK"/>
        </w:rPr>
      </w:pPr>
      <w:r w:rsidRPr="00EE3313">
        <w:rPr>
          <w:rFonts w:ascii="Times New Roman" w:eastAsia="Times New Roman" w:hAnsi="Times New Roman" w:cs="Times New Roman"/>
          <w:b/>
          <w:sz w:val="20"/>
          <w:szCs w:val="20"/>
          <w:lang w:eastAsia="sk-SK"/>
        </w:rPr>
        <w:t xml:space="preserve">Tabuľka </w:t>
      </w:r>
      <w:r w:rsidR="003D1421" w:rsidRPr="00EE3313">
        <w:rPr>
          <w:rFonts w:ascii="Times New Roman" w:eastAsia="Times New Roman" w:hAnsi="Times New Roman" w:cs="Times New Roman"/>
          <w:b/>
          <w:sz w:val="20"/>
          <w:szCs w:val="20"/>
          <w:lang w:eastAsia="sk-SK"/>
        </w:rPr>
        <w:t>3.1.1</w:t>
      </w:r>
      <w:r w:rsidR="00DC71E8">
        <w:rPr>
          <w:rFonts w:ascii="Times New Roman" w:eastAsia="Times New Roman" w:hAnsi="Times New Roman" w:cs="Times New Roman"/>
          <w:b/>
          <w:sz w:val="20"/>
          <w:szCs w:val="20"/>
          <w:lang w:eastAsia="sk-SK"/>
        </w:rPr>
        <w:t>8</w:t>
      </w:r>
      <w:r w:rsidRPr="00EE3313">
        <w:rPr>
          <w:rFonts w:ascii="Times New Roman" w:eastAsia="Times New Roman" w:hAnsi="Times New Roman" w:cs="Times New Roman"/>
          <w:b/>
          <w:sz w:val="20"/>
          <w:szCs w:val="20"/>
          <w:lang w:eastAsia="sk-SK"/>
        </w:rPr>
        <w:t xml:space="preserve"> Prehľad národných kultúrnych pamiatok v Kopaničiarskom regióne</w:t>
      </w:r>
    </w:p>
    <w:tbl>
      <w:tblPr>
        <w:tblW w:w="8438" w:type="dxa"/>
        <w:tblInd w:w="55" w:type="dxa"/>
        <w:tblCellMar>
          <w:left w:w="70" w:type="dxa"/>
          <w:right w:w="70" w:type="dxa"/>
        </w:tblCellMar>
        <w:tblLook w:val="0000" w:firstRow="0" w:lastRow="0" w:firstColumn="0" w:lastColumn="0" w:noHBand="0" w:noVBand="0"/>
      </w:tblPr>
      <w:tblGrid>
        <w:gridCol w:w="1455"/>
        <w:gridCol w:w="696"/>
        <w:gridCol w:w="974"/>
        <w:gridCol w:w="807"/>
        <w:gridCol w:w="1663"/>
        <w:gridCol w:w="1440"/>
        <w:gridCol w:w="596"/>
        <w:gridCol w:w="807"/>
      </w:tblGrid>
      <w:tr w:rsidR="00607608" w:rsidRPr="00607608" w14:paraId="410257F1" w14:textId="77777777" w:rsidTr="00C43332">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4B28413"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Pamätný dom</w:t>
            </w:r>
          </w:p>
        </w:tc>
        <w:tc>
          <w:tcPr>
            <w:tcW w:w="696" w:type="dxa"/>
            <w:tcBorders>
              <w:top w:val="single" w:sz="4" w:space="0" w:color="auto"/>
              <w:left w:val="nil"/>
              <w:bottom w:val="single" w:sz="4" w:space="0" w:color="auto"/>
              <w:right w:val="single" w:sz="4" w:space="0" w:color="auto"/>
            </w:tcBorders>
            <w:shd w:val="clear" w:color="auto" w:fill="D9D9D9"/>
            <w:noWrap/>
            <w:vAlign w:val="bottom"/>
          </w:tcPr>
          <w:p w14:paraId="6F819FC5"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Kostol</w:t>
            </w:r>
          </w:p>
        </w:tc>
        <w:tc>
          <w:tcPr>
            <w:tcW w:w="974" w:type="dxa"/>
            <w:tcBorders>
              <w:top w:val="single" w:sz="4" w:space="0" w:color="auto"/>
              <w:left w:val="nil"/>
              <w:bottom w:val="single" w:sz="4" w:space="0" w:color="auto"/>
              <w:right w:val="single" w:sz="4" w:space="0" w:color="auto"/>
            </w:tcBorders>
            <w:shd w:val="clear" w:color="auto" w:fill="D9D9D9"/>
            <w:noWrap/>
            <w:vAlign w:val="bottom"/>
          </w:tcPr>
          <w:p w14:paraId="5ADB44B9"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Pamätník</w:t>
            </w:r>
          </w:p>
        </w:tc>
        <w:tc>
          <w:tcPr>
            <w:tcW w:w="807" w:type="dxa"/>
            <w:tcBorders>
              <w:top w:val="single" w:sz="4" w:space="0" w:color="auto"/>
              <w:left w:val="nil"/>
              <w:bottom w:val="single" w:sz="4" w:space="0" w:color="auto"/>
              <w:right w:val="single" w:sz="4" w:space="0" w:color="auto"/>
            </w:tcBorders>
            <w:shd w:val="clear" w:color="auto" w:fill="D9D9D9"/>
            <w:noWrap/>
            <w:vAlign w:val="bottom"/>
          </w:tcPr>
          <w:p w14:paraId="28E8464C"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Pomník</w:t>
            </w:r>
          </w:p>
        </w:tc>
        <w:tc>
          <w:tcPr>
            <w:tcW w:w="1663" w:type="dxa"/>
            <w:tcBorders>
              <w:top w:val="single" w:sz="4" w:space="0" w:color="auto"/>
              <w:left w:val="nil"/>
              <w:bottom w:val="single" w:sz="4" w:space="0" w:color="auto"/>
              <w:right w:val="single" w:sz="4" w:space="0" w:color="auto"/>
            </w:tcBorders>
            <w:shd w:val="clear" w:color="auto" w:fill="D9D9D9"/>
            <w:noWrap/>
            <w:vAlign w:val="bottom"/>
          </w:tcPr>
          <w:p w14:paraId="71DDAA52"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Pamätná tabuľa</w:t>
            </w:r>
          </w:p>
        </w:tc>
        <w:tc>
          <w:tcPr>
            <w:tcW w:w="1440" w:type="dxa"/>
            <w:tcBorders>
              <w:top w:val="single" w:sz="4" w:space="0" w:color="auto"/>
              <w:left w:val="nil"/>
              <w:bottom w:val="single" w:sz="4" w:space="0" w:color="auto"/>
              <w:right w:val="single" w:sz="4" w:space="0" w:color="auto"/>
            </w:tcBorders>
            <w:shd w:val="clear" w:color="auto" w:fill="D9D9D9"/>
            <w:noWrap/>
            <w:vAlign w:val="bottom"/>
          </w:tcPr>
          <w:p w14:paraId="5FDC0E63"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Zvonica, veža</w:t>
            </w:r>
          </w:p>
        </w:tc>
        <w:tc>
          <w:tcPr>
            <w:tcW w:w="596" w:type="dxa"/>
            <w:tcBorders>
              <w:top w:val="single" w:sz="4" w:space="0" w:color="auto"/>
              <w:left w:val="nil"/>
              <w:bottom w:val="single" w:sz="4" w:space="0" w:color="auto"/>
              <w:right w:val="single" w:sz="4" w:space="0" w:color="auto"/>
            </w:tcBorders>
            <w:shd w:val="clear" w:color="auto" w:fill="D9D9D9"/>
            <w:noWrap/>
            <w:vAlign w:val="bottom"/>
          </w:tcPr>
          <w:p w14:paraId="1820DCE2"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Hrob</w:t>
            </w:r>
          </w:p>
        </w:tc>
        <w:tc>
          <w:tcPr>
            <w:tcW w:w="807" w:type="dxa"/>
            <w:tcBorders>
              <w:top w:val="single" w:sz="4" w:space="0" w:color="auto"/>
              <w:left w:val="nil"/>
              <w:bottom w:val="single" w:sz="4" w:space="0" w:color="auto"/>
              <w:right w:val="single" w:sz="4" w:space="0" w:color="auto"/>
            </w:tcBorders>
            <w:shd w:val="clear" w:color="auto" w:fill="D9D9D9"/>
            <w:noWrap/>
            <w:vAlign w:val="bottom"/>
          </w:tcPr>
          <w:p w14:paraId="3FC699AD" w14:textId="77777777" w:rsidR="00607608" w:rsidRPr="00607608" w:rsidRDefault="00607608" w:rsidP="00607608">
            <w:pPr>
              <w:spacing w:after="0" w:line="240" w:lineRule="auto"/>
              <w:rPr>
                <w:rFonts w:ascii="Times New Roman" w:eastAsia="Times New Roman" w:hAnsi="Times New Roman" w:cs="Times New Roman"/>
                <w:b/>
                <w:bCs/>
                <w:sz w:val="20"/>
                <w:szCs w:val="20"/>
                <w:lang w:eastAsia="cs-CZ"/>
              </w:rPr>
            </w:pPr>
            <w:r w:rsidRPr="00607608">
              <w:rPr>
                <w:rFonts w:ascii="Times New Roman" w:eastAsia="Times New Roman" w:hAnsi="Times New Roman" w:cs="Times New Roman"/>
                <w:b/>
                <w:bCs/>
                <w:sz w:val="20"/>
                <w:szCs w:val="20"/>
                <w:lang w:eastAsia="cs-CZ"/>
              </w:rPr>
              <w:t>Ostatné</w:t>
            </w:r>
          </w:p>
        </w:tc>
      </w:tr>
      <w:tr w:rsidR="00607608" w:rsidRPr="00607608" w14:paraId="47242FA8" w14:textId="77777777" w:rsidTr="00C43332">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14:paraId="11F48714"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6</w:t>
            </w:r>
          </w:p>
        </w:tc>
        <w:tc>
          <w:tcPr>
            <w:tcW w:w="696" w:type="dxa"/>
            <w:tcBorders>
              <w:top w:val="nil"/>
              <w:left w:val="nil"/>
              <w:bottom w:val="single" w:sz="4" w:space="0" w:color="auto"/>
              <w:right w:val="single" w:sz="4" w:space="0" w:color="auto"/>
            </w:tcBorders>
            <w:shd w:val="clear" w:color="auto" w:fill="auto"/>
            <w:noWrap/>
            <w:vAlign w:val="bottom"/>
          </w:tcPr>
          <w:p w14:paraId="6CEECB87"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10</w:t>
            </w:r>
          </w:p>
        </w:tc>
        <w:tc>
          <w:tcPr>
            <w:tcW w:w="974" w:type="dxa"/>
            <w:tcBorders>
              <w:top w:val="nil"/>
              <w:left w:val="nil"/>
              <w:bottom w:val="single" w:sz="4" w:space="0" w:color="auto"/>
              <w:right w:val="single" w:sz="4" w:space="0" w:color="auto"/>
            </w:tcBorders>
            <w:shd w:val="clear" w:color="auto" w:fill="auto"/>
            <w:noWrap/>
            <w:vAlign w:val="bottom"/>
          </w:tcPr>
          <w:p w14:paraId="2002DBE7"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3</w:t>
            </w:r>
          </w:p>
        </w:tc>
        <w:tc>
          <w:tcPr>
            <w:tcW w:w="807" w:type="dxa"/>
            <w:tcBorders>
              <w:top w:val="nil"/>
              <w:left w:val="nil"/>
              <w:bottom w:val="single" w:sz="4" w:space="0" w:color="auto"/>
              <w:right w:val="single" w:sz="4" w:space="0" w:color="auto"/>
            </w:tcBorders>
            <w:shd w:val="clear" w:color="auto" w:fill="auto"/>
            <w:noWrap/>
            <w:vAlign w:val="bottom"/>
          </w:tcPr>
          <w:p w14:paraId="28BAE916"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9</w:t>
            </w:r>
          </w:p>
        </w:tc>
        <w:tc>
          <w:tcPr>
            <w:tcW w:w="1663" w:type="dxa"/>
            <w:tcBorders>
              <w:top w:val="nil"/>
              <w:left w:val="nil"/>
              <w:bottom w:val="single" w:sz="4" w:space="0" w:color="auto"/>
              <w:right w:val="single" w:sz="4" w:space="0" w:color="auto"/>
            </w:tcBorders>
            <w:shd w:val="clear" w:color="auto" w:fill="auto"/>
            <w:noWrap/>
            <w:vAlign w:val="bottom"/>
          </w:tcPr>
          <w:p w14:paraId="258CC55D"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6 (+8)</w:t>
            </w:r>
          </w:p>
        </w:tc>
        <w:tc>
          <w:tcPr>
            <w:tcW w:w="1440" w:type="dxa"/>
            <w:tcBorders>
              <w:top w:val="nil"/>
              <w:left w:val="nil"/>
              <w:bottom w:val="single" w:sz="4" w:space="0" w:color="auto"/>
              <w:right w:val="single" w:sz="4" w:space="0" w:color="auto"/>
            </w:tcBorders>
            <w:shd w:val="clear" w:color="auto" w:fill="auto"/>
            <w:noWrap/>
            <w:vAlign w:val="bottom"/>
          </w:tcPr>
          <w:p w14:paraId="247C487E"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3</w:t>
            </w:r>
          </w:p>
        </w:tc>
        <w:tc>
          <w:tcPr>
            <w:tcW w:w="596" w:type="dxa"/>
            <w:tcBorders>
              <w:top w:val="nil"/>
              <w:left w:val="nil"/>
              <w:bottom w:val="single" w:sz="4" w:space="0" w:color="auto"/>
              <w:right w:val="single" w:sz="4" w:space="0" w:color="auto"/>
            </w:tcBorders>
            <w:shd w:val="clear" w:color="auto" w:fill="auto"/>
            <w:noWrap/>
            <w:vAlign w:val="bottom"/>
          </w:tcPr>
          <w:p w14:paraId="4EF5DD18"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3</w:t>
            </w:r>
          </w:p>
        </w:tc>
        <w:tc>
          <w:tcPr>
            <w:tcW w:w="807" w:type="dxa"/>
            <w:tcBorders>
              <w:top w:val="nil"/>
              <w:left w:val="nil"/>
              <w:bottom w:val="single" w:sz="4" w:space="0" w:color="auto"/>
              <w:right w:val="single" w:sz="4" w:space="0" w:color="auto"/>
            </w:tcBorders>
            <w:shd w:val="clear" w:color="auto" w:fill="auto"/>
            <w:noWrap/>
            <w:vAlign w:val="bottom"/>
          </w:tcPr>
          <w:p w14:paraId="492FBAF5" w14:textId="77777777" w:rsidR="00607608" w:rsidRPr="00607608" w:rsidRDefault="00607608" w:rsidP="00607608">
            <w:pPr>
              <w:spacing w:after="0" w:line="240" w:lineRule="auto"/>
              <w:jc w:val="center"/>
              <w:rPr>
                <w:rFonts w:ascii="Times New Roman" w:eastAsia="Times New Roman" w:hAnsi="Times New Roman" w:cs="Times New Roman"/>
                <w:sz w:val="20"/>
                <w:szCs w:val="20"/>
                <w:lang w:eastAsia="cs-CZ"/>
              </w:rPr>
            </w:pPr>
            <w:r w:rsidRPr="00607608">
              <w:rPr>
                <w:rFonts w:ascii="Times New Roman" w:eastAsia="Times New Roman" w:hAnsi="Times New Roman" w:cs="Times New Roman"/>
                <w:sz w:val="20"/>
                <w:szCs w:val="20"/>
                <w:lang w:eastAsia="cs-CZ"/>
              </w:rPr>
              <w:t>12</w:t>
            </w:r>
          </w:p>
        </w:tc>
      </w:tr>
    </w:tbl>
    <w:p w14:paraId="52451406" w14:textId="77777777" w:rsidR="00DC71E8" w:rsidRDefault="00DC71E8" w:rsidP="005D0AC0">
      <w:pPr>
        <w:spacing w:before="120" w:after="0" w:line="360" w:lineRule="auto"/>
        <w:jc w:val="both"/>
        <w:rPr>
          <w:rFonts w:ascii="Times New Roman" w:hAnsi="Times New Roman" w:cs="Times New Roman"/>
          <w:sz w:val="24"/>
          <w:szCs w:val="24"/>
        </w:rPr>
      </w:pPr>
    </w:p>
    <w:p w14:paraId="3F1E1BC5" w14:textId="77777777" w:rsidR="00E225CE" w:rsidRPr="00E225CE" w:rsidRDefault="00E225CE" w:rsidP="005D0AC0">
      <w:pPr>
        <w:spacing w:before="120"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 xml:space="preserve">Najviac národných kultúrnych pamiatok sa nachádza v mestách Brezová pod Bradlom (10) a Stará Turá (8). </w:t>
      </w:r>
    </w:p>
    <w:p w14:paraId="011C3C7F" w14:textId="77777777" w:rsidR="00E225CE" w:rsidRPr="00E225CE" w:rsidRDefault="00E225CE" w:rsidP="005D0AC0">
      <w:pPr>
        <w:spacing w:before="120"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Medzi tie najvýznamnejšie patria:</w:t>
      </w:r>
    </w:p>
    <w:p w14:paraId="33498524" w14:textId="77777777" w:rsidR="00E225CE" w:rsidRPr="00DC71E8" w:rsidRDefault="00E225CE"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Mohyla gen. M.R. Štefánika na Bradle – keďže sa nachádza na najvyššom vrchu Myjavskej pahorkatiny na Bradle (543 m n.m.), je z nej krásny výhľad na okolitú krajinu. Postavená bola v rokoch 1927-1928, na návrh architekta Dušana Jurkoviča, zo spišského travertínu. Jej základňa má rozmery 96 m x 76 m a dominantou sú 4 obelisky s výškou 12,5 m. Okrem gen. M.R. Štefánika sú v nej pochovaní aj 3 talianski vojaci. </w:t>
      </w:r>
    </w:p>
    <w:p w14:paraId="268587FA" w14:textId="77777777" w:rsidR="00E225CE" w:rsidRPr="00DC71E8" w:rsidRDefault="00E225CE"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lastRenderedPageBreak/>
        <w:t xml:space="preserve">Múzeum SNR v Myjave s domom p. A. Kolényiovej – múzeum bolo otvorené v roku 1968 pri príležitosti 120. výročia vzniku 1. SNR, ktorá v revolučných rokoch 1848-49 po prvý raz zasadala práve na Myjave, a to v dome vdovy Anny Kolényiovej. </w:t>
      </w:r>
    </w:p>
    <w:p w14:paraId="6BBE5540" w14:textId="77777777" w:rsidR="00E225CE" w:rsidRPr="00DC71E8" w:rsidRDefault="00E225CE"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Fara a pamätná tabuľa M. R. Štefánika (Košariská) – miesto, kde sa v roku 1880 narodil gen. M.R. Štefánik. Dnes tu sídli Múzeum M.R. Štefánika, ktoré je súčasťou Múzea SNR. </w:t>
      </w:r>
      <w:r w:rsidR="00261E50" w:rsidRPr="00DC71E8">
        <w:rPr>
          <w:rFonts w:ascii="Times New Roman" w:hAnsi="Times New Roman" w:cs="Times New Roman"/>
          <w:sz w:val="24"/>
          <w:szCs w:val="24"/>
        </w:rPr>
        <w:t>I</w:t>
      </w:r>
      <w:r w:rsidRPr="00DC71E8">
        <w:rPr>
          <w:rFonts w:ascii="Times New Roman" w:hAnsi="Times New Roman" w:cs="Times New Roman"/>
          <w:sz w:val="24"/>
          <w:szCs w:val="24"/>
        </w:rPr>
        <w:t xml:space="preserve">de o memoriálne múzeum, ktoré prostredníctvom svojej expozície podáva komplexný pohľad na Štefánikovu osobnosť.. </w:t>
      </w:r>
    </w:p>
    <w:p w14:paraId="7FD96F1F" w14:textId="77777777" w:rsidR="00E225CE" w:rsidRPr="00DC71E8" w:rsidRDefault="00E225CE"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Pamätník U Klasovitých (Poriadie) – tento pamätník nachádzajúci sa medzi Myjavou a Poriadim bol vybudovaný </w:t>
      </w:r>
      <w:r w:rsidR="00BE07E5" w:rsidRPr="00DC71E8">
        <w:rPr>
          <w:rFonts w:ascii="Times New Roman" w:hAnsi="Times New Roman" w:cs="Times New Roman"/>
          <w:sz w:val="24"/>
          <w:szCs w:val="24"/>
        </w:rPr>
        <w:t>akademickým</w:t>
      </w:r>
      <w:r w:rsidRPr="00DC71E8">
        <w:rPr>
          <w:rFonts w:ascii="Times New Roman" w:hAnsi="Times New Roman" w:cs="Times New Roman"/>
          <w:sz w:val="24"/>
          <w:szCs w:val="24"/>
        </w:rPr>
        <w:t xml:space="preserve"> sochárom Štefanom Belohradským  na počesť obetiam padlým v poslednej bitke roku 1848. </w:t>
      </w:r>
    </w:p>
    <w:p w14:paraId="5388EC06" w14:textId="77777777" w:rsidR="00E225CE" w:rsidRPr="00DC71E8" w:rsidRDefault="00E225CE"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Pamätný dom Ľudmily Podjavorinskej (Bzince pod Javorinou) – dom s pamätnou izbou a tabuľou, kde sa v roku 1872 narodila významná slovenská spisovateľka Ľudmila Podjavorinská (Riznerová) je sprístupnený od roku 1960. </w:t>
      </w:r>
    </w:p>
    <w:p w14:paraId="46D39472" w14:textId="77777777" w:rsidR="00261E50" w:rsidRPr="00DC71E8" w:rsidRDefault="00261E50"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Habánsky dvor (Sobotište) - pamiatková zóna, kde možno vidieť prastaré ľudové domy, habánsku zvonicu, radnicu, školu, džbánkarskú dielňu, stodolu, kľučiareň či mlyn</w:t>
      </w:r>
    </w:p>
    <w:p w14:paraId="3DF2B354" w14:textId="77777777" w:rsidR="00261E50" w:rsidRPr="00DC71E8" w:rsidRDefault="00261E50"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Izba revolučných tradícii (Prašník) - </w:t>
      </w:r>
      <w:r w:rsidR="00C52816" w:rsidRPr="00DC71E8">
        <w:rPr>
          <w:rFonts w:ascii="Times New Roman" w:hAnsi="Times New Roman" w:cs="Times New Roman"/>
          <w:sz w:val="24"/>
          <w:szCs w:val="24"/>
        </w:rPr>
        <w:t>malé múzeum protifašistického odboja patriace pod Vojenské historické múzeum Piešťany, ktoré sa nachádza v osade Pustá Ves</w:t>
      </w:r>
    </w:p>
    <w:p w14:paraId="22D67628" w14:textId="77777777" w:rsidR="00C52816" w:rsidRPr="00DC71E8" w:rsidRDefault="00C52816"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Múzeum S. Štúra a J. Ľ. Holubyho (Lubina) -</w:t>
      </w:r>
      <w:r w:rsidRPr="00C52816">
        <w:t xml:space="preserve"> </w:t>
      </w:r>
      <w:r w:rsidRPr="00DC71E8">
        <w:rPr>
          <w:rFonts w:ascii="Times New Roman" w:hAnsi="Times New Roman" w:cs="Times New Roman"/>
          <w:sz w:val="24"/>
          <w:szCs w:val="24"/>
        </w:rPr>
        <w:t xml:space="preserve">dvojgeneračný dom s výškou, v ktorom sa narodil Samuel Štúr, otec Ľudovíta Štúra. </w:t>
      </w:r>
    </w:p>
    <w:p w14:paraId="187FB1CD" w14:textId="77777777" w:rsidR="00C52816" w:rsidRPr="00DC71E8" w:rsidRDefault="00C52816"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Gazdovský dvor, Myjava, časť Turá Lúka - prezentuje tradičné formy života, bývania, tradícií a zvyklostí poľnohospodárskej usadlosti v myjavskom regióne.</w:t>
      </w:r>
    </w:p>
    <w:p w14:paraId="75D4D412" w14:textId="77777777" w:rsidR="00E225CE" w:rsidRPr="00DC71E8" w:rsidRDefault="00E225CE" w:rsidP="003301D6">
      <w:pPr>
        <w:pStyle w:val="Odsekzoznamu"/>
        <w:numPr>
          <w:ilvl w:val="0"/>
          <w:numId w:val="1"/>
        </w:numPr>
        <w:spacing w:before="120"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 xml:space="preserve">Dibrovov pomník – SNP (Stará Turá) – pomník I.D. Dibrova nachádzajúci sa vysoko v horách pod Veľkou Javorinou je venovaný ruskému generálovi a partizánskemu veliteľovi Iľjovi Danielovičovi  Dibrovovi. Tento pomník sa nachádza v nadmorskej výške 775 m n.m. a je situovaný na významnom turistickom chodníku – na Štefánikovej magistrále.  </w:t>
      </w:r>
    </w:p>
    <w:p w14:paraId="00D8A523" w14:textId="77777777" w:rsidR="00C52816" w:rsidRPr="00DC71E8" w:rsidRDefault="00C52816"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Nyaryiovsky kaštieľ, Sobotište - nachádza sa tu Múzeum Samuela Jurkoviča s expozíciou dejín slovenského družstevníctva.</w:t>
      </w:r>
    </w:p>
    <w:p w14:paraId="1243E717" w14:textId="77777777" w:rsidR="00C52816" w:rsidRPr="00DC71E8" w:rsidRDefault="00C52816" w:rsidP="003301D6">
      <w:pPr>
        <w:pStyle w:val="Odsekzoznamu"/>
        <w:numPr>
          <w:ilvl w:val="0"/>
          <w:numId w:val="1"/>
        </w:numPr>
        <w:spacing w:after="0" w:line="360" w:lineRule="auto"/>
        <w:ind w:left="567"/>
        <w:jc w:val="both"/>
        <w:rPr>
          <w:rFonts w:ascii="Times New Roman" w:hAnsi="Times New Roman" w:cs="Times New Roman"/>
          <w:sz w:val="24"/>
          <w:szCs w:val="24"/>
        </w:rPr>
      </w:pPr>
      <w:r w:rsidRPr="00DC71E8">
        <w:rPr>
          <w:rFonts w:ascii="Times New Roman" w:hAnsi="Times New Roman" w:cs="Times New Roman"/>
          <w:sz w:val="24"/>
          <w:szCs w:val="24"/>
        </w:rPr>
        <w:t>Zrúcanina Brančského hradu - hrad strážiaci cesty cez Malé Karpaty na Moravu, postavený v rokoch 1251 – 1261</w:t>
      </w:r>
    </w:p>
    <w:p w14:paraId="520519C0" w14:textId="77777777" w:rsidR="00E225CE" w:rsidRPr="00E225CE" w:rsidRDefault="00DC71E8" w:rsidP="005D0AC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Ďalej sa v regióne nachádza aj niekoľko ďalších kostolov, či už rímsko-katolíckych (najmä zo 16.-18. stor.), alebo evanjelických (18.,19.stor.) a ďalších stavieb rôzneho charakteru, ktoré majú kultúrny</w:t>
      </w:r>
      <w:r w:rsidR="00C52816">
        <w:rPr>
          <w:rFonts w:ascii="Times New Roman" w:hAnsi="Times New Roman" w:cs="Times New Roman"/>
          <w:sz w:val="24"/>
          <w:szCs w:val="24"/>
        </w:rPr>
        <w:t xml:space="preserve"> a</w:t>
      </w:r>
      <w:r w:rsidR="00E225CE" w:rsidRPr="00E225CE">
        <w:rPr>
          <w:rFonts w:ascii="Times New Roman" w:hAnsi="Times New Roman" w:cs="Times New Roman"/>
          <w:sz w:val="24"/>
          <w:szCs w:val="24"/>
        </w:rPr>
        <w:t xml:space="preserve"> historický význam. </w:t>
      </w:r>
    </w:p>
    <w:p w14:paraId="28B9A92A"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225CE" w:rsidRPr="00E225CE">
        <w:rPr>
          <w:rFonts w:ascii="Times New Roman" w:hAnsi="Times New Roman" w:cs="Times New Roman"/>
          <w:sz w:val="24"/>
          <w:szCs w:val="24"/>
        </w:rPr>
        <w:t xml:space="preserve">Súčasťou kultúrneho dedičstva v Kopaničiarskom regióne sú aj ľudové tradície a obyčaje, ktoré sa tu zachovali až dodnes. Z nich sú to najmä výročné tradície a obyčaje, kde zahrňujeme zvyky viažuce sa k zimnému a letnému slnovratu, jarnej a jesennej  rovnodennosti, čo je nerozlučne  späté s roľníckym kalendárnym cyklom, kde ich výsledkom má byť ovplyvnenie a zabezpečenie hospodárskej prosperity, zdravia a šťastia členov rodiny.  </w:t>
      </w:r>
    </w:p>
    <w:p w14:paraId="759B7A49"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K iným tradíciám patria napr. dožinky po zbere obilia z polí, dupanie humna, či na jeseň konané hody, ktoré sa viazali k vysviacke chrámu alebo zvonov.  Niektoré tieto tradície sa postupne vytrácajú, no mnohé sú stále živé, aj vďaka aktívnym občanom, organizáciám a folklórnym súborom regiónu. </w:t>
      </w:r>
    </w:p>
    <w:p w14:paraId="68AF2E0A" w14:textId="77777777" w:rsidR="00DC71E8" w:rsidRDefault="00DC71E8" w:rsidP="00DC71E8">
      <w:pPr>
        <w:spacing w:after="0" w:line="360" w:lineRule="auto"/>
        <w:jc w:val="both"/>
        <w:rPr>
          <w:rFonts w:ascii="Times New Roman" w:hAnsi="Times New Roman" w:cs="Times New Roman"/>
          <w:b/>
          <w:i/>
          <w:sz w:val="24"/>
          <w:szCs w:val="24"/>
        </w:rPr>
      </w:pPr>
    </w:p>
    <w:p w14:paraId="238628A6" w14:textId="77777777" w:rsidR="00E225CE" w:rsidRPr="003267D5" w:rsidRDefault="00E225CE" w:rsidP="00DC71E8">
      <w:pPr>
        <w:spacing w:after="0" w:line="360" w:lineRule="auto"/>
        <w:jc w:val="both"/>
        <w:rPr>
          <w:rFonts w:ascii="Times New Roman" w:hAnsi="Times New Roman" w:cs="Times New Roman"/>
          <w:b/>
          <w:i/>
          <w:sz w:val="24"/>
          <w:szCs w:val="24"/>
        </w:rPr>
      </w:pPr>
      <w:r w:rsidRPr="003267D5">
        <w:rPr>
          <w:rFonts w:ascii="Times New Roman" w:hAnsi="Times New Roman" w:cs="Times New Roman"/>
          <w:b/>
          <w:i/>
          <w:sz w:val="24"/>
          <w:szCs w:val="24"/>
        </w:rPr>
        <w:t>Situácia v bývaní, obývanosti a vybavenosti bytového fondu</w:t>
      </w:r>
    </w:p>
    <w:p w14:paraId="6CD23B2C"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Domový a bytový fond v Kopaničiarskom regióne je do značnej časti málo využívaný na trvalé bývanie. Ide najmä o kopanice, kde je počet neobývaných domov značne vyšší ako v centrách obcí, resp. na kopaniciach. Celkovo v Kopaničiarskom regióne bolo v roku 20</w:t>
      </w:r>
      <w:r w:rsidR="00515847">
        <w:rPr>
          <w:rFonts w:ascii="Times New Roman" w:hAnsi="Times New Roman" w:cs="Times New Roman"/>
          <w:sz w:val="24"/>
          <w:szCs w:val="24"/>
        </w:rPr>
        <w:t>11</w:t>
      </w:r>
      <w:r w:rsidR="00E225CE" w:rsidRPr="00E225CE">
        <w:rPr>
          <w:rFonts w:ascii="Times New Roman" w:hAnsi="Times New Roman" w:cs="Times New Roman"/>
          <w:sz w:val="24"/>
          <w:szCs w:val="24"/>
        </w:rPr>
        <w:t xml:space="preserve"> trvalo obývaných 6</w:t>
      </w:r>
      <w:r w:rsidR="00146BB1">
        <w:rPr>
          <w:rFonts w:ascii="Times New Roman" w:hAnsi="Times New Roman" w:cs="Times New Roman"/>
          <w:sz w:val="24"/>
          <w:szCs w:val="24"/>
        </w:rPr>
        <w:t>7,89</w:t>
      </w:r>
      <w:r w:rsidR="00E225CE" w:rsidRPr="00E225CE">
        <w:rPr>
          <w:rFonts w:ascii="Times New Roman" w:hAnsi="Times New Roman" w:cs="Times New Roman"/>
          <w:sz w:val="24"/>
          <w:szCs w:val="24"/>
        </w:rPr>
        <w:t xml:space="preserve"> % všetkých domov, teda </w:t>
      </w:r>
      <w:r w:rsidR="00146BB1">
        <w:rPr>
          <w:rFonts w:ascii="Times New Roman" w:hAnsi="Times New Roman" w:cs="Times New Roman"/>
          <w:sz w:val="24"/>
          <w:szCs w:val="24"/>
        </w:rPr>
        <w:t>vyše</w:t>
      </w:r>
      <w:r w:rsidR="00146BB1" w:rsidRPr="00E225CE">
        <w:rPr>
          <w:rFonts w:ascii="Times New Roman" w:hAnsi="Times New Roman" w:cs="Times New Roman"/>
          <w:sz w:val="24"/>
          <w:szCs w:val="24"/>
        </w:rPr>
        <w:t xml:space="preserve"> </w:t>
      </w:r>
      <w:r w:rsidR="00E225CE" w:rsidRPr="00E225CE">
        <w:rPr>
          <w:rFonts w:ascii="Times New Roman" w:hAnsi="Times New Roman" w:cs="Times New Roman"/>
          <w:sz w:val="24"/>
          <w:szCs w:val="24"/>
        </w:rPr>
        <w:t xml:space="preserve">32 % bolo neobývaných, resp. využívaných najmä pre účely druhého bývania v podobe chalúp a chát. V rámci regiónu sa však tieto hodnoty odlišovali. Najviac trvalo obývaných domov mali mesto Myjava (85,9 %) a obec Poriadie (74,4 %). Naopak, najmenej trvalo obývanými domami disponujú obce Podkylava (52 %) a Priepasné (55,6 %), čiže takmer polovica z ich domového fondu nebola trvalo obývaná. </w:t>
      </w:r>
    </w:p>
    <w:p w14:paraId="58350324"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Trocha odlišná je situácia v bytovom fonde, kde pre prospech vyššieho využitia trvalej obývanosti v regióne, zavážili najmä mestá regiónu, keďže v nich nachádza značné množstvo bytov. V celom regióne bolo trvalo obývaných 79,1 % všetkých bytov, čo je teda o 11 % viac ako pri domovom fonde. Na bližšie údaje o trvalej obývanosti domov a bytov v Kopaničiarskom regióne poukazuje </w:t>
      </w:r>
      <w:r w:rsidR="00E225CE" w:rsidRPr="00F560B2">
        <w:rPr>
          <w:rFonts w:ascii="Times New Roman" w:hAnsi="Times New Roman" w:cs="Times New Roman"/>
          <w:sz w:val="24"/>
          <w:szCs w:val="24"/>
        </w:rPr>
        <w:t xml:space="preserve">tabuľka </w:t>
      </w:r>
      <w:r w:rsidR="00321594" w:rsidRPr="00F560B2">
        <w:rPr>
          <w:rFonts w:ascii="Times New Roman" w:hAnsi="Times New Roman" w:cs="Times New Roman"/>
          <w:sz w:val="24"/>
          <w:szCs w:val="24"/>
        </w:rPr>
        <w:t>3.1.1</w:t>
      </w:r>
      <w:r w:rsidRPr="00F560B2">
        <w:rPr>
          <w:rFonts w:ascii="Times New Roman" w:hAnsi="Times New Roman" w:cs="Times New Roman"/>
          <w:sz w:val="24"/>
          <w:szCs w:val="24"/>
        </w:rPr>
        <w:t>9</w:t>
      </w:r>
      <w:r w:rsidR="00E225CE" w:rsidRPr="00F560B2">
        <w:rPr>
          <w:rFonts w:ascii="Times New Roman" w:hAnsi="Times New Roman" w:cs="Times New Roman"/>
          <w:sz w:val="24"/>
          <w:szCs w:val="24"/>
        </w:rPr>
        <w:t>.</w:t>
      </w:r>
    </w:p>
    <w:p w14:paraId="04C6552C" w14:textId="77777777" w:rsidR="00321594" w:rsidRPr="00DC71E8" w:rsidRDefault="00E225CE" w:rsidP="00DC71E8">
      <w:pPr>
        <w:spacing w:before="120" w:after="0" w:line="360" w:lineRule="auto"/>
        <w:jc w:val="both"/>
        <w:rPr>
          <w:rFonts w:ascii="Times New Roman" w:hAnsi="Times New Roman" w:cs="Times New Roman"/>
          <w:b/>
          <w:sz w:val="20"/>
          <w:szCs w:val="20"/>
        </w:rPr>
      </w:pPr>
      <w:r w:rsidRPr="00DC71E8">
        <w:rPr>
          <w:rFonts w:ascii="Times New Roman" w:hAnsi="Times New Roman" w:cs="Times New Roman"/>
          <w:b/>
          <w:sz w:val="20"/>
          <w:szCs w:val="20"/>
        </w:rPr>
        <w:t xml:space="preserve">Tabuľka </w:t>
      </w:r>
      <w:r w:rsidR="00321594" w:rsidRPr="00DC71E8">
        <w:rPr>
          <w:rFonts w:ascii="Times New Roman" w:hAnsi="Times New Roman" w:cs="Times New Roman"/>
          <w:b/>
          <w:sz w:val="20"/>
          <w:szCs w:val="20"/>
        </w:rPr>
        <w:t>3.1.1</w:t>
      </w:r>
      <w:r w:rsidR="00DC71E8" w:rsidRPr="00DC71E8">
        <w:rPr>
          <w:rFonts w:ascii="Times New Roman" w:hAnsi="Times New Roman" w:cs="Times New Roman"/>
          <w:b/>
          <w:sz w:val="20"/>
          <w:szCs w:val="20"/>
        </w:rPr>
        <w:t>9</w:t>
      </w:r>
      <w:r w:rsidRPr="00DC71E8">
        <w:rPr>
          <w:rFonts w:ascii="Times New Roman" w:hAnsi="Times New Roman" w:cs="Times New Roman"/>
          <w:b/>
          <w:sz w:val="20"/>
          <w:szCs w:val="20"/>
        </w:rPr>
        <w:t xml:space="preserve"> Trvalo obývané domy a byty v Kopaničiarskom regióne v roku 20</w:t>
      </w:r>
      <w:r w:rsidR="00321594" w:rsidRPr="00DC71E8">
        <w:rPr>
          <w:rFonts w:ascii="Times New Roman" w:hAnsi="Times New Roman" w:cs="Times New Roman"/>
          <w:b/>
          <w:sz w:val="20"/>
          <w:szCs w:val="20"/>
        </w:rPr>
        <w:t>11</w:t>
      </w:r>
    </w:p>
    <w:tbl>
      <w:tblPr>
        <w:tblW w:w="8560" w:type="dxa"/>
        <w:tblInd w:w="55" w:type="dxa"/>
        <w:tblCellMar>
          <w:left w:w="70" w:type="dxa"/>
          <w:right w:w="70" w:type="dxa"/>
        </w:tblCellMar>
        <w:tblLook w:val="04A0" w:firstRow="1" w:lastRow="0" w:firstColumn="1" w:lastColumn="0" w:noHBand="0" w:noVBand="1"/>
      </w:tblPr>
      <w:tblGrid>
        <w:gridCol w:w="2000"/>
        <w:gridCol w:w="1120"/>
        <w:gridCol w:w="980"/>
        <w:gridCol w:w="940"/>
        <w:gridCol w:w="900"/>
        <w:gridCol w:w="1140"/>
        <w:gridCol w:w="1480"/>
      </w:tblGrid>
      <w:tr w:rsidR="00321594" w:rsidRPr="00DC71E8" w14:paraId="2CCD7680" w14:textId="77777777" w:rsidTr="00321594">
        <w:trPr>
          <w:trHeight w:val="315"/>
        </w:trPr>
        <w:tc>
          <w:tcPr>
            <w:tcW w:w="20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7BE2B56" w14:textId="77777777" w:rsidR="00321594" w:rsidRPr="00DC71E8" w:rsidRDefault="00321594" w:rsidP="00DC71E8">
            <w:pPr>
              <w:spacing w:before="100" w:beforeAutospacing="1" w:after="0" w:line="240" w:lineRule="auto"/>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Obec</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5915E7A"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Počet rodinných domov</w:t>
            </w:r>
          </w:p>
        </w:tc>
        <w:tc>
          <w:tcPr>
            <w:tcW w:w="9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4E25F2A"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Počet bytových domov</w:t>
            </w:r>
          </w:p>
        </w:tc>
        <w:tc>
          <w:tcPr>
            <w:tcW w:w="4460" w:type="dxa"/>
            <w:gridSpan w:val="4"/>
            <w:tcBorders>
              <w:top w:val="single" w:sz="4" w:space="0" w:color="auto"/>
              <w:left w:val="nil"/>
              <w:bottom w:val="single" w:sz="4" w:space="0" w:color="auto"/>
              <w:right w:val="single" w:sz="4" w:space="0" w:color="000000"/>
            </w:tcBorders>
            <w:shd w:val="clear" w:color="000000" w:fill="D9D9D9"/>
            <w:vAlign w:val="bottom"/>
            <w:hideMark/>
          </w:tcPr>
          <w:p w14:paraId="4B6996DD"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Neobývané domy</w:t>
            </w:r>
          </w:p>
        </w:tc>
      </w:tr>
      <w:tr w:rsidR="00321594" w:rsidRPr="00DC71E8" w14:paraId="158D1EA6" w14:textId="77777777" w:rsidTr="00321594">
        <w:trPr>
          <w:trHeight w:val="315"/>
        </w:trPr>
        <w:tc>
          <w:tcPr>
            <w:tcW w:w="2000" w:type="dxa"/>
            <w:vMerge/>
            <w:tcBorders>
              <w:top w:val="single" w:sz="4" w:space="0" w:color="auto"/>
              <w:left w:val="single" w:sz="4" w:space="0" w:color="auto"/>
              <w:bottom w:val="single" w:sz="4" w:space="0" w:color="000000"/>
              <w:right w:val="single" w:sz="4" w:space="0" w:color="auto"/>
            </w:tcBorders>
            <w:vAlign w:val="center"/>
            <w:hideMark/>
          </w:tcPr>
          <w:p w14:paraId="6147DAA6" w14:textId="77777777" w:rsidR="00321594" w:rsidRPr="00DC71E8" w:rsidRDefault="00321594" w:rsidP="00DC71E8">
            <w:pPr>
              <w:spacing w:before="100" w:beforeAutospacing="1" w:after="0" w:line="240" w:lineRule="auto"/>
              <w:rPr>
                <w:rFonts w:ascii="Times New Roman" w:eastAsia="Times New Roman" w:hAnsi="Times New Roman" w:cs="Times New Roman"/>
                <w:b/>
                <w:bCs/>
                <w:color w:val="000000"/>
                <w:sz w:val="20"/>
                <w:szCs w:val="20"/>
                <w:lang w:eastAsia="sk-SK"/>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1C9BFD74"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27571B3E"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9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3BCD3AB"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Počet</w:t>
            </w:r>
          </w:p>
        </w:tc>
        <w:tc>
          <w:tcPr>
            <w:tcW w:w="9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E111F2A"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Podiel (%)</w:t>
            </w:r>
          </w:p>
        </w:tc>
        <w:tc>
          <w:tcPr>
            <w:tcW w:w="2620" w:type="dxa"/>
            <w:gridSpan w:val="2"/>
            <w:tcBorders>
              <w:top w:val="single" w:sz="4" w:space="0" w:color="auto"/>
              <w:left w:val="nil"/>
              <w:bottom w:val="single" w:sz="4" w:space="0" w:color="auto"/>
              <w:right w:val="single" w:sz="4" w:space="0" w:color="000000"/>
            </w:tcBorders>
            <w:shd w:val="clear" w:color="000000" w:fill="D9D9D9"/>
            <w:vAlign w:val="center"/>
            <w:hideMark/>
          </w:tcPr>
          <w:p w14:paraId="41E55225"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Z toho slúžiace rekreácii</w:t>
            </w:r>
          </w:p>
        </w:tc>
      </w:tr>
      <w:tr w:rsidR="00321594" w:rsidRPr="00DC71E8" w14:paraId="2332F997" w14:textId="77777777" w:rsidTr="00321594">
        <w:trPr>
          <w:trHeight w:val="315"/>
        </w:trPr>
        <w:tc>
          <w:tcPr>
            <w:tcW w:w="2000" w:type="dxa"/>
            <w:vMerge/>
            <w:tcBorders>
              <w:top w:val="single" w:sz="4" w:space="0" w:color="auto"/>
              <w:left w:val="single" w:sz="4" w:space="0" w:color="auto"/>
              <w:bottom w:val="single" w:sz="4" w:space="0" w:color="000000"/>
              <w:right w:val="single" w:sz="4" w:space="0" w:color="auto"/>
            </w:tcBorders>
            <w:vAlign w:val="center"/>
            <w:hideMark/>
          </w:tcPr>
          <w:p w14:paraId="61DD8B89" w14:textId="77777777" w:rsidR="00321594" w:rsidRPr="00DC71E8" w:rsidRDefault="00321594" w:rsidP="00DC71E8">
            <w:pPr>
              <w:spacing w:before="100" w:beforeAutospacing="1" w:after="0" w:line="240" w:lineRule="auto"/>
              <w:rPr>
                <w:rFonts w:ascii="Times New Roman" w:eastAsia="Times New Roman" w:hAnsi="Times New Roman" w:cs="Times New Roman"/>
                <w:b/>
                <w:bCs/>
                <w:color w:val="000000"/>
                <w:sz w:val="20"/>
                <w:szCs w:val="20"/>
                <w:lang w:eastAsia="sk-SK"/>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0B3F00AE"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0B09DAFF"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940" w:type="dxa"/>
            <w:vMerge/>
            <w:tcBorders>
              <w:top w:val="nil"/>
              <w:left w:val="single" w:sz="4" w:space="0" w:color="auto"/>
              <w:bottom w:val="single" w:sz="4" w:space="0" w:color="000000"/>
              <w:right w:val="single" w:sz="4" w:space="0" w:color="auto"/>
            </w:tcBorders>
            <w:vAlign w:val="center"/>
            <w:hideMark/>
          </w:tcPr>
          <w:p w14:paraId="14231C91"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900" w:type="dxa"/>
            <w:vMerge/>
            <w:tcBorders>
              <w:top w:val="nil"/>
              <w:left w:val="single" w:sz="4" w:space="0" w:color="auto"/>
              <w:bottom w:val="single" w:sz="4" w:space="0" w:color="000000"/>
              <w:right w:val="single" w:sz="4" w:space="0" w:color="auto"/>
            </w:tcBorders>
            <w:vAlign w:val="center"/>
            <w:hideMark/>
          </w:tcPr>
          <w:p w14:paraId="220B956F" w14:textId="77777777" w:rsidR="00321594" w:rsidRPr="00DC71E8" w:rsidRDefault="00321594" w:rsidP="00321594">
            <w:pPr>
              <w:spacing w:after="0" w:line="240" w:lineRule="auto"/>
              <w:rPr>
                <w:rFonts w:ascii="Times New Roman" w:eastAsia="Times New Roman" w:hAnsi="Times New Roman" w:cs="Times New Roman"/>
                <w:b/>
                <w:bCs/>
                <w:color w:val="000000"/>
                <w:sz w:val="20"/>
                <w:szCs w:val="20"/>
                <w:lang w:eastAsia="sk-SK"/>
              </w:rPr>
            </w:pPr>
          </w:p>
        </w:tc>
        <w:tc>
          <w:tcPr>
            <w:tcW w:w="1140" w:type="dxa"/>
            <w:tcBorders>
              <w:top w:val="nil"/>
              <w:left w:val="nil"/>
              <w:bottom w:val="single" w:sz="4" w:space="0" w:color="auto"/>
              <w:right w:val="single" w:sz="4" w:space="0" w:color="auto"/>
            </w:tcBorders>
            <w:shd w:val="clear" w:color="000000" w:fill="D9D9D9"/>
            <w:vAlign w:val="center"/>
            <w:hideMark/>
          </w:tcPr>
          <w:p w14:paraId="317083FD"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 xml:space="preserve">Počet </w:t>
            </w:r>
          </w:p>
        </w:tc>
        <w:tc>
          <w:tcPr>
            <w:tcW w:w="1480" w:type="dxa"/>
            <w:tcBorders>
              <w:top w:val="nil"/>
              <w:left w:val="nil"/>
              <w:bottom w:val="single" w:sz="4" w:space="0" w:color="auto"/>
              <w:right w:val="single" w:sz="4" w:space="0" w:color="auto"/>
            </w:tcBorders>
            <w:shd w:val="clear" w:color="000000" w:fill="D9D9D9"/>
            <w:vAlign w:val="center"/>
            <w:hideMark/>
          </w:tcPr>
          <w:p w14:paraId="44845162" w14:textId="77777777" w:rsidR="00321594" w:rsidRPr="00DC71E8" w:rsidRDefault="00321594" w:rsidP="00321594">
            <w:pPr>
              <w:spacing w:after="0" w:line="240" w:lineRule="auto"/>
              <w:jc w:val="center"/>
              <w:rPr>
                <w:rFonts w:ascii="Times New Roman" w:eastAsia="Times New Roman" w:hAnsi="Times New Roman" w:cs="Times New Roman"/>
                <w:b/>
                <w:bCs/>
                <w:color w:val="000000"/>
                <w:sz w:val="20"/>
                <w:szCs w:val="20"/>
                <w:lang w:eastAsia="sk-SK"/>
              </w:rPr>
            </w:pPr>
            <w:r w:rsidRPr="00DC71E8">
              <w:rPr>
                <w:rFonts w:ascii="Times New Roman" w:eastAsia="Times New Roman" w:hAnsi="Times New Roman" w:cs="Times New Roman"/>
                <w:b/>
                <w:bCs/>
                <w:color w:val="000000"/>
                <w:sz w:val="20"/>
                <w:szCs w:val="20"/>
                <w:lang w:eastAsia="sk-SK"/>
              </w:rPr>
              <w:t>Podiel (%)</w:t>
            </w:r>
          </w:p>
        </w:tc>
      </w:tr>
      <w:tr w:rsidR="00321594" w:rsidRPr="00DC71E8" w14:paraId="34F40FE8" w14:textId="77777777" w:rsidTr="00321594">
        <w:trPr>
          <w:trHeight w:val="315"/>
        </w:trPr>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759DD94A" w14:textId="77777777" w:rsidR="00321594" w:rsidRPr="00DC71E8" w:rsidRDefault="00321594" w:rsidP="00DC71E8">
            <w:pPr>
              <w:spacing w:before="100" w:beforeAutospacing="1" w:after="0" w:line="240" w:lineRule="auto"/>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Kopaničiarsky región</w:t>
            </w:r>
          </w:p>
        </w:tc>
        <w:tc>
          <w:tcPr>
            <w:tcW w:w="1120" w:type="dxa"/>
            <w:tcBorders>
              <w:top w:val="nil"/>
              <w:left w:val="nil"/>
              <w:bottom w:val="single" w:sz="4" w:space="0" w:color="auto"/>
              <w:right w:val="single" w:sz="4" w:space="0" w:color="auto"/>
            </w:tcBorders>
            <w:shd w:val="clear" w:color="auto" w:fill="auto"/>
            <w:noWrap/>
            <w:vAlign w:val="bottom"/>
            <w:hideMark/>
          </w:tcPr>
          <w:p w14:paraId="43A5D801"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7 883</w:t>
            </w:r>
          </w:p>
        </w:tc>
        <w:tc>
          <w:tcPr>
            <w:tcW w:w="980" w:type="dxa"/>
            <w:tcBorders>
              <w:top w:val="nil"/>
              <w:left w:val="nil"/>
              <w:bottom w:val="single" w:sz="4" w:space="0" w:color="auto"/>
              <w:right w:val="single" w:sz="4" w:space="0" w:color="auto"/>
            </w:tcBorders>
            <w:shd w:val="clear" w:color="auto" w:fill="auto"/>
            <w:noWrap/>
            <w:vAlign w:val="bottom"/>
            <w:hideMark/>
          </w:tcPr>
          <w:p w14:paraId="4C5C7C66"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669</w:t>
            </w:r>
          </w:p>
        </w:tc>
        <w:tc>
          <w:tcPr>
            <w:tcW w:w="940" w:type="dxa"/>
            <w:tcBorders>
              <w:top w:val="nil"/>
              <w:left w:val="nil"/>
              <w:bottom w:val="single" w:sz="4" w:space="0" w:color="auto"/>
              <w:right w:val="single" w:sz="4" w:space="0" w:color="auto"/>
            </w:tcBorders>
            <w:shd w:val="clear" w:color="auto" w:fill="auto"/>
            <w:noWrap/>
            <w:vAlign w:val="bottom"/>
            <w:hideMark/>
          </w:tcPr>
          <w:p w14:paraId="131D2D53"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4044</w:t>
            </w:r>
          </w:p>
        </w:tc>
        <w:tc>
          <w:tcPr>
            <w:tcW w:w="900" w:type="dxa"/>
            <w:tcBorders>
              <w:top w:val="nil"/>
              <w:left w:val="nil"/>
              <w:bottom w:val="single" w:sz="4" w:space="0" w:color="auto"/>
              <w:right w:val="single" w:sz="4" w:space="0" w:color="auto"/>
            </w:tcBorders>
            <w:shd w:val="clear" w:color="auto" w:fill="auto"/>
            <w:noWrap/>
            <w:vAlign w:val="bottom"/>
            <w:hideMark/>
          </w:tcPr>
          <w:p w14:paraId="61607B94"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51,3</w:t>
            </w:r>
          </w:p>
        </w:tc>
        <w:tc>
          <w:tcPr>
            <w:tcW w:w="1140" w:type="dxa"/>
            <w:tcBorders>
              <w:top w:val="nil"/>
              <w:left w:val="nil"/>
              <w:bottom w:val="single" w:sz="4" w:space="0" w:color="auto"/>
              <w:right w:val="single" w:sz="4" w:space="0" w:color="auto"/>
            </w:tcBorders>
            <w:shd w:val="clear" w:color="auto" w:fill="auto"/>
            <w:noWrap/>
            <w:vAlign w:val="bottom"/>
            <w:hideMark/>
          </w:tcPr>
          <w:p w14:paraId="4D71BFF8"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2797</w:t>
            </w:r>
          </w:p>
        </w:tc>
        <w:tc>
          <w:tcPr>
            <w:tcW w:w="1480" w:type="dxa"/>
            <w:tcBorders>
              <w:top w:val="nil"/>
              <w:left w:val="nil"/>
              <w:bottom w:val="single" w:sz="4" w:space="0" w:color="auto"/>
              <w:right w:val="single" w:sz="4" w:space="0" w:color="auto"/>
            </w:tcBorders>
            <w:shd w:val="clear" w:color="auto" w:fill="auto"/>
            <w:noWrap/>
            <w:vAlign w:val="bottom"/>
            <w:hideMark/>
          </w:tcPr>
          <w:p w14:paraId="1FDE79D1" w14:textId="77777777" w:rsidR="00321594" w:rsidRPr="00DC71E8" w:rsidRDefault="00321594" w:rsidP="00321594">
            <w:pPr>
              <w:spacing w:after="0" w:line="240" w:lineRule="auto"/>
              <w:jc w:val="center"/>
              <w:rPr>
                <w:rFonts w:ascii="Times New Roman" w:eastAsia="Times New Roman" w:hAnsi="Times New Roman" w:cs="Times New Roman"/>
                <w:color w:val="000000"/>
                <w:sz w:val="20"/>
                <w:szCs w:val="20"/>
                <w:lang w:eastAsia="sk-SK"/>
              </w:rPr>
            </w:pPr>
            <w:r w:rsidRPr="00DC71E8">
              <w:rPr>
                <w:rFonts w:ascii="Times New Roman" w:eastAsia="Times New Roman" w:hAnsi="Times New Roman" w:cs="Times New Roman"/>
                <w:color w:val="000000"/>
                <w:sz w:val="20"/>
                <w:szCs w:val="20"/>
                <w:lang w:eastAsia="sk-SK"/>
              </w:rPr>
              <w:t>35,48</w:t>
            </w:r>
          </w:p>
        </w:tc>
      </w:tr>
    </w:tbl>
    <w:p w14:paraId="12130DFA" w14:textId="77777777" w:rsidR="00E225CE" w:rsidRPr="00EE3313" w:rsidRDefault="00EE3313" w:rsidP="003267D5">
      <w:pPr>
        <w:spacing w:before="120" w:after="0" w:line="360" w:lineRule="auto"/>
        <w:jc w:val="both"/>
        <w:rPr>
          <w:rFonts w:ascii="Times New Roman" w:hAnsi="Times New Roman" w:cs="Times New Roman"/>
          <w:b/>
          <w:sz w:val="20"/>
          <w:szCs w:val="20"/>
        </w:rPr>
      </w:pPr>
      <w:r w:rsidRPr="00EE3313">
        <w:rPr>
          <w:rFonts w:ascii="Times New Roman" w:hAnsi="Times New Roman" w:cs="Times New Roman"/>
          <w:b/>
          <w:sz w:val="20"/>
          <w:szCs w:val="20"/>
        </w:rPr>
        <w:t>Zdroj: SODB 2011</w:t>
      </w:r>
    </w:p>
    <w:p w14:paraId="000BE95F" w14:textId="77777777" w:rsidR="00E225CE" w:rsidRPr="00E225CE" w:rsidRDefault="00DC71E8" w:rsidP="003267D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 Kopaničiarskom regióne v roku 20</w:t>
      </w:r>
      <w:r w:rsidR="00146BB1">
        <w:rPr>
          <w:rFonts w:ascii="Times New Roman" w:hAnsi="Times New Roman" w:cs="Times New Roman"/>
          <w:sz w:val="24"/>
          <w:szCs w:val="24"/>
        </w:rPr>
        <w:t>11</w:t>
      </w:r>
      <w:r w:rsidR="00E225CE" w:rsidRPr="00E225CE">
        <w:rPr>
          <w:rFonts w:ascii="Times New Roman" w:hAnsi="Times New Roman" w:cs="Times New Roman"/>
          <w:sz w:val="24"/>
          <w:szCs w:val="24"/>
        </w:rPr>
        <w:t xml:space="preserve"> tvorili približne rovnaký podiel byty v rodinných domoch (49,03 %) i v bytových domoch (50,22 %). Kým v mestách jednoznačne </w:t>
      </w:r>
      <w:r w:rsidR="00E225CE" w:rsidRPr="00E225CE">
        <w:rPr>
          <w:rFonts w:ascii="Times New Roman" w:hAnsi="Times New Roman" w:cs="Times New Roman"/>
          <w:sz w:val="24"/>
          <w:szCs w:val="24"/>
        </w:rPr>
        <w:lastRenderedPageBreak/>
        <w:t xml:space="preserve">dominujú byty v bytových domoch (všetky </w:t>
      </w:r>
      <w:r w:rsidR="003267D5">
        <w:rPr>
          <w:rFonts w:ascii="Times New Roman" w:hAnsi="Times New Roman" w:cs="Times New Roman"/>
          <w:sz w:val="24"/>
          <w:szCs w:val="24"/>
        </w:rPr>
        <w:t>tri mestá nad 70 %), vo vidiecky</w:t>
      </w:r>
      <w:r w:rsidR="00E225CE" w:rsidRPr="00E225CE">
        <w:rPr>
          <w:rFonts w:ascii="Times New Roman" w:hAnsi="Times New Roman" w:cs="Times New Roman"/>
          <w:sz w:val="24"/>
          <w:szCs w:val="24"/>
        </w:rPr>
        <w:t>ch obciach tvoria byty v bytových domoch len marginálnu zložku bytového fondu. V 16-tich z 23 obcí tvoria byty v rodinných domoch viac ako 90% podiel na celkovom bytovom fonde obcí.</w:t>
      </w:r>
    </w:p>
    <w:p w14:paraId="640481CE"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Veková štruktúra bytov regiónu viac-menej zodpovedá celoslovenskej štatistike. Najviac bytov (31,43 %) bolo postavených v povojnovom období (1946-1970) (tabuľka 2.5.4). V tom čase sa už stihla prejaviť aj hromadná bytová výstavba v socialistickom</w:t>
      </w:r>
      <w:r w:rsidR="003267D5">
        <w:rPr>
          <w:rFonts w:ascii="Times New Roman" w:hAnsi="Times New Roman" w:cs="Times New Roman"/>
          <w:sz w:val="24"/>
          <w:szCs w:val="24"/>
        </w:rPr>
        <w:t xml:space="preserve"> duchu, stále však dominovala vý</w:t>
      </w:r>
      <w:r w:rsidR="00E225CE" w:rsidRPr="00E225CE">
        <w:rPr>
          <w:rFonts w:ascii="Times New Roman" w:hAnsi="Times New Roman" w:cs="Times New Roman"/>
          <w:sz w:val="24"/>
          <w:szCs w:val="24"/>
        </w:rPr>
        <w:t>stavba bytov v rodinných domoch. Významný podiel na bytovom fonde regiónu majú aj byty postavené v období rokov 1971-1980 (vzhľadom na to, že ide iba o 10 ročný interval, dá sa konštatovať, že výstavba v tomto období bola najintenzívnejšia – 426 bytov/rok). Na celkovom bytovom fonde sa byty z tohto obdobia podieľajú 28,49</w:t>
      </w:r>
      <w:r w:rsidR="003267D5">
        <w:rPr>
          <w:rFonts w:ascii="Times New Roman" w:hAnsi="Times New Roman" w:cs="Times New Roman"/>
          <w:sz w:val="24"/>
          <w:szCs w:val="24"/>
        </w:rPr>
        <w:t>%</w:t>
      </w:r>
      <w:r w:rsidR="00CD641E">
        <w:rPr>
          <w:rFonts w:ascii="Times New Roman" w:hAnsi="Times New Roman" w:cs="Times New Roman"/>
          <w:sz w:val="24"/>
          <w:szCs w:val="24"/>
        </w:rPr>
        <w:t>-am</w:t>
      </w:r>
      <w:r w:rsidR="00E225CE" w:rsidRPr="00E225CE">
        <w:rPr>
          <w:rFonts w:ascii="Times New Roman" w:hAnsi="Times New Roman" w:cs="Times New Roman"/>
          <w:sz w:val="24"/>
          <w:szCs w:val="24"/>
        </w:rPr>
        <w:t>i. Byty z tohto obdobia tvoria najvýznamnejší podiel (3019 bytov, teda 40,24 %) zo všetkých bytov v bytových domoch. Z hľadiska veku bytového fondu nepozorujeme medzi obcami výrazne rozdiely. Za zmienku azda stojí len fakt, že v meste Stará Turá bolo najviac bytov v bytových domoch postavených až v období rokov 1981-1990, kým v Myjave a Brezovej pod Bradlom v tomto období už tempo výstavby bytov v bytových domoch klesalo.</w:t>
      </w:r>
    </w:p>
    <w:p w14:paraId="1BF4A0B1"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Od veku bytov čiastočne závisí aj ich technická vybavenosť. Stav vybavenosti bytov je uspokojivý, no nie vo všetkých ukazovateľoch. Na vodu z verejného vodovodu je napojených 94,66 % bytov, kúpeľňou je vybavených 91,39 % bytov, no na plyn zo siete je napojených iba 58,24 % bytov a na kanalizáciu 55,26 %</w:t>
      </w:r>
      <w:r w:rsidR="00321594">
        <w:rPr>
          <w:rFonts w:ascii="Times New Roman" w:hAnsi="Times New Roman" w:cs="Times New Roman"/>
          <w:sz w:val="24"/>
          <w:szCs w:val="24"/>
        </w:rPr>
        <w:t>.</w:t>
      </w:r>
      <w:r w:rsidR="00E225CE" w:rsidRPr="00E225CE">
        <w:rPr>
          <w:rFonts w:ascii="Times New Roman" w:hAnsi="Times New Roman" w:cs="Times New Roman"/>
          <w:sz w:val="24"/>
          <w:szCs w:val="24"/>
        </w:rPr>
        <w:t>.</w:t>
      </w:r>
    </w:p>
    <w:p w14:paraId="12C57A26" w14:textId="77777777" w:rsidR="00E225CE" w:rsidRPr="00E225CE" w:rsidRDefault="00DC71E8" w:rsidP="00DC71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Vybavenosť územia infraštruktúrou (dopravná, environmentálna), zameranie sa na zistenie stavu neobývanosti domov, ich stavebnotechnický stav, vekovú štruktúru domov a bytov, identifikácia rekreačných, ubytovacích a stravovacích zariadení, poľnohospodárske a výrobné objekty, rekreačné areály a areály poskytujúce zázemie pre diverzifikáciu činností na vidieku s dôrazom na cestovný ruch. (Popis stavu technickej,  komunikačnej a cestnej infraštruktúry Pasporty voľných budov, ich stav, vlastníctvo a plány s budúcim využitím)</w:t>
      </w:r>
    </w:p>
    <w:p w14:paraId="3CEBC119" w14:textId="77777777" w:rsidR="00BE07E5" w:rsidRDefault="00BE07E5" w:rsidP="007E10F7">
      <w:pPr>
        <w:spacing w:after="0" w:line="360" w:lineRule="auto"/>
        <w:jc w:val="both"/>
        <w:rPr>
          <w:rFonts w:ascii="Times New Roman" w:hAnsi="Times New Roman" w:cs="Times New Roman"/>
          <w:b/>
          <w:i/>
          <w:sz w:val="24"/>
          <w:szCs w:val="24"/>
        </w:rPr>
      </w:pPr>
    </w:p>
    <w:p w14:paraId="3B5BA5E3" w14:textId="77777777" w:rsidR="00E225CE" w:rsidRPr="00B741D2" w:rsidRDefault="00E225CE" w:rsidP="00BE07E5">
      <w:pPr>
        <w:spacing w:after="0" w:line="360" w:lineRule="auto"/>
        <w:jc w:val="both"/>
        <w:rPr>
          <w:rFonts w:ascii="Times New Roman" w:hAnsi="Times New Roman" w:cs="Times New Roman"/>
          <w:b/>
          <w:i/>
          <w:sz w:val="24"/>
          <w:szCs w:val="24"/>
        </w:rPr>
      </w:pPr>
      <w:r w:rsidRPr="00B741D2">
        <w:rPr>
          <w:rFonts w:ascii="Times New Roman" w:hAnsi="Times New Roman" w:cs="Times New Roman"/>
          <w:b/>
          <w:i/>
          <w:sz w:val="24"/>
          <w:szCs w:val="24"/>
        </w:rPr>
        <w:t>Dopravná infraštruktúra</w:t>
      </w:r>
    </w:p>
    <w:p w14:paraId="45F7CC15"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Do Kopaničiarskeho regiónu zasahujú len štátne cesty II. a III. triedy a miestne komunikácie, a je tu len jeden cestný hraničný priechod - Vrbovce do Českej republiky. Členitosť terénu a typické kopaničiarske osídlenie sa prejavuje najmä v množstve komunikácií III. triedy. Dĺžka ciest II. a III. triedy v regióne je 315,4 km. Z toho ciest II. triedy 68 km.  </w:t>
      </w:r>
    </w:p>
    <w:p w14:paraId="4E5D1A91"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225CE" w:rsidRPr="00E225CE">
        <w:rPr>
          <w:rFonts w:ascii="Times New Roman" w:hAnsi="Times New Roman" w:cs="Times New Roman"/>
          <w:sz w:val="24"/>
          <w:szCs w:val="24"/>
        </w:rPr>
        <w:t>V meste Myjava bol sprevádzkovaný obchvat (Dolný dopravný uzol), ktorý odbremenil zaťaženie centra mesta. Do budúcna možno v Myjave predpokladať vybudovanie ďalšieho obchvatu, ktorý by nadväzoval na Dolný dopravný uzol, čím by došlo k ďalšiemu potrebnému odľahčeniu dopravy prechádzajúcej okresným mestom. V meste Brezová pod Bradlom sa uvažuje s preložením štátnej cesty II/499 z dôvodu obtiažnosti v úseku Piešťanská ulica. Dôležitou komunikáciou vedúcou celým regiónom a spájajúcou Nové Mesto n/V, Starú Turú, Myjavu a Senicu je štátna cesta II/581. V rámci koncepcie rozvoja regiónu je snaha o vybudovanie nadregionálnej komunikácie v osi Kúty - Senica - Myjava - Stará Turá - Nové Mesto nad Váhom. Táto komunikácia by prepojila diaľnicu D2 Brno - Kúty - Malacky - Bratislava a D1 Bratislava – Trnava – Piešťany – Nové Mesto nad Váhom – Trenčín i s možnosťou napojenia na Rakúsko.</w:t>
      </w:r>
    </w:p>
    <w:p w14:paraId="64D11DD1"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Stav povrchu väčšiny ciest v regióne </w:t>
      </w:r>
      <w:r w:rsidR="00CD641E">
        <w:rPr>
          <w:rFonts w:ascii="Times New Roman" w:hAnsi="Times New Roman" w:cs="Times New Roman"/>
          <w:sz w:val="24"/>
          <w:szCs w:val="24"/>
        </w:rPr>
        <w:t xml:space="preserve">nie </w:t>
      </w:r>
      <w:r w:rsidR="00E225CE" w:rsidRPr="00E225CE">
        <w:rPr>
          <w:rFonts w:ascii="Times New Roman" w:hAnsi="Times New Roman" w:cs="Times New Roman"/>
          <w:sz w:val="24"/>
          <w:szCs w:val="24"/>
        </w:rPr>
        <w:t xml:space="preserve">je na dobrej úrovni, avšak niektoré miestne komunikácie sú v nižšej kvality, resp. ich povrch je značne opotrebovaný. No situácia sa pomaly začína zlepšovať aj v tomto smere a každým rokom sa rekonštruuje viac a viac cestných komunikácií – či už z vlastných zdrojov, alebo z financií dotovaných Európskymi spoločenstvami. </w:t>
      </w:r>
    </w:p>
    <w:p w14:paraId="4571BF68" w14:textId="77777777" w:rsidR="00C57880"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Verejná doprava je zabezpečovaná SAD Trnava, a.s. a SAD Trenčín, a.s. Mestskú hromadnú dopravu (MHD) v Myjave zabezpečuje SAD Trenčín, a.s., prevádzkareň Nové Mesto nad Váhom. Regiónom prechádzajú tri medzištátne autobusové linky: Partizánske - Brezová pod Bradlom - Brno, Vrbovce - Javorník n. Veličkou, Vrbovce - Veľká n. Veličkou a jedna diaľková autobusové linka: Senica - Brezová pod Bradlom - Banská Bystrica.</w:t>
      </w:r>
    </w:p>
    <w:p w14:paraId="37C8C283"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sa nachádza 5 autobusových staníc (1 Brezová pod Bradlom, 1 Krajné, 2 Myjava a 1 Stará Turá), a množstvo zastávok.  </w:t>
      </w:r>
    </w:p>
    <w:p w14:paraId="2BDAEB3D"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225CE" w:rsidRPr="00E225CE">
        <w:rPr>
          <w:rFonts w:ascii="Times New Roman" w:hAnsi="Times New Roman" w:cs="Times New Roman"/>
          <w:sz w:val="24"/>
          <w:szCs w:val="24"/>
        </w:rPr>
        <w:t xml:space="preserve">V Kopaničiarskom regióne sa nachádza aj železničná infraštruktúra. Dĺžka železničných tratí v regióne je 40 km. Trate sú jednokoľajové, neelektrifikované. Ide o 2 trate, tou prvou a oveľa kratšou je železničná trať vychádzajúca z mesta Brezová pod Bradlom, smerujúca do Jablonice a ďalej do Senice, resp. Trnavy. Avšak táto je už od roku 2005 pre účely prepravy cestujúcich nefunkčná a teda prepravuje sa na nej iba náklad. Jej dĺžka v regióne je 3 km. Oblasťou prechádza medzinárodná železničná trasa Nové Mesto nad Váhom – Myjava – Veselí nad Moravou. Prechádza obcami Višňové, Hrachovište, Vaďovce, Stará Turá, Poriadie, Myjava, Brestovec a Vrbovce v celkovej dĺžke 37 km. Trať sa začala stavať v roku 1923 a dokončená bola v roku 1929. Bola to najdrahšia dopravná stavba v bývalej ČSR v priebehu 20-tych rokov 20.stor. Súčasťou trate v katastroch obcí Brestovec a Vrbovce je aj </w:t>
      </w:r>
      <w:r w:rsidR="00E225CE" w:rsidRPr="00E225CE">
        <w:rPr>
          <w:rFonts w:ascii="Times New Roman" w:hAnsi="Times New Roman" w:cs="Times New Roman"/>
          <w:sz w:val="24"/>
          <w:szCs w:val="24"/>
        </w:rPr>
        <w:lastRenderedPageBreak/>
        <w:t xml:space="preserve">tunel M.R. Štefánika, dlhý 2421 m, svojho času najdlhší v celej ČSR. V súčasnosti denne prichádza zo smeru Nové Mesto nad Váhom na Myjavu </w:t>
      </w:r>
      <w:r w:rsidR="00CD641E">
        <w:rPr>
          <w:rFonts w:ascii="Times New Roman" w:hAnsi="Times New Roman" w:cs="Times New Roman"/>
          <w:sz w:val="24"/>
          <w:szCs w:val="24"/>
        </w:rPr>
        <w:t>9</w:t>
      </w:r>
      <w:r w:rsidR="00E225CE" w:rsidRPr="00E225CE">
        <w:rPr>
          <w:rFonts w:ascii="Times New Roman" w:hAnsi="Times New Roman" w:cs="Times New Roman"/>
          <w:sz w:val="24"/>
          <w:szCs w:val="24"/>
        </w:rPr>
        <w:t xml:space="preserve"> spojov denne. Smerom na Vrbovce to však je už len </w:t>
      </w:r>
      <w:r w:rsidR="00CD641E">
        <w:rPr>
          <w:rFonts w:ascii="Times New Roman" w:hAnsi="Times New Roman" w:cs="Times New Roman"/>
          <w:sz w:val="24"/>
          <w:szCs w:val="24"/>
        </w:rPr>
        <w:t>5</w:t>
      </w:r>
      <w:r w:rsidR="00E225CE" w:rsidRPr="00E225CE">
        <w:rPr>
          <w:rFonts w:ascii="Times New Roman" w:hAnsi="Times New Roman" w:cs="Times New Roman"/>
          <w:sz w:val="24"/>
          <w:szCs w:val="24"/>
        </w:rPr>
        <w:t xml:space="preserve"> spojov denne. Opačným smerom je počet nasledovný, a síce,  </w:t>
      </w:r>
      <w:r w:rsidR="00CD641E">
        <w:rPr>
          <w:rFonts w:ascii="Times New Roman" w:hAnsi="Times New Roman" w:cs="Times New Roman"/>
          <w:sz w:val="24"/>
          <w:szCs w:val="24"/>
        </w:rPr>
        <w:t>5</w:t>
      </w:r>
      <w:r w:rsidR="00E225CE" w:rsidRPr="00E225CE">
        <w:rPr>
          <w:rFonts w:ascii="Times New Roman" w:hAnsi="Times New Roman" w:cs="Times New Roman"/>
          <w:sz w:val="24"/>
          <w:szCs w:val="24"/>
        </w:rPr>
        <w:t xml:space="preserve"> spojov zo smeru Vrbovce – Myjava a </w:t>
      </w:r>
      <w:r w:rsidR="00CD641E">
        <w:rPr>
          <w:rFonts w:ascii="Times New Roman" w:hAnsi="Times New Roman" w:cs="Times New Roman"/>
          <w:sz w:val="24"/>
          <w:szCs w:val="24"/>
        </w:rPr>
        <w:t>9</w:t>
      </w:r>
      <w:r w:rsidR="00E225CE" w:rsidRPr="00E225CE">
        <w:rPr>
          <w:rFonts w:ascii="Times New Roman" w:hAnsi="Times New Roman" w:cs="Times New Roman"/>
          <w:sz w:val="24"/>
          <w:szCs w:val="24"/>
        </w:rPr>
        <w:t xml:space="preserve"> spojov smer Myjava - Nové Mesto nad Váhom. Nákladná doprava kvôli nefunkčnosti hraničného priechodu (cestujúci musia vo Vrbovciach prestupovať a čakať na spoj do ČR)</w:t>
      </w:r>
      <w:r w:rsidR="00CD641E">
        <w:rPr>
          <w:rFonts w:ascii="Times New Roman" w:hAnsi="Times New Roman" w:cs="Times New Roman"/>
          <w:sz w:val="24"/>
          <w:szCs w:val="24"/>
        </w:rPr>
        <w:t xml:space="preserve"> už takmer zanikla</w:t>
      </w:r>
      <w:r w:rsidR="00E225CE" w:rsidRPr="00E225CE">
        <w:rPr>
          <w:rFonts w:ascii="Times New Roman" w:hAnsi="Times New Roman" w:cs="Times New Roman"/>
          <w:sz w:val="24"/>
          <w:szCs w:val="24"/>
        </w:rPr>
        <w:t xml:space="preserve">. </w:t>
      </w:r>
    </w:p>
    <w:p w14:paraId="087F603A" w14:textId="77777777" w:rsidR="007E10F7" w:rsidRDefault="007E10F7" w:rsidP="007E10F7">
      <w:pPr>
        <w:spacing w:after="0" w:line="360" w:lineRule="auto"/>
        <w:jc w:val="both"/>
        <w:rPr>
          <w:rFonts w:ascii="Times New Roman" w:hAnsi="Times New Roman" w:cs="Times New Roman"/>
          <w:b/>
          <w:i/>
          <w:sz w:val="24"/>
          <w:szCs w:val="24"/>
        </w:rPr>
      </w:pPr>
    </w:p>
    <w:p w14:paraId="199B351D" w14:textId="77777777" w:rsidR="00E225CE" w:rsidRPr="00B741D2" w:rsidRDefault="00E225CE" w:rsidP="007E10F7">
      <w:pPr>
        <w:spacing w:after="0" w:line="360" w:lineRule="auto"/>
        <w:jc w:val="both"/>
        <w:rPr>
          <w:rFonts w:ascii="Times New Roman" w:hAnsi="Times New Roman" w:cs="Times New Roman"/>
          <w:b/>
          <w:i/>
          <w:sz w:val="24"/>
          <w:szCs w:val="24"/>
        </w:rPr>
      </w:pPr>
      <w:r w:rsidRPr="00B741D2">
        <w:rPr>
          <w:rFonts w:ascii="Times New Roman" w:hAnsi="Times New Roman" w:cs="Times New Roman"/>
          <w:b/>
          <w:i/>
          <w:sz w:val="24"/>
          <w:szCs w:val="24"/>
        </w:rPr>
        <w:t>Environmentálna infraštruktúra</w:t>
      </w:r>
    </w:p>
    <w:p w14:paraId="72515B2B"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Odkanalizovanie Kopaničiarskeho regiónu je jednou z priorít v environmentálnej oblasti. Avšak územia, kde prevláda rozptýlené osídlenie majú v tomto smere značné nevýhody. Veľké množstvo kopaníc a ich rozmiestnenie v Kopaničiarskom regióne nedáva dobré predpoklady pre vybudovanie kompletnej kanalizačnej siete s napojením aj na ČOV, ako napr. regiónu ležiacemu na nížine s niekoľkými väčšími kompaktnými obcami. </w:t>
      </w:r>
    </w:p>
    <w:p w14:paraId="36238552"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Najmä preto, ale aj pre nedostatok financií v rozpočtoch obcí, disponujú kanalizáciou v Kopaničiarskom regióne iba všetky 3 mestá a 2 obce. Aj to v prípade miest ide iba o odkanalizovanie intravilánov miest a nie kopaníc, spadajúcich do ich katastrálneho územia. Podobne je to aj pri obciach Bzince pod Javorinou a Krajné, kde je kanalizácia zavedená len v centrálnej časti obce a obyvateľstvo v iných častiach obce, resp. na kopaniciach rieši problém kanalizácie vlastnými septikmi, žumpami, resp. domovými čistiarňami odpadových vôd. </w:t>
      </w:r>
    </w:p>
    <w:p w14:paraId="0BBE68A5"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V Kopaničiarskom regióne sa nachádza skupinový vodovod Myjava – Brezová pod Bradlom, ktorý využíva zásoby v množstve 110 l/s. Keďže daný región je deficitný na dostatok pitnej vody je tento vodovod prepojený na skupinový vodovod Čachtice – Nové Mesto nad Váhom – Stará Turá. Vodné zdroje majú rozkolísané prietoky, čo je spôsobené vysušovaním krajiny, zrýchleným odtokom a v neposlednom rade úpravou vodných tokov. </w:t>
      </w:r>
    </w:p>
    <w:p w14:paraId="22C12ADB" w14:textId="77777777" w:rsidR="00CD641E" w:rsidRDefault="00321594" w:rsidP="007E10F7">
      <w:pPr>
        <w:spacing w:after="0" w:line="360" w:lineRule="auto"/>
        <w:rPr>
          <w:rFonts w:ascii="Times New Roman" w:hAnsi="Times New Roman" w:cs="Times New Roman"/>
          <w:sz w:val="24"/>
          <w:szCs w:val="24"/>
        </w:rPr>
      </w:pPr>
      <w:r>
        <w:rPr>
          <w:rFonts w:ascii="Times New Roman" w:hAnsi="Times New Roman" w:cs="Times New Roman"/>
          <w:sz w:val="24"/>
          <w:szCs w:val="24"/>
        </w:rPr>
        <w:t>V</w:t>
      </w:r>
      <w:r w:rsidR="00E225CE" w:rsidRPr="00E225CE">
        <w:rPr>
          <w:rFonts w:ascii="Times New Roman" w:hAnsi="Times New Roman" w:cs="Times New Roman"/>
          <w:sz w:val="24"/>
          <w:szCs w:val="24"/>
        </w:rPr>
        <w:t>šetky obce Kopaničiarskeho regiónu okrem Chvojnice sú napojené na vodovodnú sieť</w:t>
      </w:r>
      <w:r w:rsidR="007E10F7">
        <w:rPr>
          <w:rFonts w:ascii="Times New Roman" w:hAnsi="Times New Roman" w:cs="Times New Roman"/>
          <w:sz w:val="24"/>
          <w:szCs w:val="24"/>
        </w:rPr>
        <w:t>.</w:t>
      </w:r>
    </w:p>
    <w:p w14:paraId="6795CDC7" w14:textId="77777777" w:rsidR="007E10F7" w:rsidRDefault="007E10F7" w:rsidP="007E10F7">
      <w:pPr>
        <w:spacing w:after="0" w:line="360" w:lineRule="auto"/>
        <w:rPr>
          <w:rFonts w:ascii="Times New Roman" w:hAnsi="Times New Roman" w:cs="Times New Roman"/>
          <w:sz w:val="24"/>
          <w:szCs w:val="24"/>
        </w:rPr>
      </w:pPr>
    </w:p>
    <w:p w14:paraId="79042A4D" w14:textId="77777777" w:rsidR="00E225CE" w:rsidRPr="00B741D2" w:rsidRDefault="00E225CE" w:rsidP="007E10F7">
      <w:pPr>
        <w:spacing w:after="0" w:line="360" w:lineRule="auto"/>
        <w:rPr>
          <w:rFonts w:ascii="Times New Roman" w:hAnsi="Times New Roman" w:cs="Times New Roman"/>
          <w:b/>
          <w:i/>
          <w:sz w:val="24"/>
          <w:szCs w:val="24"/>
        </w:rPr>
      </w:pPr>
      <w:r w:rsidRPr="00B741D2">
        <w:rPr>
          <w:rFonts w:ascii="Times New Roman" w:hAnsi="Times New Roman" w:cs="Times New Roman"/>
          <w:b/>
          <w:i/>
          <w:sz w:val="24"/>
          <w:szCs w:val="24"/>
        </w:rPr>
        <w:t>Rekreačné, ubytovacie a stravovacie zariadenia</w:t>
      </w:r>
    </w:p>
    <w:p w14:paraId="2FD7B21A" w14:textId="77777777" w:rsidR="00E225CE" w:rsidRP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Kopaničiarsky región má dobré predpoklady pre rozvoj cestovného ruchu. Avšak v súčinnosti s tým, musí nastať skvalitňovanie služieb a najmä samotnej infraštruktúry cestovného ruchu. Pomerne veľkým nedostatkom je kvantita, no najmä kvalita tejto infraštruktúry, aj keď v ostatnom čase môžeme badať istý posun vpred. </w:t>
      </w:r>
    </w:p>
    <w:p w14:paraId="00D8591B" w14:textId="77777777" w:rsidR="00E225CE" w:rsidRPr="00E225CE" w:rsidRDefault="00E225CE" w:rsidP="007E10F7">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V regióne sa nachádza viacero rekreačných zariadení (RZ), stredísk (RS), príp. oblastí (RO). Medzi tie najvýznamnejšie patria:</w:t>
      </w:r>
    </w:p>
    <w:p w14:paraId="06DF0321" w14:textId="77777777" w:rsidR="00E225CE" w:rsidRPr="00C733A5" w:rsidRDefault="00E225CE" w:rsidP="007E10F7">
      <w:pPr>
        <w:spacing w:after="0" w:line="360" w:lineRule="auto"/>
        <w:ind w:left="284"/>
        <w:jc w:val="both"/>
        <w:rPr>
          <w:rFonts w:ascii="Times New Roman" w:hAnsi="Times New Roman" w:cs="Times New Roman"/>
          <w:i/>
          <w:sz w:val="24"/>
          <w:szCs w:val="24"/>
        </w:rPr>
      </w:pPr>
      <w:r w:rsidRPr="00C733A5">
        <w:rPr>
          <w:rFonts w:ascii="Times New Roman" w:hAnsi="Times New Roman" w:cs="Times New Roman"/>
          <w:i/>
          <w:sz w:val="24"/>
          <w:szCs w:val="24"/>
        </w:rPr>
        <w:lastRenderedPageBreak/>
        <w:t>-</w:t>
      </w:r>
      <w:r w:rsidRPr="00C733A5">
        <w:rPr>
          <w:rFonts w:ascii="Times New Roman" w:hAnsi="Times New Roman" w:cs="Times New Roman"/>
          <w:i/>
          <w:sz w:val="24"/>
          <w:szCs w:val="24"/>
        </w:rPr>
        <w:tab/>
        <w:t>RZ Mladosť v Brezovej pod Bradlom</w:t>
      </w:r>
    </w:p>
    <w:p w14:paraId="3487C3CF" w14:textId="77777777" w:rsidR="00E225CE" w:rsidRPr="00E225CE" w:rsidRDefault="00E225CE" w:rsidP="007E10F7">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 xml:space="preserve">Kapacita ubytovania je 30 lôžok. Zariadenie poskytuje veľké možnosti na turistické vychádzky do okolia (lesy), využitie cyklistických trás. K dispozícii sú 2 tenisové dvorce s umelým trávovým povrchom, plážový volejbal, pétanque, menšie bazény na plávanie, trávnaté ihrisko na minifutbal alebo iné športové aktivity, sauna pre ubytovaných. </w:t>
      </w:r>
    </w:p>
    <w:p w14:paraId="576FB1BB" w14:textId="77777777" w:rsidR="00E225CE" w:rsidRPr="00C733A5" w:rsidRDefault="00E225CE" w:rsidP="007E10F7">
      <w:pPr>
        <w:spacing w:after="0" w:line="360" w:lineRule="auto"/>
        <w:ind w:left="284"/>
        <w:jc w:val="both"/>
        <w:rPr>
          <w:rFonts w:ascii="Times New Roman" w:hAnsi="Times New Roman" w:cs="Times New Roman"/>
          <w:i/>
          <w:sz w:val="24"/>
          <w:szCs w:val="24"/>
        </w:rPr>
      </w:pPr>
      <w:r w:rsidRPr="00C733A5">
        <w:rPr>
          <w:rFonts w:ascii="Times New Roman" w:hAnsi="Times New Roman" w:cs="Times New Roman"/>
          <w:i/>
          <w:sz w:val="24"/>
          <w:szCs w:val="24"/>
        </w:rPr>
        <w:t>-</w:t>
      </w:r>
      <w:r w:rsidRPr="00C733A5">
        <w:rPr>
          <w:rFonts w:ascii="Times New Roman" w:hAnsi="Times New Roman" w:cs="Times New Roman"/>
          <w:i/>
          <w:sz w:val="24"/>
          <w:szCs w:val="24"/>
        </w:rPr>
        <w:tab/>
        <w:t>RS Euroland s okolím v Starej Myjave</w:t>
      </w:r>
    </w:p>
    <w:p w14:paraId="730226BD" w14:textId="77777777" w:rsidR="00E225CE" w:rsidRPr="00E225CE" w:rsidRDefault="00E225CE" w:rsidP="007E10F7">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Rekreačné stredisko Euroland Stará Myjava sa nachádza pri vodnej nádrži Stará Myjava. Samotné rekreačné stredisko ponúka celoročné ubytovanie v hlavnej budove s kapacitou cca 70 lôžok a v troch drevených chatách typu Liptov s kapacitou 120 lôžok. V exteriéroch rekreačného strediska sa nachádza futbalové ihrisko, antukové volejbalové ihrisko, pieskové ihrisko na plážový volejbal, mini bazén, streetbalové ihrisko, ohniská s besiedkami na príjemné podvečerné posedenia, amfiteáter pre 200 ľudí a ranč pre kone. 5 minút pešej chôdze od rekreačného strediska Euroland sa nachádza lyžiarske stredisko SKI LAND, s možnosťou celodenného lyžovania na dvoch 450 metrových umelo zasnežovaných zjazdovkách, nočným lyžovaním a kvalitne vybavenou požičovňou lyžiarskeho výstroja.</w:t>
      </w:r>
    </w:p>
    <w:p w14:paraId="3495140D" w14:textId="77777777" w:rsidR="00E225CE" w:rsidRPr="00C733A5" w:rsidRDefault="00E225CE" w:rsidP="007E10F7">
      <w:pPr>
        <w:spacing w:after="0" w:line="360" w:lineRule="auto"/>
        <w:ind w:left="284"/>
        <w:jc w:val="both"/>
        <w:rPr>
          <w:rFonts w:ascii="Times New Roman" w:hAnsi="Times New Roman" w:cs="Times New Roman"/>
          <w:i/>
          <w:sz w:val="24"/>
          <w:szCs w:val="24"/>
        </w:rPr>
      </w:pPr>
      <w:r w:rsidRPr="00C733A5">
        <w:rPr>
          <w:rFonts w:ascii="Times New Roman" w:hAnsi="Times New Roman" w:cs="Times New Roman"/>
          <w:i/>
          <w:sz w:val="24"/>
          <w:szCs w:val="24"/>
        </w:rPr>
        <w:t>-</w:t>
      </w:r>
      <w:r w:rsidRPr="00C733A5">
        <w:rPr>
          <w:rFonts w:ascii="Times New Roman" w:hAnsi="Times New Roman" w:cs="Times New Roman"/>
          <w:i/>
          <w:sz w:val="24"/>
          <w:szCs w:val="24"/>
        </w:rPr>
        <w:tab/>
        <w:t xml:space="preserve">RO Dubník pri Starej Turej </w:t>
      </w:r>
    </w:p>
    <w:p w14:paraId="562F0612" w14:textId="77777777" w:rsidR="00E225CE" w:rsidRDefault="00E225CE" w:rsidP="007E10F7">
      <w:pPr>
        <w:spacing w:after="0" w:line="360" w:lineRule="auto"/>
        <w:jc w:val="both"/>
        <w:rPr>
          <w:rFonts w:ascii="Times New Roman" w:hAnsi="Times New Roman" w:cs="Times New Roman"/>
          <w:sz w:val="24"/>
          <w:szCs w:val="24"/>
        </w:rPr>
      </w:pPr>
      <w:r w:rsidRPr="00E225CE">
        <w:rPr>
          <w:rFonts w:ascii="Times New Roman" w:hAnsi="Times New Roman" w:cs="Times New Roman"/>
          <w:sz w:val="24"/>
          <w:szCs w:val="24"/>
        </w:rPr>
        <w:t xml:space="preserve">Rekreačná oblasť Dubník pri Starej Turej ponúka rôzne druhy ubytovania, od kampingu, chát, penziónu, až po hotelové zariadenia. Počas letnej sezóny ponúka ubytovanie, kemping, kúpanie, požičovňu lodiek, vodných bicyklov, tenisové dvorce, stolný tenis, možnosť rybolovu, atď. Počet ubytovacích kapacít v tejto oblasti je asi 500 z toho Hotel Sanus, ktorý </w:t>
      </w:r>
      <w:r w:rsidR="00C733A5">
        <w:rPr>
          <w:rFonts w:ascii="Times New Roman" w:hAnsi="Times New Roman" w:cs="Times New Roman"/>
          <w:sz w:val="24"/>
          <w:szCs w:val="24"/>
        </w:rPr>
        <w:t>je momentálne nefunkčný</w:t>
      </w:r>
      <w:r w:rsidRPr="00E225CE">
        <w:rPr>
          <w:rFonts w:ascii="Times New Roman" w:hAnsi="Times New Roman" w:cs="Times New Roman"/>
          <w:sz w:val="24"/>
          <w:szCs w:val="24"/>
        </w:rPr>
        <w:t xml:space="preserve"> pokrýva 145 lôžok. </w:t>
      </w:r>
    </w:p>
    <w:p w14:paraId="6508C817" w14:textId="77777777" w:rsidR="00C733A5" w:rsidRPr="00C733A5" w:rsidRDefault="00C733A5" w:rsidP="007E10F7">
      <w:pPr>
        <w:spacing w:after="0"/>
        <w:ind w:left="284"/>
      </w:pPr>
      <w:r w:rsidRPr="00C733A5">
        <w:rPr>
          <w:rFonts w:ascii="Times New Roman" w:hAnsi="Times New Roman" w:cs="Times New Roman"/>
          <w:i/>
          <w:sz w:val="24"/>
          <w:szCs w:val="24"/>
        </w:rPr>
        <w:t>-</w:t>
      </w:r>
      <w:r w:rsidRPr="00C733A5">
        <w:rPr>
          <w:rFonts w:ascii="Times New Roman" w:hAnsi="Times New Roman" w:cs="Times New Roman"/>
          <w:i/>
          <w:sz w:val="24"/>
          <w:szCs w:val="24"/>
        </w:rPr>
        <w:tab/>
        <w:t xml:space="preserve">Rekreačné stredisko Prašník </w:t>
      </w:r>
    </w:p>
    <w:p w14:paraId="1CF0F53F" w14:textId="77777777" w:rsidR="00C733A5" w:rsidRDefault="00C733A5" w:rsidP="00B741D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Poskytuje </w:t>
      </w:r>
      <w:r w:rsidRPr="00C733A5">
        <w:rPr>
          <w:rFonts w:ascii="Times New Roman" w:hAnsi="Times New Roman" w:cs="Times New Roman"/>
          <w:sz w:val="24"/>
          <w:szCs w:val="24"/>
        </w:rPr>
        <w:t xml:space="preserve">ubytovanie v turistickej triede, ale stravovanie aj pre náročných klientov. </w:t>
      </w:r>
      <w:r>
        <w:rPr>
          <w:rFonts w:ascii="Times New Roman" w:hAnsi="Times New Roman" w:cs="Times New Roman"/>
          <w:sz w:val="24"/>
          <w:szCs w:val="24"/>
        </w:rPr>
        <w:t>U</w:t>
      </w:r>
      <w:r w:rsidRPr="00C733A5">
        <w:rPr>
          <w:rFonts w:ascii="Times New Roman" w:hAnsi="Times New Roman" w:cs="Times New Roman"/>
          <w:sz w:val="24"/>
          <w:szCs w:val="24"/>
        </w:rPr>
        <w:t xml:space="preserve">bytovacia kapacita je 100 miest, </w:t>
      </w:r>
      <w:r>
        <w:rPr>
          <w:rFonts w:ascii="Times New Roman" w:hAnsi="Times New Roman" w:cs="Times New Roman"/>
          <w:sz w:val="24"/>
          <w:szCs w:val="24"/>
        </w:rPr>
        <w:t>č</w:t>
      </w:r>
      <w:r w:rsidRPr="00C733A5">
        <w:rPr>
          <w:rFonts w:ascii="Times New Roman" w:hAnsi="Times New Roman" w:cs="Times New Roman"/>
          <w:sz w:val="24"/>
          <w:szCs w:val="24"/>
        </w:rPr>
        <w:t xml:space="preserve">omu zodpovedá aj jedáleň, cafebar, letná terasa. Pre </w:t>
      </w:r>
      <w:r>
        <w:rPr>
          <w:rFonts w:ascii="Times New Roman" w:hAnsi="Times New Roman" w:cs="Times New Roman"/>
          <w:sz w:val="24"/>
          <w:szCs w:val="24"/>
        </w:rPr>
        <w:t xml:space="preserve">relax slúži </w:t>
      </w:r>
      <w:r w:rsidRPr="00C733A5">
        <w:rPr>
          <w:rFonts w:ascii="Times New Roman" w:hAnsi="Times New Roman" w:cs="Times New Roman"/>
          <w:sz w:val="24"/>
          <w:szCs w:val="24"/>
        </w:rPr>
        <w:t>vonkajší a vnútorný bazén,</w:t>
      </w:r>
      <w:r>
        <w:rPr>
          <w:rFonts w:ascii="Times New Roman" w:hAnsi="Times New Roman" w:cs="Times New Roman"/>
          <w:sz w:val="24"/>
          <w:szCs w:val="24"/>
        </w:rPr>
        <w:t xml:space="preserve"> vírivka a sauna</w:t>
      </w:r>
      <w:r w:rsidRPr="00C733A5">
        <w:rPr>
          <w:rFonts w:ascii="Times New Roman" w:hAnsi="Times New Roman" w:cs="Times New Roman"/>
          <w:sz w:val="24"/>
          <w:szCs w:val="24"/>
        </w:rPr>
        <w:t>.</w:t>
      </w:r>
      <w:r w:rsidRPr="00C733A5">
        <w:t xml:space="preserve"> </w:t>
      </w:r>
      <w:r>
        <w:rPr>
          <w:rFonts w:ascii="Times New Roman" w:hAnsi="Times New Roman" w:cs="Times New Roman"/>
          <w:sz w:val="24"/>
          <w:szCs w:val="24"/>
        </w:rPr>
        <w:t>Školiaca</w:t>
      </w:r>
      <w:r w:rsidRPr="00C733A5">
        <w:rPr>
          <w:rFonts w:ascii="Times New Roman" w:hAnsi="Times New Roman" w:cs="Times New Roman"/>
          <w:sz w:val="24"/>
          <w:szCs w:val="24"/>
        </w:rPr>
        <w:t xml:space="preserve"> miestnosť </w:t>
      </w:r>
      <w:r>
        <w:rPr>
          <w:rFonts w:ascii="Times New Roman" w:hAnsi="Times New Roman" w:cs="Times New Roman"/>
          <w:sz w:val="24"/>
          <w:szCs w:val="24"/>
        </w:rPr>
        <w:t xml:space="preserve">je </w:t>
      </w:r>
      <w:r w:rsidRPr="00C733A5">
        <w:rPr>
          <w:rFonts w:ascii="Times New Roman" w:hAnsi="Times New Roman" w:cs="Times New Roman"/>
          <w:sz w:val="24"/>
          <w:szCs w:val="24"/>
        </w:rPr>
        <w:t>pre 24 osôb</w:t>
      </w:r>
      <w:r>
        <w:rPr>
          <w:rFonts w:ascii="Times New Roman" w:hAnsi="Times New Roman" w:cs="Times New Roman"/>
          <w:sz w:val="24"/>
          <w:szCs w:val="24"/>
        </w:rPr>
        <w:t xml:space="preserve">  a </w:t>
      </w:r>
      <w:r w:rsidRPr="00C733A5">
        <w:rPr>
          <w:rFonts w:ascii="Times New Roman" w:hAnsi="Times New Roman" w:cs="Times New Roman"/>
          <w:sz w:val="24"/>
          <w:szCs w:val="24"/>
        </w:rPr>
        <w:t>kompletný inventár pre slávnostné akcie – svatby, životné jubileá až do počtu 80 hostí.</w:t>
      </w:r>
    </w:p>
    <w:p w14:paraId="62FD3206" w14:textId="77777777" w:rsidR="00E225CE"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25CE" w:rsidRPr="00E225CE">
        <w:rPr>
          <w:rFonts w:ascii="Times New Roman" w:hAnsi="Times New Roman" w:cs="Times New Roman"/>
          <w:sz w:val="24"/>
          <w:szCs w:val="24"/>
        </w:rPr>
        <w:t xml:space="preserve">Okrem týchto hlavných rekreačných oblastí sa v regióne nachádza množstvo ďalších zariadení slúžiacich pre návštevníkov regiónu. Ide najmä o ubytovacie zariadenia rôzneho druhu, ktoré sú znázornené </w:t>
      </w:r>
      <w:r w:rsidR="00E225CE" w:rsidRPr="00F560B2">
        <w:rPr>
          <w:rFonts w:ascii="Times New Roman" w:hAnsi="Times New Roman" w:cs="Times New Roman"/>
          <w:sz w:val="24"/>
          <w:szCs w:val="24"/>
        </w:rPr>
        <w:t xml:space="preserve">v tabuľke </w:t>
      </w:r>
      <w:r w:rsidR="00CE2568" w:rsidRPr="00F560B2">
        <w:rPr>
          <w:rFonts w:ascii="Times New Roman" w:hAnsi="Times New Roman" w:cs="Times New Roman"/>
          <w:sz w:val="24"/>
          <w:szCs w:val="24"/>
        </w:rPr>
        <w:t>3.1.</w:t>
      </w:r>
      <w:r w:rsidRPr="00F560B2">
        <w:rPr>
          <w:rFonts w:ascii="Times New Roman" w:hAnsi="Times New Roman" w:cs="Times New Roman"/>
          <w:sz w:val="24"/>
          <w:szCs w:val="24"/>
        </w:rPr>
        <w:t>20</w:t>
      </w:r>
      <w:r w:rsidR="00E225CE" w:rsidRPr="00F560B2">
        <w:rPr>
          <w:rFonts w:ascii="Times New Roman" w:hAnsi="Times New Roman" w:cs="Times New Roman"/>
          <w:sz w:val="24"/>
          <w:szCs w:val="24"/>
        </w:rPr>
        <w:t>.</w:t>
      </w:r>
      <w:r w:rsidR="00E225CE" w:rsidRPr="00E225CE">
        <w:rPr>
          <w:rFonts w:ascii="Times New Roman" w:hAnsi="Times New Roman" w:cs="Times New Roman"/>
          <w:sz w:val="24"/>
          <w:szCs w:val="24"/>
        </w:rPr>
        <w:t xml:space="preserve"> K najdôležitejším patria: Hotel Štefánik v Myjave – 4.hviezdičkový nový hotel s kapacitou 70 lôžok, Hotel Lipa v Starej Turej – 3.hviezdičkový hotel s kapacitou 88 lôžok</w:t>
      </w:r>
      <w:r w:rsidR="002B0209">
        <w:rPr>
          <w:rFonts w:ascii="Times New Roman" w:hAnsi="Times New Roman" w:cs="Times New Roman"/>
          <w:sz w:val="24"/>
          <w:szCs w:val="24"/>
        </w:rPr>
        <w:t xml:space="preserve"> a Agropenzión ADAM.</w:t>
      </w:r>
      <w:r w:rsidR="00E225CE" w:rsidRPr="00E225CE">
        <w:rPr>
          <w:rFonts w:ascii="Times New Roman" w:hAnsi="Times New Roman" w:cs="Times New Roman"/>
          <w:sz w:val="24"/>
          <w:szCs w:val="24"/>
        </w:rPr>
        <w:t xml:space="preserve"> Množstvo väčších ubytovacích zariadení v Kopaničiarskom regióne je vybavených  aj kongresovou halou, čo vytvára dobré predpoklady pre rozvoj kongresového cestovného ruchu.  </w:t>
      </w:r>
    </w:p>
    <w:p w14:paraId="2674FC9A" w14:textId="77777777" w:rsidR="00E225CE" w:rsidRPr="00CE2568" w:rsidRDefault="00E225CE" w:rsidP="007E10F7">
      <w:pPr>
        <w:spacing w:before="120" w:after="0" w:line="360" w:lineRule="auto"/>
        <w:jc w:val="both"/>
        <w:rPr>
          <w:rFonts w:ascii="Times New Roman" w:hAnsi="Times New Roman" w:cs="Times New Roman"/>
          <w:b/>
          <w:sz w:val="20"/>
          <w:szCs w:val="20"/>
        </w:rPr>
      </w:pPr>
      <w:r w:rsidRPr="00CE2568">
        <w:rPr>
          <w:rFonts w:ascii="Times New Roman" w:hAnsi="Times New Roman" w:cs="Times New Roman"/>
          <w:b/>
          <w:sz w:val="20"/>
          <w:szCs w:val="20"/>
        </w:rPr>
        <w:lastRenderedPageBreak/>
        <w:t xml:space="preserve">Tabuľka </w:t>
      </w:r>
      <w:r w:rsidR="00CE2568">
        <w:rPr>
          <w:rFonts w:ascii="Times New Roman" w:hAnsi="Times New Roman" w:cs="Times New Roman"/>
          <w:b/>
          <w:sz w:val="20"/>
          <w:szCs w:val="20"/>
        </w:rPr>
        <w:t>3.1.</w:t>
      </w:r>
      <w:r w:rsidR="007E10F7">
        <w:rPr>
          <w:rFonts w:ascii="Times New Roman" w:hAnsi="Times New Roman" w:cs="Times New Roman"/>
          <w:b/>
          <w:sz w:val="20"/>
          <w:szCs w:val="20"/>
        </w:rPr>
        <w:t>20</w:t>
      </w:r>
      <w:r w:rsidRPr="00CE2568">
        <w:rPr>
          <w:rFonts w:ascii="Times New Roman" w:hAnsi="Times New Roman" w:cs="Times New Roman"/>
          <w:b/>
          <w:sz w:val="20"/>
          <w:szCs w:val="20"/>
        </w:rPr>
        <w:t xml:space="preserve"> Ubytovacie zariadenia v Kopaničiarskom regióne v roku 20</w:t>
      </w:r>
      <w:r w:rsidR="002B0209" w:rsidRPr="00CE2568">
        <w:rPr>
          <w:rFonts w:ascii="Times New Roman" w:hAnsi="Times New Roman" w:cs="Times New Roman"/>
          <w:b/>
          <w:sz w:val="20"/>
          <w:szCs w:val="20"/>
        </w:rPr>
        <w:t>1</w:t>
      </w:r>
      <w:r w:rsidR="00CE2568">
        <w:rPr>
          <w:rFonts w:ascii="Times New Roman" w:hAnsi="Times New Roman" w:cs="Times New Roman"/>
          <w:b/>
          <w:sz w:val="20"/>
          <w:szCs w:val="20"/>
        </w:rPr>
        <w:t>4</w:t>
      </w: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4468"/>
        <w:gridCol w:w="4576"/>
      </w:tblGrid>
      <w:tr w:rsidR="002B0209" w14:paraId="5F5790AF" w14:textId="77777777" w:rsidTr="002B0209">
        <w:trPr>
          <w:trHeight w:val="397"/>
          <w:jc w:val="center"/>
        </w:trPr>
        <w:tc>
          <w:tcPr>
            <w:tcW w:w="9044" w:type="dxa"/>
            <w:gridSpan w:val="2"/>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710B736A" w14:textId="77777777" w:rsidR="002B0209" w:rsidRPr="00126AC3" w:rsidRDefault="002B0209" w:rsidP="002B0209">
            <w:pPr>
              <w:pStyle w:val="Vchodzie"/>
              <w:spacing w:after="0" w:line="240" w:lineRule="auto"/>
              <w:rPr>
                <w:rFonts w:ascii="Times New Roman" w:hAnsi="Times New Roman" w:cs="Times New Roman"/>
                <w:sz w:val="20"/>
                <w:szCs w:val="20"/>
              </w:rPr>
            </w:pPr>
            <w:r w:rsidRPr="004A3DF4">
              <w:rPr>
                <w:rFonts w:ascii="Times New Roman" w:hAnsi="Times New Roman" w:cs="Times New Roman"/>
                <w:b/>
                <w:sz w:val="20"/>
                <w:szCs w:val="20"/>
              </w:rPr>
              <w:t xml:space="preserve">Významné ubytovacie zariadenia z hľadiska cestovného ruchu </w:t>
            </w:r>
            <w:r w:rsidRPr="004A3DF4">
              <w:rPr>
                <w:rFonts w:ascii="Times New Roman" w:hAnsi="Times New Roman" w:cs="Times New Roman"/>
                <w:sz w:val="20"/>
                <w:szCs w:val="20"/>
              </w:rPr>
              <w:t>(bez poradia dôležitosti)</w:t>
            </w:r>
          </w:p>
        </w:tc>
      </w:tr>
      <w:tr w:rsidR="002B0209" w14:paraId="39318252"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56680F"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Hotel Štefánik, Myjava</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36E2E32A"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Penzión Rosy, Myjava</w:t>
            </w:r>
          </w:p>
        </w:tc>
      </w:tr>
      <w:tr w:rsidR="002B0209" w14:paraId="1C280A57"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1693E"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 xml:space="preserve">Agropenzión Adam, Podkylava </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230F471E"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Penzión na Mlyne, Stará Turá</w:t>
            </w:r>
          </w:p>
        </w:tc>
      </w:tr>
      <w:tr w:rsidR="002B0209" w14:paraId="319A618E"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21672C"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Penzión Holotéch víška, Košariská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677FEC55"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RZ Javorinka, Dubník, Stará Turá</w:t>
            </w:r>
          </w:p>
        </w:tc>
      </w:tr>
      <w:tr w:rsidR="002B0209" w14:paraId="397EA158"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9D54EA"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 xml:space="preserve">Holubyho chata, Lubina </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50CF3DB1"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Hotel garni Hydrostav Dubník</w:t>
            </w:r>
          </w:p>
        </w:tc>
      </w:tr>
      <w:tr w:rsidR="002B0209" w14:paraId="32BF3ACC"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0071FA"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Hotel Lipa, Stará Turá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0E2168D4"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Chatová oblasť Stará Myjava</w:t>
            </w:r>
          </w:p>
        </w:tc>
      </w:tr>
      <w:tr w:rsidR="002B0209" w14:paraId="537E1EBA"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3F7D46"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Penzión Hájenka, Stará Turá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37B5C61D"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Hotel Spoločenský dom, Myjava (perspektívne)</w:t>
            </w:r>
          </w:p>
        </w:tc>
      </w:tr>
      <w:tr w:rsidR="002B0209" w14:paraId="677FF903"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6D9765"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2B0209">
              <w:rPr>
                <w:rFonts w:ascii="Times New Roman" w:hAnsi="Times New Roman" w:cs="Times New Roman"/>
                <w:sz w:val="20"/>
                <w:szCs w:val="20"/>
              </w:rPr>
              <w:t>Rekreačné stredisko</w:t>
            </w:r>
            <w:r>
              <w:rPr>
                <w:rFonts w:ascii="Times New Roman" w:hAnsi="Times New Roman" w:cs="Times New Roman"/>
                <w:sz w:val="20"/>
                <w:szCs w:val="20"/>
              </w:rPr>
              <w:t>,</w:t>
            </w:r>
            <w:r w:rsidRPr="002B0209">
              <w:rPr>
                <w:rFonts w:ascii="Times New Roman" w:hAnsi="Times New Roman" w:cs="Times New Roman"/>
                <w:sz w:val="20"/>
                <w:szCs w:val="20"/>
              </w:rPr>
              <w:t xml:space="preserve"> Prašník</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0F55BEA8" w14:textId="77777777" w:rsidR="002B0209" w:rsidRPr="004A3DF4" w:rsidRDefault="002B0209" w:rsidP="002B0209">
            <w:pPr>
              <w:pStyle w:val="Vchodzie"/>
              <w:spacing w:after="20" w:line="100" w:lineRule="atLeast"/>
              <w:rPr>
                <w:rFonts w:ascii="Times New Roman" w:hAnsi="Times New Roman" w:cs="Times New Roman"/>
                <w:sz w:val="20"/>
                <w:szCs w:val="20"/>
              </w:rPr>
            </w:pPr>
            <w:r>
              <w:rPr>
                <w:rFonts w:ascii="Times New Roman" w:hAnsi="Times New Roman" w:cs="Times New Roman"/>
                <w:sz w:val="20"/>
                <w:szCs w:val="20"/>
              </w:rPr>
              <w:t>T</w:t>
            </w:r>
            <w:r w:rsidRPr="002B0209">
              <w:rPr>
                <w:rFonts w:ascii="Times New Roman" w:hAnsi="Times New Roman" w:cs="Times New Roman"/>
                <w:sz w:val="20"/>
                <w:szCs w:val="20"/>
              </w:rPr>
              <w:t xml:space="preserve">ábor </w:t>
            </w:r>
            <w:r>
              <w:rPr>
                <w:rFonts w:ascii="Times New Roman" w:hAnsi="Times New Roman" w:cs="Times New Roman"/>
                <w:sz w:val="20"/>
                <w:szCs w:val="20"/>
              </w:rPr>
              <w:t>P</w:t>
            </w:r>
            <w:r w:rsidRPr="002B0209">
              <w:rPr>
                <w:rFonts w:ascii="Times New Roman" w:hAnsi="Times New Roman" w:cs="Times New Roman"/>
                <w:sz w:val="20"/>
                <w:szCs w:val="20"/>
              </w:rPr>
              <w:t>odvišňové</w:t>
            </w:r>
            <w:r>
              <w:rPr>
                <w:rFonts w:ascii="Times New Roman" w:hAnsi="Times New Roman" w:cs="Times New Roman"/>
                <w:sz w:val="20"/>
                <w:szCs w:val="20"/>
              </w:rPr>
              <w:t>, Bzince pod Javorinou</w:t>
            </w:r>
          </w:p>
        </w:tc>
      </w:tr>
      <w:tr w:rsidR="002B0209" w14:paraId="715CADEF" w14:textId="77777777" w:rsidTr="002B0209">
        <w:trPr>
          <w:trHeight w:val="397"/>
          <w:jc w:val="center"/>
        </w:trPr>
        <w:tc>
          <w:tcPr>
            <w:tcW w:w="9044" w:type="dxa"/>
            <w:gridSpan w:val="2"/>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3380DAF5"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b/>
                <w:sz w:val="20"/>
                <w:szCs w:val="20"/>
              </w:rPr>
              <w:t xml:space="preserve">Významné stravovacie zariadenia z hľadiska cestovného ruchu </w:t>
            </w:r>
            <w:r w:rsidRPr="004A3DF4">
              <w:rPr>
                <w:rFonts w:ascii="Times New Roman" w:hAnsi="Times New Roman" w:cs="Times New Roman"/>
                <w:sz w:val="20"/>
                <w:szCs w:val="20"/>
              </w:rPr>
              <w:t>(bez poradia dôležitosti)</w:t>
            </w:r>
          </w:p>
        </w:tc>
      </w:tr>
      <w:tr w:rsidR="002B0209" w14:paraId="2515411F"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89AE3A"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Reštaurácia u Juhása, Košariská</w:t>
            </w:r>
            <w:r>
              <w:rPr>
                <w:rFonts w:ascii="Times New Roman" w:hAnsi="Times New Roman" w:cs="Times New Roman"/>
                <w:sz w:val="20"/>
                <w:szCs w:val="20"/>
              </w:rPr>
              <w:t xml:space="preserve">* </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3BED990C"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Reštaurácia Trnovce, Myjava</w:t>
            </w:r>
          </w:p>
        </w:tc>
      </w:tr>
      <w:tr w:rsidR="002B0209" w14:paraId="596CFB9D"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FFAFC"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Gazdovský dvor U Apka, Brezová pod Bradlom</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51FC5C47"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Pizzeria Gurmán, Košariská</w:t>
            </w:r>
          </w:p>
        </w:tc>
      </w:tr>
      <w:tr w:rsidR="002B0209" w14:paraId="6BE58C6D"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FD9E7C"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Kross House, Myjava</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50B5DCD4"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u Tvarožkov, Brezová pod Bradlom</w:t>
            </w:r>
            <w:r w:rsidRPr="002A3C95">
              <w:rPr>
                <w:rFonts w:ascii="Times New Roman" w:hAnsi="Times New Roman" w:cs="Times New Roman"/>
                <w:color w:val="auto"/>
                <w:sz w:val="20"/>
                <w:szCs w:val="20"/>
              </w:rPr>
              <w:sym w:font="Symbol" w:char="F02A"/>
            </w:r>
          </w:p>
        </w:tc>
      </w:tr>
      <w:tr w:rsidR="002B0209" w14:paraId="41EA7E02"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492283"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Hotela Lipa, Stará Turá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70BDF199"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u sváka Ragana, Brezová pod Bradlom</w:t>
            </w:r>
          </w:p>
        </w:tc>
      </w:tr>
      <w:tr w:rsidR="002B0209" w14:paraId="59B7F606"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F0DD47"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Penziónu na Mlyne</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4265E2BB"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 xml:space="preserve">Country &amp; Western Saloon Cetuna, Bzince. p. J. </w:t>
            </w:r>
          </w:p>
        </w:tc>
      </w:tr>
      <w:tr w:rsidR="002B0209" w14:paraId="53322254"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663912"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u Anny, Jablonka</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49A828CD"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Salamander, Stará Turá</w:t>
            </w:r>
          </w:p>
        </w:tc>
      </w:tr>
      <w:tr w:rsidR="002B0209" w14:paraId="53A10E21"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BDE5C"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 xml:space="preserve">Albertina, reštaurácia Hotela Štefánik, Myjava </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706E5433"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Krčma na konci sveta, Lubina</w:t>
            </w:r>
          </w:p>
        </w:tc>
      </w:tr>
      <w:tr w:rsidR="002B0209" w14:paraId="2372E746"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A7ED84"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Vinotéka na Nátoni, Stará Myjava</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194FBF84"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Chata Bradlo (perspektívne)</w:t>
            </w:r>
          </w:p>
        </w:tc>
      </w:tr>
      <w:tr w:rsidR="002B0209" w14:paraId="47087BAD"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1F2460"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Pub na konci sveta, Myjava</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67C33656" w14:textId="77777777" w:rsidR="002B0209" w:rsidRPr="004A3DF4" w:rsidRDefault="002B0209" w:rsidP="002B0209">
            <w:pPr>
              <w:pStyle w:val="Vchodzie"/>
              <w:spacing w:after="20" w:line="100" w:lineRule="atLeast"/>
              <w:rPr>
                <w:rFonts w:ascii="Times New Roman" w:hAnsi="Times New Roman" w:cs="Times New Roman"/>
                <w:sz w:val="20"/>
                <w:szCs w:val="20"/>
              </w:rPr>
            </w:pPr>
            <w:r w:rsidRPr="004A3DF4">
              <w:rPr>
                <w:rFonts w:ascii="Times New Roman" w:hAnsi="Times New Roman" w:cs="Times New Roman"/>
                <w:sz w:val="20"/>
                <w:szCs w:val="20"/>
              </w:rPr>
              <w:t>Cafe &amp; Restaurant Family, Myjava</w:t>
            </w:r>
          </w:p>
        </w:tc>
      </w:tr>
      <w:tr w:rsidR="002B0209" w14:paraId="05F37FCE" w14:textId="77777777" w:rsidTr="002B0209">
        <w:trPr>
          <w:trHeight w:val="397"/>
          <w:jc w:val="center"/>
        </w:trPr>
        <w:tc>
          <w:tcPr>
            <w:tcW w:w="9044" w:type="dxa"/>
            <w:gridSpan w:val="2"/>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2B7D6E0C" w14:textId="77777777" w:rsidR="002B0209" w:rsidRPr="00126AC3" w:rsidRDefault="002B0209" w:rsidP="002B0209">
            <w:pPr>
              <w:pStyle w:val="Vchodzie"/>
              <w:spacing w:after="20" w:line="100" w:lineRule="atLeast"/>
              <w:rPr>
                <w:rFonts w:ascii="Times New Roman" w:hAnsi="Times New Roman" w:cs="Times New Roman"/>
                <w:sz w:val="20"/>
                <w:szCs w:val="20"/>
              </w:rPr>
            </w:pPr>
            <w:r w:rsidRPr="004A3DF4">
              <w:rPr>
                <w:rFonts w:ascii="Times New Roman" w:eastAsia="Times New Roman" w:hAnsi="Times New Roman" w:cs="Times New Roman"/>
                <w:b/>
                <w:color w:val="auto"/>
                <w:sz w:val="20"/>
                <w:szCs w:val="20"/>
                <w:lang w:eastAsia="cs-CZ"/>
              </w:rPr>
              <w:t>Ubytovacie služby v typických kopaničiarskych domoch</w:t>
            </w:r>
            <w:r>
              <w:rPr>
                <w:rFonts w:ascii="Times New Roman" w:eastAsia="Times New Roman" w:hAnsi="Times New Roman" w:cs="Times New Roman"/>
                <w:b/>
                <w:color w:val="auto"/>
                <w:sz w:val="20"/>
                <w:szCs w:val="20"/>
                <w:lang w:eastAsia="cs-CZ"/>
              </w:rPr>
              <w:t xml:space="preserve"> </w:t>
            </w:r>
            <w:r w:rsidRPr="004A3DF4">
              <w:rPr>
                <w:rFonts w:ascii="Times New Roman" w:hAnsi="Times New Roman" w:cs="Times New Roman"/>
                <w:sz w:val="20"/>
                <w:szCs w:val="20"/>
              </w:rPr>
              <w:t>(bez poradia dôležitosti)</w:t>
            </w:r>
          </w:p>
        </w:tc>
      </w:tr>
      <w:tr w:rsidR="002B0209" w14:paraId="060563C0"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7AB336"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Holotéch víška, Košariská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233A135C"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Gazdovský dvor, Turá Lúka</w:t>
            </w:r>
          </w:p>
        </w:tc>
      </w:tr>
      <w:tr w:rsidR="002B0209" w14:paraId="424D3EB0"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D0807D"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Chalupa Jesienka, Vrbovce</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34DDF6AE"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Penzión u Dobrých gazdov, Turá Lúka</w:t>
            </w:r>
          </w:p>
        </w:tc>
      </w:tr>
      <w:tr w:rsidR="002B0209" w14:paraId="5BD92965"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6AB8BC"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Penzión Končiny, Priepasné</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213DD320"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Penzión Stará škola, Priepasné</w:t>
            </w:r>
          </w:p>
        </w:tc>
      </w:tr>
      <w:tr w:rsidR="002B0209" w14:paraId="77BB1307"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15FF6E"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Chalupa Kršlica, Vrbovce</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27F4DC7B"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Reštaurácia u Juhásza*, Košariská</w:t>
            </w:r>
          </w:p>
        </w:tc>
      </w:tr>
      <w:tr w:rsidR="002B0209" w14:paraId="3E12C774"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D5E429"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Slukéch chalupa, Košariská</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4E9ED308"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sidRPr="002A3C95">
              <w:rPr>
                <w:rFonts w:ascii="Times New Roman" w:hAnsi="Times New Roman" w:cs="Times New Roman"/>
                <w:color w:val="auto"/>
                <w:sz w:val="20"/>
                <w:szCs w:val="20"/>
              </w:rPr>
              <w:t>Chalupa Bianca, Stará Myjava</w:t>
            </w:r>
          </w:p>
        </w:tc>
      </w:tr>
      <w:tr w:rsidR="002B0209" w14:paraId="26CB5BA9" w14:textId="77777777" w:rsidTr="002B0209">
        <w:trPr>
          <w:jc w:val="center"/>
        </w:trPr>
        <w:tc>
          <w:tcPr>
            <w:tcW w:w="4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7A760B"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Pr>
                <w:rFonts w:ascii="Times New Roman" w:hAnsi="Times New Roman" w:cs="Times New Roman"/>
                <w:color w:val="auto"/>
                <w:sz w:val="20"/>
                <w:szCs w:val="20"/>
              </w:rPr>
              <w:t xml:space="preserve">Ubytovanie v súkromí Samuel </w:t>
            </w:r>
          </w:p>
        </w:tc>
        <w:tc>
          <w:tcPr>
            <w:tcW w:w="4576" w:type="dxa"/>
            <w:tcBorders>
              <w:top w:val="single" w:sz="4" w:space="0" w:color="00000A"/>
              <w:left w:val="single" w:sz="4" w:space="0" w:color="00000A"/>
              <w:bottom w:val="single" w:sz="4" w:space="0" w:color="00000A"/>
              <w:right w:val="single" w:sz="4" w:space="0" w:color="00000A"/>
            </w:tcBorders>
            <w:shd w:val="clear" w:color="auto" w:fill="FFFFFF"/>
          </w:tcPr>
          <w:p w14:paraId="020F7A16" w14:textId="77777777" w:rsidR="002B0209" w:rsidRPr="002A3C95" w:rsidRDefault="002B0209" w:rsidP="002B0209">
            <w:pPr>
              <w:pStyle w:val="Vchodzie"/>
              <w:spacing w:after="20" w:line="100" w:lineRule="atLeast"/>
              <w:rPr>
                <w:rFonts w:ascii="Times New Roman" w:hAnsi="Times New Roman" w:cs="Times New Roman"/>
                <w:color w:val="auto"/>
                <w:sz w:val="20"/>
                <w:szCs w:val="20"/>
              </w:rPr>
            </w:pPr>
            <w:r>
              <w:rPr>
                <w:rFonts w:ascii="Times New Roman" w:hAnsi="Times New Roman" w:cs="Times New Roman"/>
                <w:color w:val="auto"/>
                <w:sz w:val="20"/>
                <w:szCs w:val="20"/>
              </w:rPr>
              <w:t>Ubytovanie v súkrommí AJA</w:t>
            </w:r>
          </w:p>
        </w:tc>
      </w:tr>
    </w:tbl>
    <w:p w14:paraId="628828AE" w14:textId="77777777" w:rsidR="00665928" w:rsidRPr="00665928" w:rsidRDefault="00665928" w:rsidP="007E10F7">
      <w:pPr>
        <w:spacing w:after="0" w:line="360" w:lineRule="auto"/>
        <w:jc w:val="both"/>
        <w:rPr>
          <w:rFonts w:ascii="Times New Roman" w:hAnsi="Times New Roman" w:cs="Times New Roman"/>
          <w:sz w:val="20"/>
          <w:szCs w:val="20"/>
        </w:rPr>
      </w:pPr>
      <w:r w:rsidRPr="00665928">
        <w:rPr>
          <w:rFonts w:ascii="Times New Roman" w:hAnsi="Times New Roman" w:cs="Times New Roman"/>
          <w:b/>
          <w:sz w:val="20"/>
          <w:szCs w:val="20"/>
          <w:lang w:val="cs-CZ"/>
        </w:rPr>
        <w:t>Zdroj: Koncepcia rozvoja cestovného ruchu v regióne pod Veľkou Javorinou a Bradlom</w:t>
      </w:r>
    </w:p>
    <w:p w14:paraId="1C8D743A" w14:textId="77777777" w:rsidR="00E225CE" w:rsidRPr="00E225CE" w:rsidRDefault="007E10F7" w:rsidP="00D5689C">
      <w:pPr>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225CE" w:rsidRPr="00E225CE">
        <w:rPr>
          <w:rFonts w:ascii="Times New Roman" w:hAnsi="Times New Roman" w:cs="Times New Roman"/>
          <w:sz w:val="24"/>
          <w:szCs w:val="24"/>
        </w:rPr>
        <w:t xml:space="preserve">Dôležitou súčasťou infraštruktúry cestovného ruchu, ale aj samotnej ponuky služieb obyvateľstvu sú stravovacie zariadenia, ktorých je síce v Kopaničiarskom regióne dostatok, avšak väčšina z nich má nižší štandard a kvalitu poskytovaných služieb. Tu dominujú najmä pohostinstvá, reštaurácie a rýchle občerstvenia, kde ich najviac v rámci Kopaničiarskeho regiónu je umiestnených v Starej Turej, hlavne v rekreačnej oblasti Dubník </w:t>
      </w:r>
    </w:p>
    <w:p w14:paraId="79B0A6D0" w14:textId="77777777" w:rsidR="00EC62F5" w:rsidRPr="00EC62F5" w:rsidRDefault="007E10F7" w:rsidP="007E10F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C62F5" w:rsidRPr="00EC62F5">
        <w:rPr>
          <w:rFonts w:ascii="Times New Roman" w:hAnsi="Times New Roman" w:cs="Times New Roman"/>
          <w:sz w:val="24"/>
          <w:szCs w:val="24"/>
        </w:rPr>
        <w:t xml:space="preserve">V Kopaničiarskom regióne sa nachádza 28 voľných budov, ktoré môžu byť využité na rôzne účely. Väčšina z nich je v dobrom stave, avšak potrebujú značnú rekonštrukciu pre ich následné využitie. Najviac budov (až 9) sa nachádza v meste Stará Turá v areáli bývalej školy na Štefánikovej ulici, kde vlastníkom je Trenčiansky samosprávny kraj a v meste Brezová pod Bradlom (5). Na vidieku je síce počet týchto budov nižší, ale ide väčšinou o menšie budovy s možnosťou ich lepšieho využitia pre účely agroturistiky ako menšie penzióny, turistické ubytovne, či ubytovanie na súkromí. Niektorí majitelia majú snahu o rekonštrukciu týchto budov aj na účely bývania, či podnikateľské aktivity, spájané nielen s výrobnou činnosťou, ale aj pre rôzne účely v cestovnom ruchu.  Ich bližší popis znázorňuje </w:t>
      </w:r>
      <w:r w:rsidR="00EC62F5" w:rsidRPr="00F560B2">
        <w:rPr>
          <w:rFonts w:ascii="Times New Roman" w:hAnsi="Times New Roman" w:cs="Times New Roman"/>
          <w:sz w:val="24"/>
          <w:szCs w:val="24"/>
        </w:rPr>
        <w:t xml:space="preserve">tabuľka </w:t>
      </w:r>
      <w:r w:rsidR="000100AE" w:rsidRPr="00F560B2">
        <w:rPr>
          <w:rFonts w:ascii="Times New Roman" w:hAnsi="Times New Roman" w:cs="Times New Roman"/>
          <w:sz w:val="24"/>
          <w:szCs w:val="24"/>
        </w:rPr>
        <w:t>3.1.21</w:t>
      </w:r>
      <w:r w:rsidR="00EC62F5" w:rsidRPr="00F560B2">
        <w:rPr>
          <w:rFonts w:ascii="Times New Roman" w:hAnsi="Times New Roman" w:cs="Times New Roman"/>
          <w:sz w:val="24"/>
          <w:szCs w:val="24"/>
        </w:rPr>
        <w:t>.</w:t>
      </w:r>
    </w:p>
    <w:p w14:paraId="08FC804A" w14:textId="77777777" w:rsidR="00E225CE" w:rsidRPr="000100AE" w:rsidRDefault="00EC62F5" w:rsidP="000100AE">
      <w:pPr>
        <w:spacing w:before="120" w:after="0" w:line="360" w:lineRule="auto"/>
        <w:jc w:val="both"/>
        <w:rPr>
          <w:rFonts w:ascii="Times New Roman" w:hAnsi="Times New Roman" w:cs="Times New Roman"/>
          <w:b/>
          <w:sz w:val="20"/>
          <w:szCs w:val="20"/>
        </w:rPr>
      </w:pPr>
      <w:r w:rsidRPr="000100AE">
        <w:rPr>
          <w:rFonts w:ascii="Times New Roman" w:hAnsi="Times New Roman" w:cs="Times New Roman"/>
          <w:b/>
          <w:sz w:val="20"/>
          <w:szCs w:val="20"/>
        </w:rPr>
        <w:lastRenderedPageBreak/>
        <w:t xml:space="preserve">Tabuľka </w:t>
      </w:r>
      <w:r w:rsidR="00F560B2">
        <w:rPr>
          <w:rFonts w:ascii="Times New Roman" w:hAnsi="Times New Roman" w:cs="Times New Roman"/>
          <w:b/>
          <w:sz w:val="20"/>
          <w:szCs w:val="20"/>
        </w:rPr>
        <w:t>3.1</w:t>
      </w:r>
      <w:r w:rsidR="000100AE" w:rsidRPr="000100AE">
        <w:rPr>
          <w:rFonts w:ascii="Times New Roman" w:hAnsi="Times New Roman" w:cs="Times New Roman"/>
          <w:b/>
          <w:sz w:val="20"/>
          <w:szCs w:val="20"/>
        </w:rPr>
        <w:t>.21</w:t>
      </w:r>
      <w:r w:rsidRPr="000100AE">
        <w:rPr>
          <w:rFonts w:ascii="Times New Roman" w:hAnsi="Times New Roman" w:cs="Times New Roman"/>
          <w:b/>
          <w:sz w:val="20"/>
          <w:szCs w:val="20"/>
        </w:rPr>
        <w:t xml:space="preserve"> Voľné budovy v Kopaničiarskom regióne v roku 20</w:t>
      </w:r>
      <w:r w:rsidR="00E02984" w:rsidRPr="000100AE">
        <w:rPr>
          <w:rFonts w:ascii="Times New Roman" w:hAnsi="Times New Roman" w:cs="Times New Roman"/>
          <w:b/>
          <w:sz w:val="20"/>
          <w:szCs w:val="20"/>
        </w:rPr>
        <w:t>14</w:t>
      </w:r>
    </w:p>
    <w:tbl>
      <w:tblPr>
        <w:tblW w:w="9229" w:type="dxa"/>
        <w:tblInd w:w="55" w:type="dxa"/>
        <w:tblCellMar>
          <w:left w:w="70" w:type="dxa"/>
          <w:right w:w="70" w:type="dxa"/>
        </w:tblCellMar>
        <w:tblLook w:val="0000" w:firstRow="0" w:lastRow="0" w:firstColumn="0" w:lastColumn="0" w:noHBand="0" w:noVBand="0"/>
      </w:tblPr>
      <w:tblGrid>
        <w:gridCol w:w="1716"/>
        <w:gridCol w:w="3261"/>
        <w:gridCol w:w="2551"/>
        <w:gridCol w:w="1701"/>
      </w:tblGrid>
      <w:tr w:rsidR="002B0209" w:rsidRPr="002B0209" w14:paraId="47C1EAED" w14:textId="77777777" w:rsidTr="007E10F7">
        <w:trPr>
          <w:trHeight w:hRule="exact" w:val="272"/>
        </w:trPr>
        <w:tc>
          <w:tcPr>
            <w:tcW w:w="1716" w:type="dxa"/>
            <w:tcBorders>
              <w:top w:val="single" w:sz="8" w:space="0" w:color="auto"/>
              <w:left w:val="single" w:sz="8" w:space="0" w:color="auto"/>
              <w:bottom w:val="single" w:sz="8" w:space="0" w:color="auto"/>
              <w:right w:val="single" w:sz="8" w:space="0" w:color="auto"/>
            </w:tcBorders>
            <w:shd w:val="clear" w:color="auto" w:fill="D9D9D9"/>
            <w:noWrap/>
            <w:vAlign w:val="bottom"/>
          </w:tcPr>
          <w:p w14:paraId="59D23AC6" w14:textId="77777777" w:rsidR="002B0209" w:rsidRPr="002B0209" w:rsidRDefault="002B0209" w:rsidP="002B0209">
            <w:pPr>
              <w:spacing w:after="0" w:line="240" w:lineRule="auto"/>
              <w:rPr>
                <w:rFonts w:ascii="Times New Roman" w:eastAsia="Times New Roman" w:hAnsi="Times New Roman" w:cs="Times New Roman"/>
                <w:sz w:val="20"/>
                <w:szCs w:val="20"/>
                <w:lang w:eastAsia="cs-CZ"/>
              </w:rPr>
            </w:pPr>
            <w:r w:rsidRPr="002B0209">
              <w:rPr>
                <w:rFonts w:ascii="Times New Roman" w:eastAsia="Times New Roman" w:hAnsi="Times New Roman" w:cs="Times New Roman"/>
                <w:sz w:val="20"/>
                <w:szCs w:val="20"/>
                <w:lang w:eastAsia="cs-CZ"/>
              </w:rPr>
              <w:t>OBEC</w:t>
            </w:r>
          </w:p>
        </w:tc>
        <w:tc>
          <w:tcPr>
            <w:tcW w:w="3261" w:type="dxa"/>
            <w:tcBorders>
              <w:top w:val="single" w:sz="8" w:space="0" w:color="auto"/>
              <w:left w:val="nil"/>
              <w:bottom w:val="single" w:sz="8" w:space="0" w:color="auto"/>
              <w:right w:val="single" w:sz="8" w:space="0" w:color="auto"/>
            </w:tcBorders>
            <w:shd w:val="clear" w:color="auto" w:fill="D9D9D9"/>
            <w:noWrap/>
            <w:vAlign w:val="bottom"/>
          </w:tcPr>
          <w:p w14:paraId="712597FE" w14:textId="77777777" w:rsidR="002B0209" w:rsidRPr="002B0209" w:rsidRDefault="002B0209" w:rsidP="002B0209">
            <w:pPr>
              <w:spacing w:after="0" w:line="240" w:lineRule="auto"/>
              <w:rPr>
                <w:rFonts w:ascii="Times New Roman" w:eastAsia="Times New Roman" w:hAnsi="Times New Roman" w:cs="Times New Roman"/>
                <w:sz w:val="20"/>
                <w:szCs w:val="20"/>
                <w:lang w:eastAsia="cs-CZ"/>
              </w:rPr>
            </w:pPr>
            <w:r w:rsidRPr="002B0209">
              <w:rPr>
                <w:rFonts w:ascii="Times New Roman" w:eastAsia="Times New Roman" w:hAnsi="Times New Roman" w:cs="Times New Roman"/>
                <w:sz w:val="20"/>
                <w:szCs w:val="20"/>
                <w:lang w:eastAsia="cs-CZ"/>
              </w:rPr>
              <w:t>Názov zariadenia</w:t>
            </w:r>
          </w:p>
        </w:tc>
        <w:tc>
          <w:tcPr>
            <w:tcW w:w="2551" w:type="dxa"/>
            <w:tcBorders>
              <w:top w:val="single" w:sz="8" w:space="0" w:color="auto"/>
              <w:left w:val="nil"/>
              <w:bottom w:val="single" w:sz="8" w:space="0" w:color="auto"/>
              <w:right w:val="single" w:sz="8" w:space="0" w:color="auto"/>
            </w:tcBorders>
            <w:shd w:val="clear" w:color="auto" w:fill="D9D9D9"/>
            <w:noWrap/>
            <w:vAlign w:val="bottom"/>
          </w:tcPr>
          <w:p w14:paraId="4A44D1DA" w14:textId="77777777" w:rsidR="002B0209" w:rsidRPr="002B0209" w:rsidRDefault="002B0209" w:rsidP="002B0209">
            <w:pPr>
              <w:spacing w:after="0" w:line="240" w:lineRule="auto"/>
              <w:rPr>
                <w:rFonts w:ascii="Times New Roman" w:eastAsia="Times New Roman" w:hAnsi="Times New Roman" w:cs="Times New Roman"/>
                <w:sz w:val="20"/>
                <w:szCs w:val="20"/>
                <w:lang w:eastAsia="cs-CZ"/>
              </w:rPr>
            </w:pPr>
            <w:r w:rsidRPr="002B0209">
              <w:rPr>
                <w:rFonts w:ascii="Times New Roman" w:eastAsia="Times New Roman" w:hAnsi="Times New Roman" w:cs="Times New Roman"/>
                <w:sz w:val="20"/>
                <w:szCs w:val="20"/>
                <w:lang w:eastAsia="cs-CZ"/>
              </w:rPr>
              <w:t>Adresa</w:t>
            </w:r>
          </w:p>
        </w:tc>
        <w:tc>
          <w:tcPr>
            <w:tcW w:w="1701" w:type="dxa"/>
            <w:tcBorders>
              <w:top w:val="single" w:sz="8" w:space="0" w:color="auto"/>
              <w:left w:val="nil"/>
              <w:bottom w:val="single" w:sz="8" w:space="0" w:color="auto"/>
              <w:right w:val="single" w:sz="8" w:space="0" w:color="auto"/>
            </w:tcBorders>
            <w:shd w:val="clear" w:color="auto" w:fill="D9D9D9"/>
            <w:noWrap/>
            <w:vAlign w:val="bottom"/>
          </w:tcPr>
          <w:p w14:paraId="4D33654C" w14:textId="77777777" w:rsidR="002B0209" w:rsidRPr="002B0209" w:rsidRDefault="002B0209" w:rsidP="002B0209">
            <w:pPr>
              <w:spacing w:after="0" w:line="240" w:lineRule="auto"/>
              <w:rPr>
                <w:rFonts w:ascii="Times New Roman" w:eastAsia="Times New Roman" w:hAnsi="Times New Roman" w:cs="Times New Roman"/>
                <w:sz w:val="20"/>
                <w:szCs w:val="20"/>
                <w:lang w:eastAsia="cs-CZ"/>
              </w:rPr>
            </w:pPr>
            <w:r w:rsidRPr="002B0209">
              <w:rPr>
                <w:rFonts w:ascii="Times New Roman" w:eastAsia="Times New Roman" w:hAnsi="Times New Roman" w:cs="Times New Roman"/>
                <w:sz w:val="20"/>
                <w:szCs w:val="20"/>
                <w:lang w:eastAsia="cs-CZ"/>
              </w:rPr>
              <w:t>Typ (napr. restauracia, pizzeria, ...)</w:t>
            </w:r>
          </w:p>
        </w:tc>
      </w:tr>
      <w:tr w:rsidR="002B0209" w:rsidRPr="002B0209" w14:paraId="0DF2B4A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55E698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Brezová pod Bradlom</w:t>
            </w:r>
          </w:p>
        </w:tc>
        <w:tc>
          <w:tcPr>
            <w:tcW w:w="3261" w:type="dxa"/>
            <w:tcBorders>
              <w:top w:val="nil"/>
              <w:left w:val="nil"/>
              <w:bottom w:val="nil"/>
              <w:right w:val="single" w:sz="8" w:space="0" w:color="auto"/>
            </w:tcBorders>
            <w:shd w:val="clear" w:color="auto" w:fill="auto"/>
            <w:noWrap/>
            <w:vAlign w:val="bottom"/>
          </w:tcPr>
          <w:p w14:paraId="42033B4E"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U Sváka Ragana, spol. s.r.o.</w:t>
            </w:r>
          </w:p>
        </w:tc>
        <w:tc>
          <w:tcPr>
            <w:tcW w:w="2551" w:type="dxa"/>
            <w:tcBorders>
              <w:top w:val="nil"/>
              <w:left w:val="nil"/>
              <w:bottom w:val="nil"/>
              <w:right w:val="single" w:sz="8" w:space="0" w:color="auto"/>
            </w:tcBorders>
            <w:shd w:val="clear" w:color="auto" w:fill="auto"/>
            <w:noWrap/>
            <w:vAlign w:val="bottom"/>
          </w:tcPr>
          <w:p w14:paraId="1107027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 Jurkoviča 415</w:t>
            </w:r>
          </w:p>
        </w:tc>
        <w:tc>
          <w:tcPr>
            <w:tcW w:w="1701" w:type="dxa"/>
            <w:tcBorders>
              <w:top w:val="nil"/>
              <w:left w:val="nil"/>
              <w:bottom w:val="nil"/>
              <w:right w:val="single" w:sz="8" w:space="0" w:color="auto"/>
            </w:tcBorders>
            <w:shd w:val="clear" w:color="auto" w:fill="auto"/>
            <w:noWrap/>
            <w:vAlign w:val="bottom"/>
          </w:tcPr>
          <w:p w14:paraId="54F674F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0D85034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3091AA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single" w:sz="4" w:space="0" w:color="auto"/>
              <w:left w:val="nil"/>
              <w:bottom w:val="nil"/>
              <w:right w:val="single" w:sz="8" w:space="0" w:color="auto"/>
            </w:tcBorders>
            <w:shd w:val="clear" w:color="auto" w:fill="auto"/>
            <w:noWrap/>
            <w:vAlign w:val="bottom"/>
          </w:tcPr>
          <w:p w14:paraId="7F4F293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Tvarožek</w:t>
            </w:r>
          </w:p>
        </w:tc>
        <w:tc>
          <w:tcPr>
            <w:tcW w:w="2551" w:type="dxa"/>
            <w:tcBorders>
              <w:top w:val="single" w:sz="4" w:space="0" w:color="auto"/>
              <w:left w:val="nil"/>
              <w:bottom w:val="nil"/>
              <w:right w:val="single" w:sz="8" w:space="0" w:color="auto"/>
            </w:tcBorders>
            <w:shd w:val="clear" w:color="auto" w:fill="auto"/>
            <w:noWrap/>
            <w:vAlign w:val="bottom"/>
          </w:tcPr>
          <w:p w14:paraId="1AEC181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Nám. gen. M. R. Štefánika 336</w:t>
            </w:r>
          </w:p>
        </w:tc>
        <w:tc>
          <w:tcPr>
            <w:tcW w:w="1701" w:type="dxa"/>
            <w:tcBorders>
              <w:top w:val="single" w:sz="4" w:space="0" w:color="auto"/>
              <w:left w:val="nil"/>
              <w:bottom w:val="nil"/>
              <w:right w:val="single" w:sz="8" w:space="0" w:color="auto"/>
            </w:tcBorders>
            <w:shd w:val="clear" w:color="auto" w:fill="auto"/>
            <w:noWrap/>
            <w:vAlign w:val="bottom"/>
          </w:tcPr>
          <w:p w14:paraId="6E6400F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15DFA97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2DC949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single" w:sz="4" w:space="0" w:color="auto"/>
              <w:left w:val="nil"/>
              <w:bottom w:val="nil"/>
              <w:right w:val="single" w:sz="8" w:space="0" w:color="auto"/>
            </w:tcBorders>
            <w:shd w:val="clear" w:color="auto" w:fill="auto"/>
            <w:noWrap/>
            <w:vAlign w:val="bottom"/>
          </w:tcPr>
          <w:p w14:paraId="233D22C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Pizzeria RIF-RAF</w:t>
            </w:r>
          </w:p>
        </w:tc>
        <w:tc>
          <w:tcPr>
            <w:tcW w:w="2551" w:type="dxa"/>
            <w:tcBorders>
              <w:top w:val="single" w:sz="4" w:space="0" w:color="auto"/>
              <w:left w:val="nil"/>
              <w:bottom w:val="nil"/>
              <w:right w:val="single" w:sz="8" w:space="0" w:color="auto"/>
            </w:tcBorders>
            <w:shd w:val="clear" w:color="auto" w:fill="auto"/>
            <w:noWrap/>
            <w:vAlign w:val="bottom"/>
          </w:tcPr>
          <w:p w14:paraId="7B6AD49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Pod Vŕškami 9</w:t>
            </w:r>
          </w:p>
        </w:tc>
        <w:tc>
          <w:tcPr>
            <w:tcW w:w="1701" w:type="dxa"/>
            <w:tcBorders>
              <w:top w:val="single" w:sz="4" w:space="0" w:color="auto"/>
              <w:left w:val="nil"/>
              <w:bottom w:val="nil"/>
              <w:right w:val="single" w:sz="8" w:space="0" w:color="auto"/>
            </w:tcBorders>
            <w:shd w:val="clear" w:color="auto" w:fill="auto"/>
            <w:noWrap/>
            <w:vAlign w:val="bottom"/>
          </w:tcPr>
          <w:p w14:paraId="4C69E76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w:t>
            </w:r>
          </w:p>
        </w:tc>
      </w:tr>
      <w:tr w:rsidR="002B0209" w:rsidRPr="002B0209" w14:paraId="1EFC8FD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0744F6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single" w:sz="4" w:space="0" w:color="auto"/>
              <w:left w:val="nil"/>
              <w:bottom w:val="nil"/>
              <w:right w:val="single" w:sz="8" w:space="0" w:color="auto"/>
            </w:tcBorders>
            <w:shd w:val="clear" w:color="auto" w:fill="auto"/>
            <w:noWrap/>
            <w:vAlign w:val="bottom"/>
          </w:tcPr>
          <w:p w14:paraId="49163BB1"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Združená stredná škola M. R. Štefánika</w:t>
            </w:r>
          </w:p>
        </w:tc>
        <w:tc>
          <w:tcPr>
            <w:tcW w:w="2551" w:type="dxa"/>
            <w:tcBorders>
              <w:top w:val="single" w:sz="4" w:space="0" w:color="auto"/>
              <w:left w:val="nil"/>
              <w:bottom w:val="nil"/>
              <w:right w:val="single" w:sz="8" w:space="0" w:color="auto"/>
            </w:tcBorders>
            <w:shd w:val="clear" w:color="auto" w:fill="auto"/>
            <w:noWrap/>
            <w:vAlign w:val="bottom"/>
          </w:tcPr>
          <w:p w14:paraId="74FCCE0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Cesta SNP 1</w:t>
            </w:r>
          </w:p>
        </w:tc>
        <w:tc>
          <w:tcPr>
            <w:tcW w:w="1701" w:type="dxa"/>
            <w:tcBorders>
              <w:top w:val="single" w:sz="4" w:space="0" w:color="auto"/>
              <w:left w:val="nil"/>
              <w:bottom w:val="nil"/>
              <w:right w:val="single" w:sz="8" w:space="0" w:color="auto"/>
            </w:tcBorders>
            <w:shd w:val="clear" w:color="auto" w:fill="auto"/>
            <w:noWrap/>
            <w:vAlign w:val="bottom"/>
          </w:tcPr>
          <w:p w14:paraId="21784BB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na objednávku, pre ubytovaných</w:t>
            </w:r>
          </w:p>
        </w:tc>
      </w:tr>
      <w:tr w:rsidR="002B0209" w:rsidRPr="002B0209" w14:paraId="2F14686C" w14:textId="77777777" w:rsidTr="007E10F7">
        <w:trPr>
          <w:trHeight w:val="170"/>
        </w:trPr>
        <w:tc>
          <w:tcPr>
            <w:tcW w:w="1716" w:type="dxa"/>
            <w:tcBorders>
              <w:top w:val="single" w:sz="4" w:space="0" w:color="auto"/>
              <w:left w:val="single" w:sz="8" w:space="0" w:color="auto"/>
              <w:bottom w:val="nil"/>
              <w:right w:val="single" w:sz="8" w:space="0" w:color="auto"/>
            </w:tcBorders>
            <w:shd w:val="clear" w:color="auto" w:fill="auto"/>
            <w:noWrap/>
            <w:vAlign w:val="bottom"/>
          </w:tcPr>
          <w:p w14:paraId="5A27942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Bzince pod Javorinou</w:t>
            </w:r>
          </w:p>
        </w:tc>
        <w:tc>
          <w:tcPr>
            <w:tcW w:w="3261" w:type="dxa"/>
            <w:tcBorders>
              <w:top w:val="single" w:sz="4" w:space="0" w:color="auto"/>
              <w:left w:val="nil"/>
              <w:bottom w:val="single" w:sz="4" w:space="0" w:color="auto"/>
              <w:right w:val="single" w:sz="8" w:space="0" w:color="auto"/>
            </w:tcBorders>
            <w:shd w:val="clear" w:color="auto" w:fill="auto"/>
            <w:noWrap/>
            <w:vAlign w:val="bottom"/>
          </w:tcPr>
          <w:p w14:paraId="3B6AB27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Švok</w:t>
            </w:r>
          </w:p>
        </w:tc>
        <w:tc>
          <w:tcPr>
            <w:tcW w:w="2551" w:type="dxa"/>
            <w:tcBorders>
              <w:top w:val="single" w:sz="4" w:space="0" w:color="auto"/>
              <w:left w:val="nil"/>
              <w:bottom w:val="single" w:sz="4" w:space="0" w:color="auto"/>
              <w:right w:val="single" w:sz="8" w:space="0" w:color="auto"/>
            </w:tcBorders>
            <w:shd w:val="clear" w:color="auto" w:fill="auto"/>
            <w:noWrap/>
            <w:vAlign w:val="bottom"/>
          </w:tcPr>
          <w:p w14:paraId="074C8DF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Bzince pod Javorinou 349</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EEE17D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59C4CF59"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CF6B34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5F478B0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Club 56</w:t>
            </w:r>
          </w:p>
        </w:tc>
        <w:tc>
          <w:tcPr>
            <w:tcW w:w="2551" w:type="dxa"/>
            <w:tcBorders>
              <w:top w:val="nil"/>
              <w:left w:val="nil"/>
              <w:bottom w:val="single" w:sz="4" w:space="0" w:color="auto"/>
              <w:right w:val="single" w:sz="8" w:space="0" w:color="auto"/>
            </w:tcBorders>
            <w:shd w:val="clear" w:color="auto" w:fill="auto"/>
            <w:noWrap/>
            <w:vAlign w:val="bottom"/>
          </w:tcPr>
          <w:p w14:paraId="56AE1B4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Bzince pod Javorinou 61</w:t>
            </w:r>
          </w:p>
        </w:tc>
        <w:tc>
          <w:tcPr>
            <w:tcW w:w="1701" w:type="dxa"/>
            <w:tcBorders>
              <w:top w:val="nil"/>
              <w:left w:val="nil"/>
              <w:bottom w:val="nil"/>
              <w:right w:val="single" w:sz="8" w:space="0" w:color="auto"/>
            </w:tcBorders>
            <w:shd w:val="clear" w:color="auto" w:fill="auto"/>
            <w:noWrap/>
            <w:vAlign w:val="bottom"/>
          </w:tcPr>
          <w:p w14:paraId="705A784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4ABFA51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E5372E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126C058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Barunka</w:t>
            </w:r>
          </w:p>
        </w:tc>
        <w:tc>
          <w:tcPr>
            <w:tcW w:w="2551" w:type="dxa"/>
            <w:tcBorders>
              <w:top w:val="nil"/>
              <w:left w:val="nil"/>
              <w:bottom w:val="single" w:sz="4" w:space="0" w:color="auto"/>
              <w:right w:val="single" w:sz="8" w:space="0" w:color="auto"/>
            </w:tcBorders>
            <w:shd w:val="clear" w:color="auto" w:fill="auto"/>
            <w:noWrap/>
            <w:vAlign w:val="bottom"/>
          </w:tcPr>
          <w:p w14:paraId="551BC37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Bzince pod Javorinou-Hrušové</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2526560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motorest</w:t>
            </w:r>
          </w:p>
        </w:tc>
      </w:tr>
      <w:tr w:rsidR="002B0209" w:rsidRPr="002B0209" w14:paraId="69E99CFF"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352DF71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F6D17F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Country saloon</w:t>
            </w:r>
          </w:p>
        </w:tc>
        <w:tc>
          <w:tcPr>
            <w:tcW w:w="2551" w:type="dxa"/>
            <w:tcBorders>
              <w:top w:val="nil"/>
              <w:left w:val="nil"/>
              <w:bottom w:val="single" w:sz="4" w:space="0" w:color="auto"/>
              <w:right w:val="single" w:sz="8" w:space="0" w:color="auto"/>
            </w:tcBorders>
            <w:shd w:val="clear" w:color="auto" w:fill="auto"/>
            <w:noWrap/>
            <w:vAlign w:val="bottom"/>
          </w:tcPr>
          <w:p w14:paraId="573DBDD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Bzince pod Javorinou-Cetuna</w:t>
            </w:r>
          </w:p>
        </w:tc>
        <w:tc>
          <w:tcPr>
            <w:tcW w:w="1701" w:type="dxa"/>
            <w:tcBorders>
              <w:top w:val="nil"/>
              <w:left w:val="nil"/>
              <w:bottom w:val="single" w:sz="4" w:space="0" w:color="auto"/>
              <w:right w:val="single" w:sz="8" w:space="0" w:color="auto"/>
            </w:tcBorders>
            <w:shd w:val="clear" w:color="auto" w:fill="auto"/>
            <w:noWrap/>
            <w:vAlign w:val="bottom"/>
          </w:tcPr>
          <w:p w14:paraId="76A9C4A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2F598D96"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4238BF2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Jablonka</w:t>
            </w:r>
          </w:p>
        </w:tc>
        <w:tc>
          <w:tcPr>
            <w:tcW w:w="3261" w:type="dxa"/>
            <w:tcBorders>
              <w:top w:val="nil"/>
              <w:left w:val="nil"/>
              <w:bottom w:val="single" w:sz="4" w:space="0" w:color="auto"/>
              <w:right w:val="single" w:sz="8" w:space="0" w:color="auto"/>
            </w:tcBorders>
            <w:shd w:val="clear" w:color="auto" w:fill="auto"/>
            <w:noWrap/>
            <w:vAlign w:val="bottom"/>
          </w:tcPr>
          <w:p w14:paraId="160AE15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Anna</w:t>
            </w:r>
          </w:p>
        </w:tc>
        <w:tc>
          <w:tcPr>
            <w:tcW w:w="2551" w:type="dxa"/>
            <w:tcBorders>
              <w:top w:val="nil"/>
              <w:left w:val="nil"/>
              <w:bottom w:val="single" w:sz="4" w:space="0" w:color="auto"/>
              <w:right w:val="single" w:sz="8" w:space="0" w:color="auto"/>
            </w:tcBorders>
            <w:shd w:val="clear" w:color="auto" w:fill="auto"/>
            <w:noWrap/>
            <w:vAlign w:val="bottom"/>
          </w:tcPr>
          <w:p w14:paraId="3A737EB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Jablonka  61</w:t>
            </w:r>
          </w:p>
        </w:tc>
        <w:tc>
          <w:tcPr>
            <w:tcW w:w="1701" w:type="dxa"/>
            <w:tcBorders>
              <w:top w:val="nil"/>
              <w:left w:val="nil"/>
              <w:bottom w:val="single" w:sz="4" w:space="0" w:color="auto"/>
              <w:right w:val="single" w:sz="8" w:space="0" w:color="auto"/>
            </w:tcBorders>
            <w:shd w:val="clear" w:color="auto" w:fill="auto"/>
            <w:noWrap/>
            <w:vAlign w:val="bottom"/>
          </w:tcPr>
          <w:p w14:paraId="7BD1814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640264BA"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199972A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Kostolné</w:t>
            </w:r>
          </w:p>
        </w:tc>
        <w:tc>
          <w:tcPr>
            <w:tcW w:w="3261" w:type="dxa"/>
            <w:tcBorders>
              <w:top w:val="nil"/>
              <w:left w:val="nil"/>
              <w:bottom w:val="single" w:sz="4" w:space="0" w:color="auto"/>
              <w:right w:val="single" w:sz="8" w:space="0" w:color="auto"/>
            </w:tcBorders>
            <w:shd w:val="clear" w:color="auto" w:fill="auto"/>
            <w:noWrap/>
            <w:vAlign w:val="bottom"/>
          </w:tcPr>
          <w:p w14:paraId="2ED07598"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Pytliakova studienka - Viera Chrenčová</w:t>
            </w:r>
          </w:p>
        </w:tc>
        <w:tc>
          <w:tcPr>
            <w:tcW w:w="2551" w:type="dxa"/>
            <w:tcBorders>
              <w:top w:val="nil"/>
              <w:left w:val="nil"/>
              <w:bottom w:val="single" w:sz="4" w:space="0" w:color="auto"/>
              <w:right w:val="single" w:sz="8" w:space="0" w:color="auto"/>
            </w:tcBorders>
            <w:shd w:val="clear" w:color="auto" w:fill="auto"/>
            <w:noWrap/>
            <w:vAlign w:val="bottom"/>
          </w:tcPr>
          <w:p w14:paraId="0E3C048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Kostolné 118</w:t>
            </w:r>
          </w:p>
        </w:tc>
        <w:tc>
          <w:tcPr>
            <w:tcW w:w="1701" w:type="dxa"/>
            <w:tcBorders>
              <w:top w:val="nil"/>
              <w:left w:val="nil"/>
              <w:bottom w:val="single" w:sz="4" w:space="0" w:color="auto"/>
              <w:right w:val="single" w:sz="8" w:space="0" w:color="auto"/>
            </w:tcBorders>
            <w:shd w:val="clear" w:color="auto" w:fill="auto"/>
            <w:noWrap/>
            <w:vAlign w:val="bottom"/>
          </w:tcPr>
          <w:p w14:paraId="2F86DE1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7BC175EE"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ADF2E0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Košariská</w:t>
            </w:r>
          </w:p>
        </w:tc>
        <w:tc>
          <w:tcPr>
            <w:tcW w:w="3261" w:type="dxa"/>
            <w:tcBorders>
              <w:top w:val="nil"/>
              <w:left w:val="nil"/>
              <w:bottom w:val="single" w:sz="4" w:space="0" w:color="auto"/>
              <w:right w:val="single" w:sz="8" w:space="0" w:color="auto"/>
            </w:tcBorders>
            <w:shd w:val="clear" w:color="auto" w:fill="auto"/>
            <w:noWrap/>
            <w:vAlign w:val="bottom"/>
          </w:tcPr>
          <w:p w14:paraId="6EF4AE8F"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Gurmán</w:t>
            </w:r>
          </w:p>
        </w:tc>
        <w:tc>
          <w:tcPr>
            <w:tcW w:w="2551" w:type="dxa"/>
            <w:tcBorders>
              <w:top w:val="nil"/>
              <w:left w:val="nil"/>
              <w:bottom w:val="single" w:sz="4" w:space="0" w:color="auto"/>
              <w:right w:val="single" w:sz="8" w:space="0" w:color="auto"/>
            </w:tcBorders>
            <w:shd w:val="clear" w:color="auto" w:fill="auto"/>
            <w:noWrap/>
            <w:vAlign w:val="bottom"/>
          </w:tcPr>
          <w:p w14:paraId="3BD987C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Košariská 77</w:t>
            </w:r>
          </w:p>
        </w:tc>
        <w:tc>
          <w:tcPr>
            <w:tcW w:w="1701" w:type="dxa"/>
            <w:tcBorders>
              <w:top w:val="nil"/>
              <w:left w:val="nil"/>
              <w:bottom w:val="single" w:sz="4" w:space="0" w:color="auto"/>
              <w:right w:val="single" w:sz="8" w:space="0" w:color="auto"/>
            </w:tcBorders>
            <w:shd w:val="clear" w:color="auto" w:fill="auto"/>
            <w:noWrap/>
            <w:vAlign w:val="bottom"/>
          </w:tcPr>
          <w:p w14:paraId="2339CED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 a reštaurácia</w:t>
            </w:r>
          </w:p>
        </w:tc>
      </w:tr>
      <w:tr w:rsidR="002B0209" w:rsidRPr="002B0209" w14:paraId="2209FBF4"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47D62B8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7E502AC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Penzión U Juhása</w:t>
            </w:r>
          </w:p>
        </w:tc>
        <w:tc>
          <w:tcPr>
            <w:tcW w:w="2551" w:type="dxa"/>
            <w:tcBorders>
              <w:top w:val="nil"/>
              <w:left w:val="nil"/>
              <w:bottom w:val="single" w:sz="4" w:space="0" w:color="auto"/>
              <w:right w:val="single" w:sz="8" w:space="0" w:color="auto"/>
            </w:tcBorders>
            <w:shd w:val="clear" w:color="auto" w:fill="auto"/>
            <w:noWrap/>
            <w:vAlign w:val="bottom"/>
          </w:tcPr>
          <w:p w14:paraId="6485637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Košariská 89</w:t>
            </w:r>
          </w:p>
        </w:tc>
        <w:tc>
          <w:tcPr>
            <w:tcW w:w="1701" w:type="dxa"/>
            <w:tcBorders>
              <w:top w:val="nil"/>
              <w:left w:val="nil"/>
              <w:bottom w:val="nil"/>
              <w:right w:val="single" w:sz="8" w:space="0" w:color="auto"/>
            </w:tcBorders>
            <w:shd w:val="clear" w:color="auto" w:fill="auto"/>
            <w:noWrap/>
            <w:vAlign w:val="bottom"/>
          </w:tcPr>
          <w:p w14:paraId="6C44AF6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1FE0660D"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4138B1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Krajné</w:t>
            </w:r>
          </w:p>
        </w:tc>
        <w:tc>
          <w:tcPr>
            <w:tcW w:w="3261" w:type="dxa"/>
            <w:tcBorders>
              <w:top w:val="nil"/>
              <w:left w:val="nil"/>
              <w:bottom w:val="single" w:sz="4" w:space="0" w:color="auto"/>
              <w:right w:val="single" w:sz="8" w:space="0" w:color="auto"/>
            </w:tcBorders>
            <w:shd w:val="clear" w:color="auto" w:fill="auto"/>
            <w:noWrap/>
            <w:vAlign w:val="bottom"/>
          </w:tcPr>
          <w:p w14:paraId="2CCBEE3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HANY</w:t>
            </w:r>
          </w:p>
        </w:tc>
        <w:tc>
          <w:tcPr>
            <w:tcW w:w="2551" w:type="dxa"/>
            <w:tcBorders>
              <w:top w:val="nil"/>
              <w:left w:val="nil"/>
              <w:bottom w:val="single" w:sz="4" w:space="0" w:color="auto"/>
              <w:right w:val="single" w:sz="8" w:space="0" w:color="auto"/>
            </w:tcBorders>
            <w:shd w:val="clear" w:color="auto" w:fill="auto"/>
            <w:noWrap/>
            <w:vAlign w:val="bottom"/>
          </w:tcPr>
          <w:p w14:paraId="267D729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Krajné 14</w:t>
            </w:r>
          </w:p>
        </w:tc>
        <w:tc>
          <w:tcPr>
            <w:tcW w:w="1701" w:type="dxa"/>
            <w:tcBorders>
              <w:top w:val="single" w:sz="4" w:space="0" w:color="auto"/>
              <w:left w:val="nil"/>
              <w:bottom w:val="nil"/>
              <w:right w:val="single" w:sz="8" w:space="0" w:color="auto"/>
            </w:tcBorders>
            <w:shd w:val="clear" w:color="auto" w:fill="auto"/>
            <w:noWrap/>
            <w:vAlign w:val="bottom"/>
          </w:tcPr>
          <w:p w14:paraId="35A1EBD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35E99610"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EB7D23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6D09865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Pizza Stop Restaurant</w:t>
            </w:r>
          </w:p>
        </w:tc>
        <w:tc>
          <w:tcPr>
            <w:tcW w:w="2551" w:type="dxa"/>
            <w:tcBorders>
              <w:top w:val="nil"/>
              <w:left w:val="nil"/>
              <w:bottom w:val="single" w:sz="4" w:space="0" w:color="auto"/>
              <w:right w:val="single" w:sz="8" w:space="0" w:color="auto"/>
            </w:tcBorders>
            <w:shd w:val="clear" w:color="auto" w:fill="auto"/>
            <w:noWrap/>
            <w:vAlign w:val="bottom"/>
          </w:tcPr>
          <w:p w14:paraId="21738E2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Krajné 232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692119D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 a reštaurácia</w:t>
            </w:r>
          </w:p>
        </w:tc>
      </w:tr>
      <w:tr w:rsidR="002B0209" w:rsidRPr="002B0209" w14:paraId="51B0514B"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5D2EC3C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661A36B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U Bórika pod vežou</w:t>
            </w:r>
          </w:p>
        </w:tc>
        <w:tc>
          <w:tcPr>
            <w:tcW w:w="2551" w:type="dxa"/>
            <w:tcBorders>
              <w:top w:val="nil"/>
              <w:left w:val="nil"/>
              <w:bottom w:val="single" w:sz="4" w:space="0" w:color="auto"/>
              <w:right w:val="single" w:sz="8" w:space="0" w:color="auto"/>
            </w:tcBorders>
            <w:shd w:val="clear" w:color="auto" w:fill="auto"/>
            <w:noWrap/>
            <w:vAlign w:val="bottom"/>
          </w:tcPr>
          <w:p w14:paraId="16B2AB0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Krajné 184</w:t>
            </w:r>
          </w:p>
        </w:tc>
        <w:tc>
          <w:tcPr>
            <w:tcW w:w="1701" w:type="dxa"/>
            <w:tcBorders>
              <w:top w:val="nil"/>
              <w:left w:val="nil"/>
              <w:bottom w:val="single" w:sz="4" w:space="0" w:color="auto"/>
              <w:right w:val="single" w:sz="8" w:space="0" w:color="auto"/>
            </w:tcBorders>
            <w:shd w:val="clear" w:color="auto" w:fill="auto"/>
            <w:noWrap/>
            <w:vAlign w:val="bottom"/>
          </w:tcPr>
          <w:p w14:paraId="5F58187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vináreň</w:t>
            </w:r>
          </w:p>
        </w:tc>
      </w:tr>
      <w:tr w:rsidR="002B0209" w:rsidRPr="002B0209" w14:paraId="6BA7001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42B9AE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Lubina</w:t>
            </w:r>
          </w:p>
        </w:tc>
        <w:tc>
          <w:tcPr>
            <w:tcW w:w="3261" w:type="dxa"/>
            <w:tcBorders>
              <w:top w:val="nil"/>
              <w:left w:val="nil"/>
              <w:bottom w:val="single" w:sz="4" w:space="0" w:color="auto"/>
              <w:right w:val="single" w:sz="8" w:space="0" w:color="auto"/>
            </w:tcBorders>
            <w:shd w:val="clear" w:color="auto" w:fill="auto"/>
            <w:noWrap/>
            <w:vAlign w:val="bottom"/>
          </w:tcPr>
          <w:p w14:paraId="47E3CA38"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U Šustra</w:t>
            </w:r>
          </w:p>
        </w:tc>
        <w:tc>
          <w:tcPr>
            <w:tcW w:w="2551" w:type="dxa"/>
            <w:tcBorders>
              <w:top w:val="nil"/>
              <w:left w:val="nil"/>
              <w:bottom w:val="single" w:sz="4" w:space="0" w:color="auto"/>
              <w:right w:val="single" w:sz="8" w:space="0" w:color="auto"/>
            </w:tcBorders>
            <w:shd w:val="clear" w:color="auto" w:fill="auto"/>
            <w:noWrap/>
            <w:vAlign w:val="bottom"/>
          </w:tcPr>
          <w:p w14:paraId="08D1A8E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Lubina 201</w:t>
            </w:r>
          </w:p>
        </w:tc>
        <w:tc>
          <w:tcPr>
            <w:tcW w:w="1701" w:type="dxa"/>
            <w:tcBorders>
              <w:top w:val="nil"/>
              <w:left w:val="nil"/>
              <w:bottom w:val="single" w:sz="4" w:space="0" w:color="auto"/>
              <w:right w:val="single" w:sz="8" w:space="0" w:color="auto"/>
            </w:tcBorders>
            <w:shd w:val="clear" w:color="auto" w:fill="auto"/>
            <w:noWrap/>
            <w:vAlign w:val="bottom"/>
          </w:tcPr>
          <w:p w14:paraId="6E486DB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70D1910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0BB6C1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12F74D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U Čierneho Adama</w:t>
            </w:r>
          </w:p>
        </w:tc>
        <w:tc>
          <w:tcPr>
            <w:tcW w:w="2551" w:type="dxa"/>
            <w:tcBorders>
              <w:top w:val="nil"/>
              <w:left w:val="nil"/>
              <w:bottom w:val="single" w:sz="4" w:space="0" w:color="auto"/>
              <w:right w:val="single" w:sz="8" w:space="0" w:color="auto"/>
            </w:tcBorders>
            <w:shd w:val="clear" w:color="auto" w:fill="auto"/>
            <w:noWrap/>
            <w:vAlign w:val="bottom"/>
          </w:tcPr>
          <w:p w14:paraId="04A15F6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Lubina 261</w:t>
            </w:r>
          </w:p>
        </w:tc>
        <w:tc>
          <w:tcPr>
            <w:tcW w:w="1701" w:type="dxa"/>
            <w:tcBorders>
              <w:top w:val="nil"/>
              <w:left w:val="nil"/>
              <w:bottom w:val="single" w:sz="4" w:space="0" w:color="auto"/>
              <w:right w:val="single" w:sz="8" w:space="0" w:color="auto"/>
            </w:tcBorders>
            <w:shd w:val="clear" w:color="auto" w:fill="auto"/>
            <w:noWrap/>
            <w:vAlign w:val="bottom"/>
          </w:tcPr>
          <w:p w14:paraId="3DD6B45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60CECDEA"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2B6E2F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2D2EC52D"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Bistro Tri sestry</w:t>
            </w:r>
          </w:p>
        </w:tc>
        <w:tc>
          <w:tcPr>
            <w:tcW w:w="2551" w:type="dxa"/>
            <w:tcBorders>
              <w:top w:val="nil"/>
              <w:left w:val="nil"/>
              <w:bottom w:val="single" w:sz="4" w:space="0" w:color="auto"/>
              <w:right w:val="single" w:sz="8" w:space="0" w:color="auto"/>
            </w:tcBorders>
            <w:shd w:val="clear" w:color="auto" w:fill="auto"/>
            <w:noWrap/>
            <w:vAlign w:val="bottom"/>
          </w:tcPr>
          <w:p w14:paraId="764F0AD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Lubina 974</w:t>
            </w:r>
          </w:p>
        </w:tc>
        <w:tc>
          <w:tcPr>
            <w:tcW w:w="1701" w:type="dxa"/>
            <w:tcBorders>
              <w:top w:val="nil"/>
              <w:left w:val="nil"/>
              <w:bottom w:val="single" w:sz="4" w:space="0" w:color="auto"/>
              <w:right w:val="single" w:sz="8" w:space="0" w:color="auto"/>
            </w:tcBorders>
            <w:shd w:val="clear" w:color="auto" w:fill="auto"/>
            <w:noWrap/>
            <w:vAlign w:val="bottom"/>
          </w:tcPr>
          <w:p w14:paraId="515FBC7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3B047949"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78BE874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4058F055"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Na konci sveta</w:t>
            </w:r>
          </w:p>
        </w:tc>
        <w:tc>
          <w:tcPr>
            <w:tcW w:w="2551" w:type="dxa"/>
            <w:tcBorders>
              <w:top w:val="nil"/>
              <w:left w:val="nil"/>
              <w:bottom w:val="single" w:sz="4" w:space="0" w:color="auto"/>
              <w:right w:val="single" w:sz="8" w:space="0" w:color="auto"/>
            </w:tcBorders>
            <w:shd w:val="clear" w:color="auto" w:fill="auto"/>
            <w:noWrap/>
            <w:vAlign w:val="bottom"/>
          </w:tcPr>
          <w:p w14:paraId="2F08CD9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Lubina 673</w:t>
            </w:r>
          </w:p>
        </w:tc>
        <w:tc>
          <w:tcPr>
            <w:tcW w:w="1701" w:type="dxa"/>
            <w:tcBorders>
              <w:top w:val="nil"/>
              <w:left w:val="nil"/>
              <w:bottom w:val="single" w:sz="4" w:space="0" w:color="auto"/>
              <w:right w:val="single" w:sz="8" w:space="0" w:color="auto"/>
            </w:tcBorders>
            <w:shd w:val="clear" w:color="auto" w:fill="auto"/>
            <w:noWrap/>
            <w:vAlign w:val="bottom"/>
          </w:tcPr>
          <w:p w14:paraId="7FC4C69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3F3E3EC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5ADAFE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Myjava</w:t>
            </w:r>
          </w:p>
        </w:tc>
        <w:tc>
          <w:tcPr>
            <w:tcW w:w="3261" w:type="dxa"/>
            <w:tcBorders>
              <w:top w:val="nil"/>
              <w:left w:val="nil"/>
              <w:bottom w:val="single" w:sz="4" w:space="0" w:color="auto"/>
              <w:right w:val="single" w:sz="8" w:space="0" w:color="auto"/>
            </w:tcBorders>
            <w:shd w:val="clear" w:color="auto" w:fill="auto"/>
            <w:noWrap/>
            <w:vAlign w:val="bottom"/>
          </w:tcPr>
          <w:p w14:paraId="6342D8B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Reštaurácia Pod vežou </w:t>
            </w:r>
          </w:p>
        </w:tc>
        <w:tc>
          <w:tcPr>
            <w:tcW w:w="2551" w:type="dxa"/>
            <w:tcBorders>
              <w:top w:val="nil"/>
              <w:left w:val="nil"/>
              <w:bottom w:val="single" w:sz="4" w:space="0" w:color="auto"/>
              <w:right w:val="single" w:sz="8" w:space="0" w:color="auto"/>
            </w:tcBorders>
            <w:shd w:val="clear" w:color="auto" w:fill="auto"/>
            <w:noWrap/>
            <w:vAlign w:val="bottom"/>
          </w:tcPr>
          <w:p w14:paraId="168182A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Dolná štvrť 385/1</w:t>
            </w:r>
          </w:p>
        </w:tc>
        <w:tc>
          <w:tcPr>
            <w:tcW w:w="1701" w:type="dxa"/>
            <w:tcBorders>
              <w:top w:val="nil"/>
              <w:left w:val="nil"/>
              <w:bottom w:val="single" w:sz="4" w:space="0" w:color="auto"/>
              <w:right w:val="single" w:sz="8" w:space="0" w:color="auto"/>
            </w:tcBorders>
            <w:shd w:val="clear" w:color="auto" w:fill="auto"/>
            <w:noWrap/>
            <w:vAlign w:val="bottom"/>
          </w:tcPr>
          <w:p w14:paraId="017D4EA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vináreň</w:t>
            </w:r>
          </w:p>
        </w:tc>
      </w:tr>
      <w:tr w:rsidR="002B0209" w:rsidRPr="002B0209" w14:paraId="6544C9A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51FBD67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455EE3E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Blue bar </w:t>
            </w:r>
          </w:p>
        </w:tc>
        <w:tc>
          <w:tcPr>
            <w:tcW w:w="2551" w:type="dxa"/>
            <w:tcBorders>
              <w:top w:val="nil"/>
              <w:left w:val="nil"/>
              <w:bottom w:val="single" w:sz="4" w:space="0" w:color="auto"/>
              <w:right w:val="single" w:sz="8" w:space="0" w:color="auto"/>
            </w:tcBorders>
            <w:shd w:val="clear" w:color="auto" w:fill="auto"/>
            <w:noWrap/>
            <w:vAlign w:val="bottom"/>
          </w:tcPr>
          <w:p w14:paraId="6458EA0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Partizánska 290/17</w:t>
            </w:r>
          </w:p>
        </w:tc>
        <w:tc>
          <w:tcPr>
            <w:tcW w:w="1701" w:type="dxa"/>
            <w:tcBorders>
              <w:top w:val="nil"/>
              <w:left w:val="nil"/>
              <w:bottom w:val="single" w:sz="4" w:space="0" w:color="auto"/>
              <w:right w:val="single" w:sz="8" w:space="0" w:color="auto"/>
            </w:tcBorders>
            <w:shd w:val="clear" w:color="auto" w:fill="auto"/>
            <w:noWrap/>
            <w:vAlign w:val="bottom"/>
          </w:tcPr>
          <w:p w14:paraId="42161C3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6BE7F4E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AFA33C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0BA09CF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Bowling klub</w:t>
            </w:r>
          </w:p>
        </w:tc>
        <w:tc>
          <w:tcPr>
            <w:tcW w:w="2551" w:type="dxa"/>
            <w:tcBorders>
              <w:top w:val="nil"/>
              <w:left w:val="nil"/>
              <w:bottom w:val="single" w:sz="4" w:space="0" w:color="auto"/>
              <w:right w:val="single" w:sz="8" w:space="0" w:color="auto"/>
            </w:tcBorders>
            <w:shd w:val="clear" w:color="auto" w:fill="auto"/>
            <w:noWrap/>
            <w:vAlign w:val="bottom"/>
          </w:tcPr>
          <w:p w14:paraId="2BB2F43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Partizánska 290/17</w:t>
            </w:r>
          </w:p>
        </w:tc>
        <w:tc>
          <w:tcPr>
            <w:tcW w:w="1701" w:type="dxa"/>
            <w:tcBorders>
              <w:top w:val="nil"/>
              <w:left w:val="nil"/>
              <w:bottom w:val="single" w:sz="4" w:space="0" w:color="auto"/>
              <w:right w:val="single" w:sz="8" w:space="0" w:color="auto"/>
            </w:tcBorders>
            <w:shd w:val="clear" w:color="auto" w:fill="auto"/>
            <w:noWrap/>
            <w:vAlign w:val="bottom"/>
          </w:tcPr>
          <w:p w14:paraId="0B4EDFA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72780A3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CABCBF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25BD830D"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PIUS 2000 </w:t>
            </w:r>
          </w:p>
        </w:tc>
        <w:tc>
          <w:tcPr>
            <w:tcW w:w="2551" w:type="dxa"/>
            <w:tcBorders>
              <w:top w:val="nil"/>
              <w:left w:val="nil"/>
              <w:bottom w:val="single" w:sz="4" w:space="0" w:color="auto"/>
              <w:right w:val="single" w:sz="8" w:space="0" w:color="auto"/>
            </w:tcBorders>
            <w:shd w:val="clear" w:color="auto" w:fill="auto"/>
            <w:noWrap/>
            <w:vAlign w:val="bottom"/>
          </w:tcPr>
          <w:p w14:paraId="725950E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 R. Štefánika 525/21</w:t>
            </w:r>
          </w:p>
        </w:tc>
        <w:tc>
          <w:tcPr>
            <w:tcW w:w="1701" w:type="dxa"/>
            <w:tcBorders>
              <w:top w:val="nil"/>
              <w:left w:val="nil"/>
              <w:bottom w:val="single" w:sz="4" w:space="0" w:color="auto"/>
              <w:right w:val="single" w:sz="8" w:space="0" w:color="auto"/>
            </w:tcBorders>
            <w:shd w:val="clear" w:color="auto" w:fill="auto"/>
            <w:noWrap/>
            <w:vAlign w:val="bottom"/>
          </w:tcPr>
          <w:p w14:paraId="67819D2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72985191"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22D8AC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2832764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FONTÁNA</w:t>
            </w:r>
          </w:p>
        </w:tc>
        <w:tc>
          <w:tcPr>
            <w:tcW w:w="2551" w:type="dxa"/>
            <w:tcBorders>
              <w:top w:val="nil"/>
              <w:left w:val="nil"/>
              <w:bottom w:val="single" w:sz="4" w:space="0" w:color="auto"/>
              <w:right w:val="single" w:sz="8" w:space="0" w:color="auto"/>
            </w:tcBorders>
            <w:shd w:val="clear" w:color="auto" w:fill="auto"/>
            <w:noWrap/>
            <w:vAlign w:val="bottom"/>
          </w:tcPr>
          <w:p w14:paraId="32F01DD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 R. Štefánika 562/8</w:t>
            </w:r>
          </w:p>
        </w:tc>
        <w:tc>
          <w:tcPr>
            <w:tcW w:w="1701" w:type="dxa"/>
            <w:tcBorders>
              <w:top w:val="nil"/>
              <w:left w:val="nil"/>
              <w:bottom w:val="single" w:sz="4" w:space="0" w:color="auto"/>
              <w:right w:val="single" w:sz="8" w:space="0" w:color="auto"/>
            </w:tcBorders>
            <w:shd w:val="clear" w:color="auto" w:fill="auto"/>
            <w:noWrap/>
            <w:vAlign w:val="bottom"/>
          </w:tcPr>
          <w:p w14:paraId="40B4C93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31EB39B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587E1AE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78DB6AEE"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Neptun</w:t>
            </w:r>
          </w:p>
        </w:tc>
        <w:tc>
          <w:tcPr>
            <w:tcW w:w="2551" w:type="dxa"/>
            <w:tcBorders>
              <w:top w:val="nil"/>
              <w:left w:val="nil"/>
              <w:bottom w:val="single" w:sz="4" w:space="0" w:color="auto"/>
              <w:right w:val="single" w:sz="8" w:space="0" w:color="auto"/>
            </w:tcBorders>
            <w:shd w:val="clear" w:color="auto" w:fill="auto"/>
            <w:noWrap/>
            <w:vAlign w:val="bottom"/>
          </w:tcPr>
          <w:p w14:paraId="14A22A3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Milana Marečka 270/9</w:t>
            </w:r>
          </w:p>
        </w:tc>
        <w:tc>
          <w:tcPr>
            <w:tcW w:w="1701" w:type="dxa"/>
            <w:tcBorders>
              <w:top w:val="nil"/>
              <w:left w:val="nil"/>
              <w:bottom w:val="single" w:sz="4" w:space="0" w:color="auto"/>
              <w:right w:val="single" w:sz="8" w:space="0" w:color="auto"/>
            </w:tcBorders>
            <w:shd w:val="clear" w:color="auto" w:fill="auto"/>
            <w:noWrap/>
            <w:vAlign w:val="bottom"/>
          </w:tcPr>
          <w:p w14:paraId="2C396BD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6F2A8332"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2811680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ED008B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u Švejka</w:t>
            </w:r>
          </w:p>
        </w:tc>
        <w:tc>
          <w:tcPr>
            <w:tcW w:w="2551" w:type="dxa"/>
            <w:tcBorders>
              <w:top w:val="nil"/>
              <w:left w:val="nil"/>
              <w:bottom w:val="single" w:sz="4" w:space="0" w:color="auto"/>
              <w:right w:val="single" w:sz="8" w:space="0" w:color="auto"/>
            </w:tcBorders>
            <w:shd w:val="clear" w:color="auto" w:fill="auto"/>
            <w:noWrap/>
            <w:vAlign w:val="bottom"/>
          </w:tcPr>
          <w:p w14:paraId="4DEB353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Milana Marečka 270/9</w:t>
            </w:r>
          </w:p>
        </w:tc>
        <w:tc>
          <w:tcPr>
            <w:tcW w:w="1701" w:type="dxa"/>
            <w:tcBorders>
              <w:top w:val="nil"/>
              <w:left w:val="nil"/>
              <w:bottom w:val="single" w:sz="4" w:space="0" w:color="auto"/>
              <w:right w:val="single" w:sz="8" w:space="0" w:color="auto"/>
            </w:tcBorders>
            <w:shd w:val="clear" w:color="auto" w:fill="auto"/>
            <w:noWrap/>
            <w:vAlign w:val="bottom"/>
          </w:tcPr>
          <w:p w14:paraId="5365459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16286D10"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CF805D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6205839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Bufet železničná stanica </w:t>
            </w:r>
          </w:p>
        </w:tc>
        <w:tc>
          <w:tcPr>
            <w:tcW w:w="2551" w:type="dxa"/>
            <w:tcBorders>
              <w:top w:val="nil"/>
              <w:left w:val="nil"/>
              <w:bottom w:val="single" w:sz="4" w:space="0" w:color="auto"/>
              <w:right w:val="single" w:sz="8" w:space="0" w:color="auto"/>
            </w:tcBorders>
            <w:shd w:val="clear" w:color="auto" w:fill="auto"/>
            <w:noWrap/>
            <w:vAlign w:val="bottom"/>
          </w:tcPr>
          <w:p w14:paraId="08961A5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Nádražná 4</w:t>
            </w:r>
          </w:p>
        </w:tc>
        <w:tc>
          <w:tcPr>
            <w:tcW w:w="1701" w:type="dxa"/>
            <w:tcBorders>
              <w:top w:val="nil"/>
              <w:left w:val="nil"/>
              <w:bottom w:val="single" w:sz="4" w:space="0" w:color="auto"/>
              <w:right w:val="single" w:sz="8" w:space="0" w:color="auto"/>
            </w:tcBorders>
            <w:shd w:val="clear" w:color="auto" w:fill="auto"/>
            <w:noWrap/>
            <w:vAlign w:val="bottom"/>
          </w:tcPr>
          <w:p w14:paraId="017C3C7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2B03C43A"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27ECAB6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D7829F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Eva Bar </w:t>
            </w:r>
          </w:p>
        </w:tc>
        <w:tc>
          <w:tcPr>
            <w:tcW w:w="2551" w:type="dxa"/>
            <w:tcBorders>
              <w:top w:val="nil"/>
              <w:left w:val="nil"/>
              <w:bottom w:val="single" w:sz="4" w:space="0" w:color="auto"/>
              <w:right w:val="single" w:sz="8" w:space="0" w:color="auto"/>
            </w:tcBorders>
            <w:shd w:val="clear" w:color="auto" w:fill="auto"/>
            <w:noWrap/>
            <w:vAlign w:val="bottom"/>
          </w:tcPr>
          <w:p w14:paraId="45EE592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Bradáčova 269/6</w:t>
            </w:r>
          </w:p>
        </w:tc>
        <w:tc>
          <w:tcPr>
            <w:tcW w:w="1701" w:type="dxa"/>
            <w:tcBorders>
              <w:top w:val="nil"/>
              <w:left w:val="nil"/>
              <w:bottom w:val="single" w:sz="4" w:space="0" w:color="auto"/>
              <w:right w:val="single" w:sz="8" w:space="0" w:color="auto"/>
            </w:tcBorders>
            <w:shd w:val="clear" w:color="auto" w:fill="auto"/>
            <w:noWrap/>
            <w:vAlign w:val="bottom"/>
          </w:tcPr>
          <w:p w14:paraId="63E032A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077C011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A8BA83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6AC0C98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IVA BAR </w:t>
            </w:r>
          </w:p>
        </w:tc>
        <w:tc>
          <w:tcPr>
            <w:tcW w:w="2551" w:type="dxa"/>
            <w:tcBorders>
              <w:top w:val="nil"/>
              <w:left w:val="nil"/>
              <w:bottom w:val="single" w:sz="4" w:space="0" w:color="auto"/>
              <w:right w:val="single" w:sz="8" w:space="0" w:color="auto"/>
            </w:tcBorders>
            <w:shd w:val="clear" w:color="auto" w:fill="auto"/>
            <w:noWrap/>
            <w:vAlign w:val="bottom"/>
          </w:tcPr>
          <w:p w14:paraId="00FF21F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Brezovská cesta 450/16</w:t>
            </w:r>
          </w:p>
        </w:tc>
        <w:tc>
          <w:tcPr>
            <w:tcW w:w="1701" w:type="dxa"/>
            <w:tcBorders>
              <w:top w:val="nil"/>
              <w:left w:val="nil"/>
              <w:bottom w:val="single" w:sz="4" w:space="0" w:color="auto"/>
              <w:right w:val="single" w:sz="8" w:space="0" w:color="auto"/>
            </w:tcBorders>
            <w:shd w:val="clear" w:color="auto" w:fill="auto"/>
            <w:noWrap/>
            <w:vAlign w:val="bottom"/>
          </w:tcPr>
          <w:p w14:paraId="56C610B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567197ED"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B43A98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2DCB5A6A"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CAFE Harmonia</w:t>
            </w:r>
          </w:p>
        </w:tc>
        <w:tc>
          <w:tcPr>
            <w:tcW w:w="2551" w:type="dxa"/>
            <w:tcBorders>
              <w:top w:val="nil"/>
              <w:left w:val="nil"/>
              <w:bottom w:val="single" w:sz="4" w:space="0" w:color="auto"/>
              <w:right w:val="single" w:sz="8" w:space="0" w:color="auto"/>
            </w:tcBorders>
            <w:shd w:val="clear" w:color="auto" w:fill="auto"/>
            <w:noWrap/>
            <w:vAlign w:val="bottom"/>
          </w:tcPr>
          <w:p w14:paraId="6D585B1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 R. Štefánika 524/19</w:t>
            </w:r>
          </w:p>
        </w:tc>
        <w:tc>
          <w:tcPr>
            <w:tcW w:w="1701" w:type="dxa"/>
            <w:tcBorders>
              <w:top w:val="nil"/>
              <w:left w:val="nil"/>
              <w:bottom w:val="single" w:sz="4" w:space="0" w:color="auto"/>
              <w:right w:val="single" w:sz="8" w:space="0" w:color="auto"/>
            </w:tcBorders>
            <w:shd w:val="clear" w:color="auto" w:fill="auto"/>
            <w:noWrap/>
            <w:vAlign w:val="bottom"/>
          </w:tcPr>
          <w:p w14:paraId="71AB5F3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7E0932BE"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5EDE472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105D484A"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Šenk U FERDA </w:t>
            </w:r>
          </w:p>
        </w:tc>
        <w:tc>
          <w:tcPr>
            <w:tcW w:w="2551" w:type="dxa"/>
            <w:tcBorders>
              <w:top w:val="nil"/>
              <w:left w:val="nil"/>
              <w:bottom w:val="single" w:sz="4" w:space="0" w:color="auto"/>
              <w:right w:val="single" w:sz="8" w:space="0" w:color="auto"/>
            </w:tcBorders>
            <w:shd w:val="clear" w:color="auto" w:fill="auto"/>
            <w:noWrap/>
            <w:vAlign w:val="bottom"/>
          </w:tcPr>
          <w:p w14:paraId="65AB088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Hodžova ul. 260/1</w:t>
            </w:r>
          </w:p>
        </w:tc>
        <w:tc>
          <w:tcPr>
            <w:tcW w:w="1701" w:type="dxa"/>
            <w:tcBorders>
              <w:top w:val="nil"/>
              <w:left w:val="nil"/>
              <w:bottom w:val="single" w:sz="4" w:space="0" w:color="auto"/>
              <w:right w:val="single" w:sz="8" w:space="0" w:color="auto"/>
            </w:tcBorders>
            <w:shd w:val="clear" w:color="auto" w:fill="auto"/>
            <w:noWrap/>
            <w:vAlign w:val="bottom"/>
          </w:tcPr>
          <w:p w14:paraId="6D735ED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2FCD8BC4"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1EC937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2BE314FA"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Trnovce</w:t>
            </w:r>
          </w:p>
        </w:tc>
        <w:tc>
          <w:tcPr>
            <w:tcW w:w="2551" w:type="dxa"/>
            <w:tcBorders>
              <w:top w:val="nil"/>
              <w:left w:val="nil"/>
              <w:bottom w:val="single" w:sz="4" w:space="0" w:color="auto"/>
              <w:right w:val="single" w:sz="8" w:space="0" w:color="auto"/>
            </w:tcBorders>
            <w:shd w:val="clear" w:color="auto" w:fill="auto"/>
            <w:noWrap/>
            <w:vAlign w:val="bottom"/>
          </w:tcPr>
          <w:p w14:paraId="41A88A3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Trnovská 25</w:t>
            </w:r>
          </w:p>
        </w:tc>
        <w:tc>
          <w:tcPr>
            <w:tcW w:w="1701" w:type="dxa"/>
            <w:tcBorders>
              <w:top w:val="nil"/>
              <w:left w:val="nil"/>
              <w:bottom w:val="single" w:sz="4" w:space="0" w:color="auto"/>
              <w:right w:val="single" w:sz="8" w:space="0" w:color="auto"/>
            </w:tcBorders>
            <w:shd w:val="clear" w:color="auto" w:fill="auto"/>
            <w:noWrap/>
            <w:vAlign w:val="bottom"/>
          </w:tcPr>
          <w:p w14:paraId="79CC5B0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507024A0"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B779ED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7167B1F"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BAR TERASA </w:t>
            </w:r>
          </w:p>
        </w:tc>
        <w:tc>
          <w:tcPr>
            <w:tcW w:w="2551" w:type="dxa"/>
            <w:tcBorders>
              <w:top w:val="nil"/>
              <w:left w:val="nil"/>
              <w:bottom w:val="single" w:sz="4" w:space="0" w:color="auto"/>
              <w:right w:val="single" w:sz="8" w:space="0" w:color="auto"/>
            </w:tcBorders>
            <w:shd w:val="clear" w:color="auto" w:fill="auto"/>
            <w:noWrap/>
            <w:vAlign w:val="bottom"/>
          </w:tcPr>
          <w:p w14:paraId="747E316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Partizánska 738/21</w:t>
            </w:r>
          </w:p>
        </w:tc>
        <w:tc>
          <w:tcPr>
            <w:tcW w:w="1701" w:type="dxa"/>
            <w:tcBorders>
              <w:top w:val="nil"/>
              <w:left w:val="nil"/>
              <w:bottom w:val="single" w:sz="4" w:space="0" w:color="auto"/>
              <w:right w:val="single" w:sz="8" w:space="0" w:color="auto"/>
            </w:tcBorders>
            <w:shd w:val="clear" w:color="auto" w:fill="auto"/>
            <w:noWrap/>
            <w:vAlign w:val="bottom"/>
          </w:tcPr>
          <w:p w14:paraId="2839E76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7548A3D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939FAC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40563FF1"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CENTRUM B </w:t>
            </w:r>
          </w:p>
        </w:tc>
        <w:tc>
          <w:tcPr>
            <w:tcW w:w="2551" w:type="dxa"/>
            <w:tcBorders>
              <w:top w:val="nil"/>
              <w:left w:val="nil"/>
              <w:bottom w:val="single" w:sz="4" w:space="0" w:color="auto"/>
              <w:right w:val="single" w:sz="8" w:space="0" w:color="auto"/>
            </w:tcBorders>
            <w:shd w:val="clear" w:color="auto" w:fill="auto"/>
            <w:noWrap/>
            <w:vAlign w:val="bottom"/>
          </w:tcPr>
          <w:p w14:paraId="47DFDB7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 R. Štefánika 525/21</w:t>
            </w:r>
          </w:p>
        </w:tc>
        <w:tc>
          <w:tcPr>
            <w:tcW w:w="1701" w:type="dxa"/>
            <w:tcBorders>
              <w:top w:val="nil"/>
              <w:left w:val="nil"/>
              <w:bottom w:val="single" w:sz="4" w:space="0" w:color="auto"/>
              <w:right w:val="single" w:sz="8" w:space="0" w:color="auto"/>
            </w:tcBorders>
            <w:shd w:val="clear" w:color="auto" w:fill="auto"/>
            <w:noWrap/>
            <w:vAlign w:val="bottom"/>
          </w:tcPr>
          <w:p w14:paraId="71F23E3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1CC0F9F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EC3027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1A427D7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Kolkáreň u Freda</w:t>
            </w:r>
          </w:p>
        </w:tc>
        <w:tc>
          <w:tcPr>
            <w:tcW w:w="2551" w:type="dxa"/>
            <w:tcBorders>
              <w:top w:val="nil"/>
              <w:left w:val="nil"/>
              <w:bottom w:val="single" w:sz="4" w:space="0" w:color="auto"/>
              <w:right w:val="single" w:sz="8" w:space="0" w:color="auto"/>
            </w:tcBorders>
            <w:shd w:val="clear" w:color="auto" w:fill="auto"/>
            <w:noWrap/>
            <w:vAlign w:val="bottom"/>
          </w:tcPr>
          <w:p w14:paraId="03D3861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xml:space="preserve">Hodžova </w:t>
            </w:r>
          </w:p>
        </w:tc>
        <w:tc>
          <w:tcPr>
            <w:tcW w:w="1701" w:type="dxa"/>
            <w:tcBorders>
              <w:top w:val="nil"/>
              <w:left w:val="nil"/>
              <w:bottom w:val="single" w:sz="4" w:space="0" w:color="auto"/>
              <w:right w:val="single" w:sz="8" w:space="0" w:color="auto"/>
            </w:tcBorders>
            <w:shd w:val="clear" w:color="auto" w:fill="auto"/>
            <w:noWrap/>
            <w:vAlign w:val="bottom"/>
          </w:tcPr>
          <w:p w14:paraId="64CCB82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rýchle občerstvenie</w:t>
            </w:r>
          </w:p>
        </w:tc>
      </w:tr>
      <w:tr w:rsidR="002B0209" w:rsidRPr="002B0209" w14:paraId="5D7BDEAD"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24378F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6184609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Rosy restaurant</w:t>
            </w:r>
          </w:p>
        </w:tc>
        <w:tc>
          <w:tcPr>
            <w:tcW w:w="2551" w:type="dxa"/>
            <w:tcBorders>
              <w:top w:val="nil"/>
              <w:left w:val="nil"/>
              <w:bottom w:val="single" w:sz="4" w:space="0" w:color="auto"/>
              <w:right w:val="single" w:sz="8" w:space="0" w:color="auto"/>
            </w:tcBorders>
            <w:shd w:val="clear" w:color="auto" w:fill="auto"/>
            <w:noWrap/>
            <w:vAlign w:val="bottom"/>
          </w:tcPr>
          <w:p w14:paraId="2E7A57E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Trokanova 235/1</w:t>
            </w:r>
          </w:p>
        </w:tc>
        <w:tc>
          <w:tcPr>
            <w:tcW w:w="1701" w:type="dxa"/>
            <w:tcBorders>
              <w:top w:val="nil"/>
              <w:left w:val="nil"/>
              <w:bottom w:val="single" w:sz="4" w:space="0" w:color="auto"/>
              <w:right w:val="single" w:sz="8" w:space="0" w:color="auto"/>
            </w:tcBorders>
            <w:shd w:val="clear" w:color="auto" w:fill="auto"/>
            <w:noWrap/>
            <w:vAlign w:val="bottom"/>
          </w:tcPr>
          <w:p w14:paraId="268BD51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4A3F61A2"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741A799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auto"/>
            <w:noWrap/>
            <w:vAlign w:val="bottom"/>
          </w:tcPr>
          <w:p w14:paraId="36B6D75E"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Pizzeria Cross</w:t>
            </w:r>
          </w:p>
        </w:tc>
        <w:tc>
          <w:tcPr>
            <w:tcW w:w="2551" w:type="dxa"/>
            <w:tcBorders>
              <w:top w:val="nil"/>
              <w:left w:val="nil"/>
              <w:bottom w:val="single" w:sz="4" w:space="0" w:color="auto"/>
              <w:right w:val="single" w:sz="8" w:space="0" w:color="auto"/>
            </w:tcBorders>
            <w:shd w:val="clear" w:color="auto" w:fill="auto"/>
            <w:noWrap/>
            <w:vAlign w:val="bottom"/>
          </w:tcPr>
          <w:p w14:paraId="1F70F86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Dolná štvrť 385/1</w:t>
            </w:r>
          </w:p>
        </w:tc>
        <w:tc>
          <w:tcPr>
            <w:tcW w:w="1701" w:type="dxa"/>
            <w:tcBorders>
              <w:top w:val="nil"/>
              <w:left w:val="nil"/>
              <w:bottom w:val="single" w:sz="4" w:space="0" w:color="auto"/>
              <w:right w:val="single" w:sz="8" w:space="0" w:color="auto"/>
            </w:tcBorders>
            <w:shd w:val="clear" w:color="auto" w:fill="auto"/>
            <w:noWrap/>
            <w:vAlign w:val="bottom"/>
          </w:tcPr>
          <w:p w14:paraId="4BF67DA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w:t>
            </w:r>
          </w:p>
        </w:tc>
      </w:tr>
      <w:tr w:rsidR="002B0209" w:rsidRPr="002B0209" w14:paraId="0B33EBFF"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7C91684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Podkylava</w:t>
            </w:r>
          </w:p>
        </w:tc>
        <w:tc>
          <w:tcPr>
            <w:tcW w:w="3261" w:type="dxa"/>
            <w:tcBorders>
              <w:top w:val="nil"/>
              <w:left w:val="nil"/>
              <w:bottom w:val="single" w:sz="4" w:space="0" w:color="auto"/>
              <w:right w:val="single" w:sz="8" w:space="0" w:color="auto"/>
            </w:tcBorders>
            <w:shd w:val="clear" w:color="auto" w:fill="auto"/>
            <w:noWrap/>
            <w:vAlign w:val="bottom"/>
          </w:tcPr>
          <w:p w14:paraId="71596EB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Agropenzión "Adam"</w:t>
            </w:r>
          </w:p>
        </w:tc>
        <w:tc>
          <w:tcPr>
            <w:tcW w:w="2551" w:type="dxa"/>
            <w:tcBorders>
              <w:top w:val="nil"/>
              <w:left w:val="nil"/>
              <w:bottom w:val="single" w:sz="4" w:space="0" w:color="auto"/>
              <w:right w:val="single" w:sz="8" w:space="0" w:color="auto"/>
            </w:tcBorders>
            <w:shd w:val="clear" w:color="auto" w:fill="auto"/>
            <w:noWrap/>
            <w:vAlign w:val="bottom"/>
          </w:tcPr>
          <w:p w14:paraId="0EFA1C8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Podkylava č. 188</w:t>
            </w:r>
          </w:p>
        </w:tc>
        <w:tc>
          <w:tcPr>
            <w:tcW w:w="1701" w:type="dxa"/>
            <w:tcBorders>
              <w:top w:val="nil"/>
              <w:left w:val="nil"/>
              <w:bottom w:val="single" w:sz="4" w:space="0" w:color="auto"/>
              <w:right w:val="single" w:sz="8" w:space="0" w:color="auto"/>
            </w:tcBorders>
            <w:shd w:val="clear" w:color="auto" w:fill="auto"/>
            <w:noWrap/>
            <w:vAlign w:val="bottom"/>
          </w:tcPr>
          <w:p w14:paraId="2C24649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0B4C1816" w14:textId="77777777" w:rsidTr="007E10F7">
        <w:trPr>
          <w:trHeight w:val="170"/>
        </w:trPr>
        <w:tc>
          <w:tcPr>
            <w:tcW w:w="1716" w:type="dxa"/>
            <w:tcBorders>
              <w:top w:val="nil"/>
              <w:left w:val="single" w:sz="8" w:space="0" w:color="auto"/>
              <w:bottom w:val="single" w:sz="4" w:space="0" w:color="auto"/>
              <w:right w:val="single" w:sz="8" w:space="0" w:color="auto"/>
            </w:tcBorders>
            <w:shd w:val="clear" w:color="auto" w:fill="auto"/>
            <w:noWrap/>
            <w:vAlign w:val="bottom"/>
          </w:tcPr>
          <w:p w14:paraId="61F141C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Stará Myjava</w:t>
            </w:r>
          </w:p>
        </w:tc>
        <w:tc>
          <w:tcPr>
            <w:tcW w:w="3261" w:type="dxa"/>
            <w:tcBorders>
              <w:top w:val="nil"/>
              <w:left w:val="nil"/>
              <w:bottom w:val="single" w:sz="4" w:space="0" w:color="auto"/>
              <w:right w:val="single" w:sz="8" w:space="0" w:color="auto"/>
            </w:tcBorders>
            <w:shd w:val="clear" w:color="auto" w:fill="auto"/>
            <w:noWrap/>
            <w:vAlign w:val="bottom"/>
          </w:tcPr>
          <w:p w14:paraId="7F74FBE1"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Dalmacija</w:t>
            </w:r>
          </w:p>
        </w:tc>
        <w:tc>
          <w:tcPr>
            <w:tcW w:w="2551" w:type="dxa"/>
            <w:tcBorders>
              <w:top w:val="nil"/>
              <w:left w:val="nil"/>
              <w:bottom w:val="single" w:sz="4" w:space="0" w:color="auto"/>
              <w:right w:val="single" w:sz="8" w:space="0" w:color="auto"/>
            </w:tcBorders>
            <w:shd w:val="clear" w:color="auto" w:fill="auto"/>
            <w:noWrap/>
            <w:vAlign w:val="bottom"/>
          </w:tcPr>
          <w:p w14:paraId="45EFD45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Stará Myjava 200/40</w:t>
            </w:r>
          </w:p>
        </w:tc>
        <w:tc>
          <w:tcPr>
            <w:tcW w:w="1701" w:type="dxa"/>
            <w:tcBorders>
              <w:top w:val="nil"/>
              <w:left w:val="nil"/>
              <w:bottom w:val="single" w:sz="4" w:space="0" w:color="auto"/>
              <w:right w:val="single" w:sz="8" w:space="0" w:color="auto"/>
            </w:tcBorders>
            <w:shd w:val="clear" w:color="auto" w:fill="auto"/>
            <w:noWrap/>
            <w:vAlign w:val="bottom"/>
          </w:tcPr>
          <w:p w14:paraId="1CB29D5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75FF859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144BDE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Stará Turá</w:t>
            </w:r>
          </w:p>
        </w:tc>
        <w:tc>
          <w:tcPr>
            <w:tcW w:w="3261" w:type="dxa"/>
            <w:tcBorders>
              <w:top w:val="nil"/>
              <w:left w:val="nil"/>
              <w:bottom w:val="single" w:sz="4" w:space="0" w:color="auto"/>
              <w:right w:val="single" w:sz="8" w:space="0" w:color="auto"/>
            </w:tcBorders>
            <w:shd w:val="clear" w:color="auto" w:fill="FFFFFF"/>
          </w:tcPr>
          <w:p w14:paraId="45367D25"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Piváreň KELT </w:t>
            </w:r>
          </w:p>
        </w:tc>
        <w:tc>
          <w:tcPr>
            <w:tcW w:w="2551" w:type="dxa"/>
            <w:tcBorders>
              <w:top w:val="nil"/>
              <w:left w:val="nil"/>
              <w:bottom w:val="single" w:sz="4" w:space="0" w:color="auto"/>
              <w:right w:val="single" w:sz="8" w:space="0" w:color="auto"/>
            </w:tcBorders>
            <w:shd w:val="clear" w:color="auto" w:fill="FFFFFF"/>
          </w:tcPr>
          <w:p w14:paraId="566BC4B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Dr. Úradníčka 191</w:t>
            </w:r>
          </w:p>
        </w:tc>
        <w:tc>
          <w:tcPr>
            <w:tcW w:w="1701" w:type="dxa"/>
            <w:tcBorders>
              <w:top w:val="nil"/>
              <w:left w:val="nil"/>
              <w:bottom w:val="single" w:sz="4" w:space="0" w:color="auto"/>
              <w:right w:val="single" w:sz="8" w:space="0" w:color="auto"/>
            </w:tcBorders>
            <w:shd w:val="clear" w:color="auto" w:fill="FFFFFF"/>
            <w:vAlign w:val="center"/>
          </w:tcPr>
          <w:p w14:paraId="7F658DD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piváreň</w:t>
            </w:r>
          </w:p>
        </w:tc>
      </w:tr>
      <w:tr w:rsidR="002B0209" w:rsidRPr="002B0209" w14:paraId="798EB1B9"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6B5B27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638CAF1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Bistro Luna</w:t>
            </w:r>
          </w:p>
        </w:tc>
        <w:tc>
          <w:tcPr>
            <w:tcW w:w="2551" w:type="dxa"/>
            <w:tcBorders>
              <w:top w:val="nil"/>
              <w:left w:val="nil"/>
              <w:bottom w:val="single" w:sz="4" w:space="0" w:color="auto"/>
              <w:right w:val="single" w:sz="8" w:space="0" w:color="auto"/>
            </w:tcBorders>
            <w:shd w:val="clear" w:color="auto" w:fill="FFFFFF"/>
          </w:tcPr>
          <w:p w14:paraId="2725C4B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Nám. Dr.A.Schweitzera</w:t>
            </w:r>
          </w:p>
        </w:tc>
        <w:tc>
          <w:tcPr>
            <w:tcW w:w="1701" w:type="dxa"/>
            <w:tcBorders>
              <w:top w:val="nil"/>
              <w:left w:val="nil"/>
              <w:bottom w:val="single" w:sz="4" w:space="0" w:color="auto"/>
              <w:right w:val="single" w:sz="8" w:space="0" w:color="auto"/>
            </w:tcBorders>
            <w:shd w:val="clear" w:color="auto" w:fill="FFFFFF"/>
            <w:vAlign w:val="center"/>
          </w:tcPr>
          <w:p w14:paraId="6EF9A07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bistro</w:t>
            </w:r>
          </w:p>
        </w:tc>
      </w:tr>
      <w:tr w:rsidR="002B0209" w:rsidRPr="002B0209" w14:paraId="4BE132E5"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2450FF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5E83AB5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Bufet Lahôdky </w:t>
            </w:r>
          </w:p>
        </w:tc>
        <w:tc>
          <w:tcPr>
            <w:tcW w:w="2551" w:type="dxa"/>
            <w:tcBorders>
              <w:top w:val="nil"/>
              <w:left w:val="nil"/>
              <w:bottom w:val="single" w:sz="4" w:space="0" w:color="auto"/>
              <w:right w:val="single" w:sz="8" w:space="0" w:color="auto"/>
            </w:tcBorders>
            <w:shd w:val="clear" w:color="auto" w:fill="FFFFFF"/>
          </w:tcPr>
          <w:p w14:paraId="7C50EC4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Dr.D. Úradníčka 191/16</w:t>
            </w:r>
          </w:p>
        </w:tc>
        <w:tc>
          <w:tcPr>
            <w:tcW w:w="1701" w:type="dxa"/>
            <w:tcBorders>
              <w:top w:val="nil"/>
              <w:left w:val="nil"/>
              <w:bottom w:val="single" w:sz="4" w:space="0" w:color="auto"/>
              <w:right w:val="single" w:sz="8" w:space="0" w:color="auto"/>
            </w:tcBorders>
            <w:shd w:val="clear" w:color="auto" w:fill="FFFFFF"/>
            <w:vAlign w:val="center"/>
          </w:tcPr>
          <w:p w14:paraId="4784C75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w:t>
            </w:r>
          </w:p>
        </w:tc>
      </w:tr>
      <w:tr w:rsidR="002B0209" w:rsidRPr="002B0209" w14:paraId="4E032355"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96A5B8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2046FA5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Bufet </w:t>
            </w:r>
          </w:p>
        </w:tc>
        <w:tc>
          <w:tcPr>
            <w:tcW w:w="2551" w:type="dxa"/>
            <w:tcBorders>
              <w:top w:val="nil"/>
              <w:left w:val="nil"/>
              <w:bottom w:val="single" w:sz="4" w:space="0" w:color="auto"/>
              <w:right w:val="single" w:sz="8" w:space="0" w:color="auto"/>
            </w:tcBorders>
            <w:shd w:val="clear" w:color="auto" w:fill="FFFFFF"/>
          </w:tcPr>
          <w:p w14:paraId="5DFE34A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Nám.Dr.A.Schweitzera</w:t>
            </w:r>
          </w:p>
        </w:tc>
        <w:tc>
          <w:tcPr>
            <w:tcW w:w="1701" w:type="dxa"/>
            <w:tcBorders>
              <w:top w:val="nil"/>
              <w:left w:val="nil"/>
              <w:bottom w:val="single" w:sz="4" w:space="0" w:color="auto"/>
              <w:right w:val="single" w:sz="8" w:space="0" w:color="auto"/>
            </w:tcBorders>
            <w:shd w:val="clear" w:color="auto" w:fill="FFFFFF"/>
            <w:vAlign w:val="center"/>
          </w:tcPr>
          <w:p w14:paraId="7C36666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w:t>
            </w:r>
          </w:p>
        </w:tc>
      </w:tr>
      <w:tr w:rsidR="002B0209" w:rsidRPr="002B0209" w14:paraId="2BD5A5A1"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96F4A6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6D86E33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Hostinec Vikárka</w:t>
            </w:r>
          </w:p>
        </w:tc>
        <w:tc>
          <w:tcPr>
            <w:tcW w:w="2551" w:type="dxa"/>
            <w:tcBorders>
              <w:top w:val="nil"/>
              <w:left w:val="nil"/>
              <w:bottom w:val="single" w:sz="4" w:space="0" w:color="auto"/>
              <w:right w:val="single" w:sz="8" w:space="0" w:color="auto"/>
            </w:tcBorders>
            <w:shd w:val="clear" w:color="auto" w:fill="FFFFFF"/>
          </w:tcPr>
          <w:p w14:paraId="6AC7372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Jiráskova 166/14</w:t>
            </w:r>
          </w:p>
        </w:tc>
        <w:tc>
          <w:tcPr>
            <w:tcW w:w="1701" w:type="dxa"/>
            <w:tcBorders>
              <w:top w:val="nil"/>
              <w:left w:val="nil"/>
              <w:bottom w:val="single" w:sz="4" w:space="0" w:color="auto"/>
              <w:right w:val="single" w:sz="8" w:space="0" w:color="auto"/>
            </w:tcBorders>
            <w:shd w:val="clear" w:color="auto" w:fill="FFFFFF"/>
            <w:vAlign w:val="center"/>
          </w:tcPr>
          <w:p w14:paraId="779BB75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hostinec</w:t>
            </w:r>
          </w:p>
        </w:tc>
      </w:tr>
      <w:tr w:rsidR="002B0209" w:rsidRPr="002B0209" w14:paraId="78D93D0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E3FD24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3173B26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Hostinec Vikárka - herňa</w:t>
            </w:r>
          </w:p>
        </w:tc>
        <w:tc>
          <w:tcPr>
            <w:tcW w:w="2551" w:type="dxa"/>
            <w:tcBorders>
              <w:top w:val="nil"/>
              <w:left w:val="nil"/>
              <w:bottom w:val="single" w:sz="4" w:space="0" w:color="auto"/>
              <w:right w:val="single" w:sz="8" w:space="0" w:color="auto"/>
            </w:tcBorders>
            <w:shd w:val="clear" w:color="auto" w:fill="FFFFFF"/>
          </w:tcPr>
          <w:p w14:paraId="3E8F2E5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Jiráskova 166/14</w:t>
            </w:r>
          </w:p>
        </w:tc>
        <w:tc>
          <w:tcPr>
            <w:tcW w:w="1701" w:type="dxa"/>
            <w:tcBorders>
              <w:top w:val="nil"/>
              <w:left w:val="nil"/>
              <w:bottom w:val="single" w:sz="4" w:space="0" w:color="auto"/>
              <w:right w:val="single" w:sz="8" w:space="0" w:color="auto"/>
            </w:tcBorders>
            <w:shd w:val="clear" w:color="auto" w:fill="FFFFFF"/>
            <w:vAlign w:val="center"/>
          </w:tcPr>
          <w:p w14:paraId="15F1D08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herňa</w:t>
            </w:r>
          </w:p>
        </w:tc>
      </w:tr>
      <w:tr w:rsidR="002B0209" w:rsidRPr="002B0209" w14:paraId="0DE555E8"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107370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4CD68FD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Hotel Lipa*** – reštaurácia</w:t>
            </w:r>
          </w:p>
        </w:tc>
        <w:tc>
          <w:tcPr>
            <w:tcW w:w="2551" w:type="dxa"/>
            <w:tcBorders>
              <w:top w:val="nil"/>
              <w:left w:val="nil"/>
              <w:bottom w:val="single" w:sz="4" w:space="0" w:color="auto"/>
              <w:right w:val="single" w:sz="8" w:space="0" w:color="auto"/>
            </w:tcBorders>
            <w:shd w:val="clear" w:color="auto" w:fill="FFFFFF"/>
          </w:tcPr>
          <w:p w14:paraId="5E59CAF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Husitská 5</w:t>
            </w:r>
          </w:p>
        </w:tc>
        <w:tc>
          <w:tcPr>
            <w:tcW w:w="1701" w:type="dxa"/>
            <w:tcBorders>
              <w:top w:val="nil"/>
              <w:left w:val="nil"/>
              <w:bottom w:val="single" w:sz="4" w:space="0" w:color="auto"/>
              <w:right w:val="single" w:sz="8" w:space="0" w:color="auto"/>
            </w:tcBorders>
            <w:shd w:val="clear" w:color="auto" w:fill="FFFFFF"/>
            <w:vAlign w:val="center"/>
          </w:tcPr>
          <w:p w14:paraId="35CCD3C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3D9A8F05"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21D6C3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2DCE3A86"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Hotel Lipa*** – bar</w:t>
            </w:r>
          </w:p>
        </w:tc>
        <w:tc>
          <w:tcPr>
            <w:tcW w:w="2551" w:type="dxa"/>
            <w:tcBorders>
              <w:top w:val="nil"/>
              <w:left w:val="nil"/>
              <w:bottom w:val="single" w:sz="4" w:space="0" w:color="auto"/>
              <w:right w:val="single" w:sz="8" w:space="0" w:color="auto"/>
            </w:tcBorders>
            <w:shd w:val="clear" w:color="auto" w:fill="FFFFFF"/>
          </w:tcPr>
          <w:p w14:paraId="5BA802C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Husitská 5</w:t>
            </w:r>
          </w:p>
        </w:tc>
        <w:tc>
          <w:tcPr>
            <w:tcW w:w="1701" w:type="dxa"/>
            <w:tcBorders>
              <w:top w:val="nil"/>
              <w:left w:val="nil"/>
              <w:bottom w:val="single" w:sz="4" w:space="0" w:color="auto"/>
              <w:right w:val="single" w:sz="8" w:space="0" w:color="auto"/>
            </w:tcBorders>
            <w:shd w:val="clear" w:color="auto" w:fill="FFFFFF"/>
            <w:vAlign w:val="center"/>
          </w:tcPr>
          <w:p w14:paraId="577EFC1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bar</w:t>
            </w:r>
          </w:p>
        </w:tc>
      </w:tr>
      <w:tr w:rsidR="002B0209" w:rsidRPr="002B0209" w14:paraId="007DF0E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D6D8C4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1EAB7B5A"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Pizzeria </w:t>
            </w:r>
          </w:p>
        </w:tc>
        <w:tc>
          <w:tcPr>
            <w:tcW w:w="2551" w:type="dxa"/>
            <w:tcBorders>
              <w:top w:val="nil"/>
              <w:left w:val="nil"/>
              <w:bottom w:val="single" w:sz="4" w:space="0" w:color="auto"/>
              <w:right w:val="single" w:sz="8" w:space="0" w:color="auto"/>
            </w:tcBorders>
            <w:shd w:val="clear" w:color="auto" w:fill="FFFFFF"/>
          </w:tcPr>
          <w:p w14:paraId="33A7F36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Gen.M.R.Štefánika 67</w:t>
            </w:r>
          </w:p>
        </w:tc>
        <w:tc>
          <w:tcPr>
            <w:tcW w:w="1701" w:type="dxa"/>
            <w:tcBorders>
              <w:top w:val="nil"/>
              <w:left w:val="nil"/>
              <w:bottom w:val="single" w:sz="4" w:space="0" w:color="auto"/>
              <w:right w:val="single" w:sz="8" w:space="0" w:color="auto"/>
            </w:tcBorders>
            <w:shd w:val="clear" w:color="auto" w:fill="FFFFFF"/>
            <w:vAlign w:val="center"/>
          </w:tcPr>
          <w:p w14:paraId="4D3189B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w:t>
            </w:r>
          </w:p>
        </w:tc>
      </w:tr>
      <w:tr w:rsidR="002B0209" w:rsidRPr="002B0209" w14:paraId="75C16E2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A8F8E3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04F5B3F"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IRISH PUB</w:t>
            </w:r>
          </w:p>
        </w:tc>
        <w:tc>
          <w:tcPr>
            <w:tcW w:w="2551" w:type="dxa"/>
            <w:tcBorders>
              <w:top w:val="nil"/>
              <w:left w:val="nil"/>
              <w:bottom w:val="single" w:sz="4" w:space="0" w:color="auto"/>
              <w:right w:val="single" w:sz="8" w:space="0" w:color="auto"/>
            </w:tcBorders>
            <w:shd w:val="clear" w:color="auto" w:fill="FFFFFF"/>
          </w:tcPr>
          <w:p w14:paraId="2F6C7D1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Gen.M.R.Štefánika 736</w:t>
            </w:r>
          </w:p>
        </w:tc>
        <w:tc>
          <w:tcPr>
            <w:tcW w:w="1701" w:type="dxa"/>
            <w:tcBorders>
              <w:top w:val="nil"/>
              <w:left w:val="nil"/>
              <w:bottom w:val="single" w:sz="4" w:space="0" w:color="auto"/>
              <w:right w:val="single" w:sz="8" w:space="0" w:color="auto"/>
            </w:tcBorders>
            <w:shd w:val="clear" w:color="auto" w:fill="FFFFFF"/>
            <w:vAlign w:val="center"/>
          </w:tcPr>
          <w:p w14:paraId="7007C94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450D828A"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8AC95F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30028BB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Penzión Arkadia</w:t>
            </w:r>
          </w:p>
        </w:tc>
        <w:tc>
          <w:tcPr>
            <w:tcW w:w="2551" w:type="dxa"/>
            <w:tcBorders>
              <w:top w:val="nil"/>
              <w:left w:val="nil"/>
              <w:bottom w:val="single" w:sz="4" w:space="0" w:color="auto"/>
              <w:right w:val="single" w:sz="8" w:space="0" w:color="auto"/>
            </w:tcBorders>
            <w:shd w:val="clear" w:color="auto" w:fill="FFFFFF"/>
          </w:tcPr>
          <w:p w14:paraId="6CB7850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Dibrovova 241/10</w:t>
            </w:r>
          </w:p>
        </w:tc>
        <w:tc>
          <w:tcPr>
            <w:tcW w:w="1701" w:type="dxa"/>
            <w:tcBorders>
              <w:top w:val="nil"/>
              <w:left w:val="nil"/>
              <w:bottom w:val="single" w:sz="4" w:space="0" w:color="auto"/>
              <w:right w:val="single" w:sz="8" w:space="0" w:color="auto"/>
            </w:tcBorders>
            <w:shd w:val="clear" w:color="auto" w:fill="FFFFFF"/>
            <w:vAlign w:val="center"/>
          </w:tcPr>
          <w:p w14:paraId="5778818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penzión</w:t>
            </w:r>
          </w:p>
        </w:tc>
      </w:tr>
      <w:tr w:rsidR="002B0209" w:rsidRPr="002B0209" w14:paraId="10EA7C4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255BCF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1E3EA7C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Cukráreň Ritmo</w:t>
            </w:r>
          </w:p>
        </w:tc>
        <w:tc>
          <w:tcPr>
            <w:tcW w:w="2551" w:type="dxa"/>
            <w:tcBorders>
              <w:top w:val="nil"/>
              <w:left w:val="nil"/>
              <w:bottom w:val="single" w:sz="4" w:space="0" w:color="auto"/>
              <w:right w:val="single" w:sz="8" w:space="0" w:color="auto"/>
            </w:tcBorders>
            <w:shd w:val="clear" w:color="auto" w:fill="FFFFFF"/>
          </w:tcPr>
          <w:p w14:paraId="64B7F7B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148/52</w:t>
            </w:r>
          </w:p>
        </w:tc>
        <w:tc>
          <w:tcPr>
            <w:tcW w:w="1701" w:type="dxa"/>
            <w:tcBorders>
              <w:top w:val="nil"/>
              <w:left w:val="nil"/>
              <w:bottom w:val="single" w:sz="4" w:space="0" w:color="auto"/>
              <w:right w:val="single" w:sz="8" w:space="0" w:color="auto"/>
            </w:tcBorders>
            <w:shd w:val="clear" w:color="auto" w:fill="FFFFFF"/>
            <w:vAlign w:val="center"/>
          </w:tcPr>
          <w:p w14:paraId="00A68FE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cukráreň</w:t>
            </w:r>
          </w:p>
        </w:tc>
      </w:tr>
      <w:tr w:rsidR="002B0209" w:rsidRPr="002B0209" w14:paraId="4659E67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EADE1C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3FBC0AB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Bar Ritmo</w:t>
            </w:r>
          </w:p>
        </w:tc>
        <w:tc>
          <w:tcPr>
            <w:tcW w:w="2551" w:type="dxa"/>
            <w:tcBorders>
              <w:top w:val="nil"/>
              <w:left w:val="nil"/>
              <w:bottom w:val="single" w:sz="4" w:space="0" w:color="auto"/>
              <w:right w:val="single" w:sz="8" w:space="0" w:color="auto"/>
            </w:tcBorders>
            <w:shd w:val="clear" w:color="auto" w:fill="FFFFFF"/>
          </w:tcPr>
          <w:p w14:paraId="2BF3E82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260/41</w:t>
            </w:r>
          </w:p>
        </w:tc>
        <w:tc>
          <w:tcPr>
            <w:tcW w:w="1701" w:type="dxa"/>
            <w:tcBorders>
              <w:top w:val="nil"/>
              <w:left w:val="nil"/>
              <w:bottom w:val="single" w:sz="4" w:space="0" w:color="auto"/>
              <w:right w:val="single" w:sz="8" w:space="0" w:color="auto"/>
            </w:tcBorders>
            <w:shd w:val="clear" w:color="auto" w:fill="FFFFFF"/>
            <w:vAlign w:val="center"/>
          </w:tcPr>
          <w:p w14:paraId="471D33D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bar</w:t>
            </w:r>
          </w:p>
        </w:tc>
      </w:tr>
      <w:tr w:rsidR="002B0209" w:rsidRPr="002B0209" w14:paraId="49F9323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1EB41A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39420553"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Salamander</w:t>
            </w:r>
          </w:p>
        </w:tc>
        <w:tc>
          <w:tcPr>
            <w:tcW w:w="2551" w:type="dxa"/>
            <w:tcBorders>
              <w:top w:val="nil"/>
              <w:left w:val="nil"/>
              <w:bottom w:val="single" w:sz="4" w:space="0" w:color="auto"/>
              <w:right w:val="single" w:sz="8" w:space="0" w:color="auto"/>
            </w:tcBorders>
            <w:shd w:val="clear" w:color="auto" w:fill="FFFFFF"/>
          </w:tcPr>
          <w:p w14:paraId="34D3055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260/41</w:t>
            </w:r>
          </w:p>
        </w:tc>
        <w:tc>
          <w:tcPr>
            <w:tcW w:w="1701" w:type="dxa"/>
            <w:tcBorders>
              <w:top w:val="nil"/>
              <w:left w:val="nil"/>
              <w:bottom w:val="single" w:sz="4" w:space="0" w:color="auto"/>
              <w:right w:val="single" w:sz="8" w:space="0" w:color="auto"/>
            </w:tcBorders>
            <w:shd w:val="clear" w:color="auto" w:fill="FFFFFF"/>
            <w:vAlign w:val="center"/>
          </w:tcPr>
          <w:p w14:paraId="1E80B05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4D0C68C6" w14:textId="77777777" w:rsidTr="007E10F7">
        <w:trPr>
          <w:trHeight w:val="170"/>
        </w:trPr>
        <w:tc>
          <w:tcPr>
            <w:tcW w:w="1716" w:type="dxa"/>
            <w:tcBorders>
              <w:top w:val="nil"/>
              <w:left w:val="single" w:sz="8" w:space="0" w:color="auto"/>
              <w:bottom w:val="single" w:sz="8" w:space="0" w:color="auto"/>
              <w:right w:val="single" w:sz="8" w:space="0" w:color="auto"/>
            </w:tcBorders>
            <w:shd w:val="clear" w:color="auto" w:fill="auto"/>
            <w:noWrap/>
            <w:vAlign w:val="bottom"/>
          </w:tcPr>
          <w:p w14:paraId="7807A46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8" w:space="0" w:color="auto"/>
              <w:right w:val="single" w:sz="8" w:space="0" w:color="auto"/>
            </w:tcBorders>
            <w:shd w:val="clear" w:color="auto" w:fill="FFFFFF"/>
          </w:tcPr>
          <w:p w14:paraId="583A96A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Bistro Albena</w:t>
            </w:r>
          </w:p>
        </w:tc>
        <w:tc>
          <w:tcPr>
            <w:tcW w:w="2551" w:type="dxa"/>
            <w:tcBorders>
              <w:top w:val="nil"/>
              <w:left w:val="nil"/>
              <w:bottom w:val="single" w:sz="8" w:space="0" w:color="auto"/>
              <w:right w:val="single" w:sz="8" w:space="0" w:color="auto"/>
            </w:tcBorders>
            <w:shd w:val="clear" w:color="auto" w:fill="FFFFFF"/>
          </w:tcPr>
          <w:p w14:paraId="5AB3388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UNI 1</w:t>
            </w:r>
          </w:p>
        </w:tc>
        <w:tc>
          <w:tcPr>
            <w:tcW w:w="1701" w:type="dxa"/>
            <w:tcBorders>
              <w:top w:val="nil"/>
              <w:left w:val="nil"/>
              <w:bottom w:val="single" w:sz="8" w:space="0" w:color="auto"/>
              <w:right w:val="single" w:sz="8" w:space="0" w:color="auto"/>
            </w:tcBorders>
            <w:shd w:val="clear" w:color="auto" w:fill="FFFFFF"/>
            <w:vAlign w:val="center"/>
          </w:tcPr>
          <w:p w14:paraId="288D3A9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bistro</w:t>
            </w:r>
          </w:p>
        </w:tc>
      </w:tr>
      <w:tr w:rsidR="002B0209" w:rsidRPr="002B0209" w14:paraId="13321C32" w14:textId="77777777" w:rsidTr="007E10F7">
        <w:trPr>
          <w:trHeight w:val="170"/>
        </w:trPr>
        <w:tc>
          <w:tcPr>
            <w:tcW w:w="1716" w:type="dxa"/>
            <w:tcBorders>
              <w:top w:val="single" w:sz="8" w:space="0" w:color="auto"/>
              <w:left w:val="single" w:sz="8" w:space="0" w:color="auto"/>
              <w:bottom w:val="nil"/>
              <w:right w:val="single" w:sz="8" w:space="0" w:color="auto"/>
            </w:tcBorders>
            <w:shd w:val="clear" w:color="auto" w:fill="auto"/>
            <w:noWrap/>
            <w:vAlign w:val="bottom"/>
          </w:tcPr>
          <w:p w14:paraId="701C523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r w:rsidR="007E10F7">
              <w:rPr>
                <w:rFonts w:ascii="Times New Roman" w:eastAsia="Times New Roman" w:hAnsi="Times New Roman" w:cs="Times New Roman"/>
                <w:sz w:val="18"/>
                <w:szCs w:val="18"/>
                <w:lang w:eastAsia="cs-CZ"/>
              </w:rPr>
              <w:t>Stará Turá</w:t>
            </w:r>
          </w:p>
        </w:tc>
        <w:tc>
          <w:tcPr>
            <w:tcW w:w="3261" w:type="dxa"/>
            <w:tcBorders>
              <w:top w:val="single" w:sz="8" w:space="0" w:color="auto"/>
              <w:left w:val="nil"/>
              <w:bottom w:val="single" w:sz="4" w:space="0" w:color="auto"/>
              <w:right w:val="single" w:sz="8" w:space="0" w:color="auto"/>
            </w:tcBorders>
            <w:shd w:val="clear" w:color="auto" w:fill="FFFFFF"/>
          </w:tcPr>
          <w:p w14:paraId="0989E89D"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TIP SPORT </w:t>
            </w:r>
          </w:p>
        </w:tc>
        <w:tc>
          <w:tcPr>
            <w:tcW w:w="2551" w:type="dxa"/>
            <w:tcBorders>
              <w:top w:val="single" w:sz="8" w:space="0" w:color="auto"/>
              <w:left w:val="nil"/>
              <w:bottom w:val="single" w:sz="4" w:space="0" w:color="auto"/>
              <w:right w:val="single" w:sz="8" w:space="0" w:color="auto"/>
            </w:tcBorders>
            <w:shd w:val="clear" w:color="auto" w:fill="FFFFFF"/>
          </w:tcPr>
          <w:p w14:paraId="0AAD752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UNI 7</w:t>
            </w:r>
          </w:p>
        </w:tc>
        <w:tc>
          <w:tcPr>
            <w:tcW w:w="1701" w:type="dxa"/>
            <w:tcBorders>
              <w:top w:val="single" w:sz="8" w:space="0" w:color="auto"/>
              <w:left w:val="nil"/>
              <w:bottom w:val="single" w:sz="4" w:space="0" w:color="auto"/>
              <w:right w:val="single" w:sz="8" w:space="0" w:color="auto"/>
            </w:tcBorders>
            <w:shd w:val="clear" w:color="auto" w:fill="FFFFFF"/>
            <w:vAlign w:val="center"/>
          </w:tcPr>
          <w:p w14:paraId="3B75044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 + stávk. kancelária</w:t>
            </w:r>
          </w:p>
        </w:tc>
      </w:tr>
      <w:tr w:rsidR="002B0209" w:rsidRPr="002B0209" w14:paraId="510C12D7"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4705C1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6588D0F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Hamkas bufet</w:t>
            </w:r>
          </w:p>
        </w:tc>
        <w:tc>
          <w:tcPr>
            <w:tcW w:w="2551" w:type="dxa"/>
            <w:tcBorders>
              <w:top w:val="nil"/>
              <w:left w:val="nil"/>
              <w:bottom w:val="single" w:sz="4" w:space="0" w:color="auto"/>
              <w:right w:val="single" w:sz="8" w:space="0" w:color="auto"/>
            </w:tcBorders>
            <w:shd w:val="clear" w:color="auto" w:fill="FFFFFF"/>
          </w:tcPr>
          <w:p w14:paraId="4CC576E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SNP  UNI 8</w:t>
            </w:r>
          </w:p>
        </w:tc>
        <w:tc>
          <w:tcPr>
            <w:tcW w:w="1701" w:type="dxa"/>
            <w:tcBorders>
              <w:top w:val="nil"/>
              <w:left w:val="nil"/>
              <w:bottom w:val="single" w:sz="4" w:space="0" w:color="auto"/>
              <w:right w:val="single" w:sz="8" w:space="0" w:color="auto"/>
            </w:tcBorders>
            <w:shd w:val="clear" w:color="auto" w:fill="FFFFFF"/>
            <w:vAlign w:val="center"/>
          </w:tcPr>
          <w:p w14:paraId="4E709B8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w:t>
            </w:r>
          </w:p>
        </w:tc>
      </w:tr>
      <w:tr w:rsidR="002B0209" w:rsidRPr="002B0209" w14:paraId="6499A7C5" w14:textId="77777777" w:rsidTr="00C57880">
        <w:trPr>
          <w:trHeight w:val="170"/>
        </w:trPr>
        <w:tc>
          <w:tcPr>
            <w:tcW w:w="1716" w:type="dxa"/>
            <w:tcBorders>
              <w:top w:val="nil"/>
              <w:left w:val="single" w:sz="8" w:space="0" w:color="auto"/>
              <w:bottom w:val="nil"/>
              <w:right w:val="single" w:sz="8" w:space="0" w:color="auto"/>
            </w:tcBorders>
            <w:shd w:val="clear" w:color="auto" w:fill="auto"/>
            <w:noWrap/>
            <w:vAlign w:val="bottom"/>
          </w:tcPr>
          <w:p w14:paraId="573B98C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8" w:space="0" w:color="auto"/>
              <w:right w:val="single" w:sz="8" w:space="0" w:color="auto"/>
            </w:tcBorders>
            <w:shd w:val="clear" w:color="auto" w:fill="FFFFFF"/>
          </w:tcPr>
          <w:p w14:paraId="2461AA05"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Pivobar  </w:t>
            </w:r>
          </w:p>
        </w:tc>
        <w:tc>
          <w:tcPr>
            <w:tcW w:w="2551" w:type="dxa"/>
            <w:tcBorders>
              <w:top w:val="nil"/>
              <w:left w:val="nil"/>
              <w:bottom w:val="single" w:sz="8" w:space="0" w:color="auto"/>
              <w:right w:val="single" w:sz="8" w:space="0" w:color="auto"/>
            </w:tcBorders>
            <w:shd w:val="clear" w:color="auto" w:fill="FFFFFF"/>
          </w:tcPr>
          <w:p w14:paraId="51C4487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Mierová   UNI 10-11</w:t>
            </w:r>
          </w:p>
        </w:tc>
        <w:tc>
          <w:tcPr>
            <w:tcW w:w="1701" w:type="dxa"/>
            <w:tcBorders>
              <w:top w:val="nil"/>
              <w:left w:val="nil"/>
              <w:bottom w:val="single" w:sz="8" w:space="0" w:color="auto"/>
              <w:right w:val="single" w:sz="8" w:space="0" w:color="auto"/>
            </w:tcBorders>
            <w:shd w:val="clear" w:color="auto" w:fill="FFFFFF"/>
            <w:vAlign w:val="center"/>
          </w:tcPr>
          <w:p w14:paraId="721D2EC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5A48753E" w14:textId="77777777" w:rsidTr="00C57880">
        <w:trPr>
          <w:trHeight w:val="170"/>
        </w:trPr>
        <w:tc>
          <w:tcPr>
            <w:tcW w:w="1716" w:type="dxa"/>
            <w:tcBorders>
              <w:top w:val="nil"/>
              <w:left w:val="single" w:sz="8" w:space="0" w:color="auto"/>
              <w:bottom w:val="nil"/>
              <w:right w:val="single" w:sz="8" w:space="0" w:color="auto"/>
            </w:tcBorders>
            <w:shd w:val="clear" w:color="auto" w:fill="auto"/>
            <w:noWrap/>
            <w:vAlign w:val="bottom"/>
          </w:tcPr>
          <w:p w14:paraId="75C6120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lastRenderedPageBreak/>
              <w:t> </w:t>
            </w:r>
          </w:p>
        </w:tc>
        <w:tc>
          <w:tcPr>
            <w:tcW w:w="3261" w:type="dxa"/>
            <w:tcBorders>
              <w:top w:val="single" w:sz="8" w:space="0" w:color="auto"/>
              <w:left w:val="nil"/>
              <w:bottom w:val="single" w:sz="4" w:space="0" w:color="auto"/>
              <w:right w:val="single" w:sz="8" w:space="0" w:color="auto"/>
            </w:tcBorders>
            <w:shd w:val="clear" w:color="auto" w:fill="FFFFFF"/>
          </w:tcPr>
          <w:p w14:paraId="4AAF3C43"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Herňa Barík </w:t>
            </w:r>
          </w:p>
        </w:tc>
        <w:tc>
          <w:tcPr>
            <w:tcW w:w="2551" w:type="dxa"/>
            <w:tcBorders>
              <w:top w:val="single" w:sz="8" w:space="0" w:color="auto"/>
              <w:left w:val="nil"/>
              <w:bottom w:val="single" w:sz="4" w:space="0" w:color="auto"/>
              <w:right w:val="single" w:sz="8" w:space="0" w:color="auto"/>
            </w:tcBorders>
            <w:shd w:val="clear" w:color="auto" w:fill="FFFFFF"/>
          </w:tcPr>
          <w:p w14:paraId="3FA7B16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Mierová   UNI</w:t>
            </w:r>
          </w:p>
        </w:tc>
        <w:tc>
          <w:tcPr>
            <w:tcW w:w="1701" w:type="dxa"/>
            <w:tcBorders>
              <w:top w:val="single" w:sz="8" w:space="0" w:color="auto"/>
              <w:left w:val="nil"/>
              <w:bottom w:val="single" w:sz="4" w:space="0" w:color="auto"/>
              <w:right w:val="single" w:sz="8" w:space="0" w:color="auto"/>
            </w:tcBorders>
            <w:shd w:val="clear" w:color="auto" w:fill="FFFFFF"/>
            <w:vAlign w:val="center"/>
          </w:tcPr>
          <w:p w14:paraId="1F4CA45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herňa</w:t>
            </w:r>
          </w:p>
        </w:tc>
      </w:tr>
      <w:tr w:rsidR="002B0209" w:rsidRPr="002B0209" w14:paraId="780AA1F2"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28C69FB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66EB1C28"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Pizzeria Andiamo</w:t>
            </w:r>
          </w:p>
        </w:tc>
        <w:tc>
          <w:tcPr>
            <w:tcW w:w="2551" w:type="dxa"/>
            <w:tcBorders>
              <w:top w:val="nil"/>
              <w:left w:val="nil"/>
              <w:bottom w:val="single" w:sz="4" w:space="0" w:color="auto"/>
              <w:right w:val="single" w:sz="8" w:space="0" w:color="auto"/>
            </w:tcBorders>
            <w:shd w:val="clear" w:color="auto" w:fill="FFFFFF"/>
          </w:tcPr>
          <w:p w14:paraId="64A4061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Hurbanova 103/93</w:t>
            </w:r>
          </w:p>
        </w:tc>
        <w:tc>
          <w:tcPr>
            <w:tcW w:w="1701" w:type="dxa"/>
            <w:tcBorders>
              <w:top w:val="nil"/>
              <w:left w:val="nil"/>
              <w:bottom w:val="single" w:sz="4" w:space="0" w:color="auto"/>
              <w:right w:val="single" w:sz="8" w:space="0" w:color="auto"/>
            </w:tcBorders>
            <w:shd w:val="clear" w:color="auto" w:fill="FFFFFF"/>
            <w:vAlign w:val="center"/>
          </w:tcPr>
          <w:p w14:paraId="038A9F3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pizzeria</w:t>
            </w:r>
          </w:p>
        </w:tc>
      </w:tr>
      <w:tr w:rsidR="002B0209" w:rsidRPr="002B0209" w14:paraId="60F2B3A2"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AF3BE1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03D172D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Country&amp;Rock Bar</w:t>
            </w:r>
          </w:p>
        </w:tc>
        <w:tc>
          <w:tcPr>
            <w:tcW w:w="2551" w:type="dxa"/>
            <w:tcBorders>
              <w:top w:val="nil"/>
              <w:left w:val="nil"/>
              <w:bottom w:val="single" w:sz="4" w:space="0" w:color="auto"/>
              <w:right w:val="single" w:sz="8" w:space="0" w:color="auto"/>
            </w:tcBorders>
            <w:shd w:val="clear" w:color="auto" w:fill="FFFFFF"/>
          </w:tcPr>
          <w:p w14:paraId="152EA7A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xml:space="preserve">Mýtna 554 </w:t>
            </w:r>
          </w:p>
        </w:tc>
        <w:tc>
          <w:tcPr>
            <w:tcW w:w="1701" w:type="dxa"/>
            <w:tcBorders>
              <w:top w:val="nil"/>
              <w:left w:val="nil"/>
              <w:bottom w:val="single" w:sz="4" w:space="0" w:color="auto"/>
              <w:right w:val="single" w:sz="8" w:space="0" w:color="auto"/>
            </w:tcBorders>
            <w:shd w:val="clear" w:color="auto" w:fill="FFFFFF"/>
            <w:vAlign w:val="center"/>
          </w:tcPr>
          <w:p w14:paraId="39E352F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bar</w:t>
            </w:r>
          </w:p>
        </w:tc>
      </w:tr>
      <w:tr w:rsidR="002B0209" w:rsidRPr="002B0209" w14:paraId="509C631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59E228E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544780E7"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Herňa Bar </w:t>
            </w:r>
          </w:p>
        </w:tc>
        <w:tc>
          <w:tcPr>
            <w:tcW w:w="2551" w:type="dxa"/>
            <w:tcBorders>
              <w:top w:val="nil"/>
              <w:left w:val="nil"/>
              <w:bottom w:val="single" w:sz="4" w:space="0" w:color="auto"/>
              <w:right w:val="single" w:sz="8" w:space="0" w:color="auto"/>
            </w:tcBorders>
            <w:shd w:val="clear" w:color="auto" w:fill="FFFFFF"/>
          </w:tcPr>
          <w:p w14:paraId="5629021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xml:space="preserve">SNP 64 </w:t>
            </w:r>
          </w:p>
        </w:tc>
        <w:tc>
          <w:tcPr>
            <w:tcW w:w="1701" w:type="dxa"/>
            <w:tcBorders>
              <w:top w:val="nil"/>
              <w:left w:val="nil"/>
              <w:bottom w:val="single" w:sz="4" w:space="0" w:color="auto"/>
              <w:right w:val="single" w:sz="8" w:space="0" w:color="auto"/>
            </w:tcBorders>
            <w:shd w:val="clear" w:color="auto" w:fill="FFFFFF"/>
            <w:vAlign w:val="center"/>
          </w:tcPr>
          <w:p w14:paraId="7E424D4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bar</w:t>
            </w:r>
          </w:p>
        </w:tc>
      </w:tr>
      <w:tr w:rsidR="002B0209" w:rsidRPr="002B0209" w14:paraId="7FD56D1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A92DE7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0F6C9AE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Club 3  </w:t>
            </w:r>
          </w:p>
        </w:tc>
        <w:tc>
          <w:tcPr>
            <w:tcW w:w="2551" w:type="dxa"/>
            <w:tcBorders>
              <w:top w:val="nil"/>
              <w:left w:val="nil"/>
              <w:bottom w:val="single" w:sz="4" w:space="0" w:color="auto"/>
              <w:right w:val="single" w:sz="8" w:space="0" w:color="auto"/>
            </w:tcBorders>
            <w:shd w:val="clear" w:color="auto" w:fill="FFFFFF"/>
          </w:tcPr>
          <w:p w14:paraId="547E469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xml:space="preserve">Gen.M.R.Štefánika 55 </w:t>
            </w:r>
          </w:p>
        </w:tc>
        <w:tc>
          <w:tcPr>
            <w:tcW w:w="1701" w:type="dxa"/>
            <w:tcBorders>
              <w:top w:val="nil"/>
              <w:left w:val="nil"/>
              <w:bottom w:val="single" w:sz="4" w:space="0" w:color="auto"/>
              <w:right w:val="single" w:sz="8" w:space="0" w:color="auto"/>
            </w:tcBorders>
            <w:shd w:val="clear" w:color="auto" w:fill="FFFFFF"/>
            <w:vAlign w:val="center"/>
          </w:tcPr>
          <w:p w14:paraId="0B66BFB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club</w:t>
            </w:r>
          </w:p>
        </w:tc>
      </w:tr>
      <w:tr w:rsidR="002B0209" w:rsidRPr="002B0209" w14:paraId="2BAC6D8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9C6687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0BA17851"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Hostinec U papagája</w:t>
            </w:r>
          </w:p>
        </w:tc>
        <w:tc>
          <w:tcPr>
            <w:tcW w:w="2551" w:type="dxa"/>
            <w:tcBorders>
              <w:top w:val="nil"/>
              <w:left w:val="nil"/>
              <w:bottom w:val="single" w:sz="4" w:space="0" w:color="auto"/>
              <w:right w:val="single" w:sz="8" w:space="0" w:color="auto"/>
            </w:tcBorders>
            <w:shd w:val="clear" w:color="auto" w:fill="FFFFFF"/>
          </w:tcPr>
          <w:p w14:paraId="4C9176E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Gen.M.R.Štefánika 380/45</w:t>
            </w:r>
          </w:p>
        </w:tc>
        <w:tc>
          <w:tcPr>
            <w:tcW w:w="1701" w:type="dxa"/>
            <w:tcBorders>
              <w:top w:val="nil"/>
              <w:left w:val="nil"/>
              <w:bottom w:val="single" w:sz="4" w:space="0" w:color="auto"/>
              <w:right w:val="single" w:sz="8" w:space="0" w:color="auto"/>
            </w:tcBorders>
            <w:shd w:val="clear" w:color="auto" w:fill="FFFFFF"/>
            <w:vAlign w:val="center"/>
          </w:tcPr>
          <w:p w14:paraId="038BF7C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hostinec</w:t>
            </w:r>
          </w:p>
        </w:tc>
      </w:tr>
      <w:tr w:rsidR="002B0209" w:rsidRPr="002B0209" w14:paraId="5524D620"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0F363D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6448CEC5"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Kozmos</w:t>
            </w:r>
          </w:p>
        </w:tc>
        <w:tc>
          <w:tcPr>
            <w:tcW w:w="2551" w:type="dxa"/>
            <w:tcBorders>
              <w:top w:val="nil"/>
              <w:left w:val="nil"/>
              <w:bottom w:val="single" w:sz="4" w:space="0" w:color="auto"/>
              <w:right w:val="single" w:sz="8" w:space="0" w:color="auto"/>
            </w:tcBorders>
            <w:shd w:val="clear" w:color="auto" w:fill="FFFFFF"/>
          </w:tcPr>
          <w:p w14:paraId="58313BD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Kozmonautov 411/35</w:t>
            </w:r>
          </w:p>
        </w:tc>
        <w:tc>
          <w:tcPr>
            <w:tcW w:w="1701" w:type="dxa"/>
            <w:tcBorders>
              <w:top w:val="nil"/>
              <w:left w:val="nil"/>
              <w:bottom w:val="single" w:sz="4" w:space="0" w:color="auto"/>
              <w:right w:val="single" w:sz="8" w:space="0" w:color="auto"/>
            </w:tcBorders>
            <w:shd w:val="clear" w:color="auto" w:fill="FFFFFF"/>
            <w:vAlign w:val="center"/>
          </w:tcPr>
          <w:p w14:paraId="73D1DD5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611161E8"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137782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4808FA35"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Wrestling bar </w:t>
            </w:r>
          </w:p>
        </w:tc>
        <w:tc>
          <w:tcPr>
            <w:tcW w:w="2551" w:type="dxa"/>
            <w:tcBorders>
              <w:top w:val="nil"/>
              <w:left w:val="nil"/>
              <w:bottom w:val="single" w:sz="4" w:space="0" w:color="auto"/>
              <w:right w:val="single" w:sz="8" w:space="0" w:color="auto"/>
            </w:tcBorders>
            <w:shd w:val="clear" w:color="auto" w:fill="FFFFFF"/>
          </w:tcPr>
          <w:p w14:paraId="1B73AA2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Družstevná 491</w:t>
            </w:r>
          </w:p>
        </w:tc>
        <w:tc>
          <w:tcPr>
            <w:tcW w:w="1701" w:type="dxa"/>
            <w:tcBorders>
              <w:top w:val="nil"/>
              <w:left w:val="nil"/>
              <w:bottom w:val="single" w:sz="4" w:space="0" w:color="auto"/>
              <w:right w:val="single" w:sz="8" w:space="0" w:color="auto"/>
            </w:tcBorders>
            <w:shd w:val="clear" w:color="auto" w:fill="FFFFFF"/>
            <w:vAlign w:val="center"/>
          </w:tcPr>
          <w:p w14:paraId="3F52A85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bar</w:t>
            </w:r>
          </w:p>
        </w:tc>
      </w:tr>
      <w:tr w:rsidR="002B0209" w:rsidRPr="002B0209" w14:paraId="1C848C48"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2E5D99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6DA888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Na štadióne</w:t>
            </w:r>
          </w:p>
        </w:tc>
        <w:tc>
          <w:tcPr>
            <w:tcW w:w="2551" w:type="dxa"/>
            <w:tcBorders>
              <w:top w:val="nil"/>
              <w:left w:val="nil"/>
              <w:bottom w:val="single" w:sz="4" w:space="0" w:color="auto"/>
              <w:right w:val="single" w:sz="8" w:space="0" w:color="auto"/>
            </w:tcBorders>
            <w:shd w:val="clear" w:color="auto" w:fill="FFFFFF"/>
          </w:tcPr>
          <w:p w14:paraId="38B4358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Športová ul.</w:t>
            </w:r>
          </w:p>
        </w:tc>
        <w:tc>
          <w:tcPr>
            <w:tcW w:w="1701" w:type="dxa"/>
            <w:tcBorders>
              <w:top w:val="nil"/>
              <w:left w:val="nil"/>
              <w:bottom w:val="single" w:sz="4" w:space="0" w:color="auto"/>
              <w:right w:val="single" w:sz="8" w:space="0" w:color="auto"/>
            </w:tcBorders>
            <w:shd w:val="clear" w:color="auto" w:fill="FFFFFF"/>
            <w:vAlign w:val="center"/>
          </w:tcPr>
          <w:p w14:paraId="747736F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3C538A0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2406650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245E59DE"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Penzión Na mlyne </w:t>
            </w:r>
          </w:p>
        </w:tc>
        <w:tc>
          <w:tcPr>
            <w:tcW w:w="2551" w:type="dxa"/>
            <w:tcBorders>
              <w:top w:val="nil"/>
              <w:left w:val="nil"/>
              <w:bottom w:val="single" w:sz="4" w:space="0" w:color="auto"/>
              <w:right w:val="single" w:sz="8" w:space="0" w:color="auto"/>
            </w:tcBorders>
            <w:shd w:val="clear" w:color="auto" w:fill="FFFFFF"/>
          </w:tcPr>
          <w:p w14:paraId="52AA6673"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Podjavorinskej ul. 535/11</w:t>
            </w:r>
          </w:p>
        </w:tc>
        <w:tc>
          <w:tcPr>
            <w:tcW w:w="1701" w:type="dxa"/>
            <w:tcBorders>
              <w:top w:val="nil"/>
              <w:left w:val="nil"/>
              <w:bottom w:val="single" w:sz="4" w:space="0" w:color="auto"/>
              <w:right w:val="single" w:sz="8" w:space="0" w:color="auto"/>
            </w:tcBorders>
            <w:shd w:val="clear" w:color="auto" w:fill="FFFFFF"/>
            <w:vAlign w:val="center"/>
          </w:tcPr>
          <w:p w14:paraId="6E292A9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penzión</w:t>
            </w:r>
          </w:p>
        </w:tc>
      </w:tr>
      <w:tr w:rsidR="002B0209" w:rsidRPr="002B0209" w14:paraId="5D955C30"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BE3A1D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16C4606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Penzión Hájenka </w:t>
            </w:r>
          </w:p>
        </w:tc>
        <w:tc>
          <w:tcPr>
            <w:tcW w:w="2551" w:type="dxa"/>
            <w:tcBorders>
              <w:top w:val="nil"/>
              <w:left w:val="nil"/>
              <w:bottom w:val="single" w:sz="4" w:space="0" w:color="auto"/>
              <w:right w:val="single" w:sz="8" w:space="0" w:color="auto"/>
            </w:tcBorders>
            <w:shd w:val="clear" w:color="auto" w:fill="FFFFFF"/>
          </w:tcPr>
          <w:p w14:paraId="06B39C0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1032</w:t>
            </w:r>
          </w:p>
        </w:tc>
        <w:tc>
          <w:tcPr>
            <w:tcW w:w="1701" w:type="dxa"/>
            <w:tcBorders>
              <w:top w:val="nil"/>
              <w:left w:val="nil"/>
              <w:bottom w:val="single" w:sz="4" w:space="0" w:color="auto"/>
              <w:right w:val="single" w:sz="8" w:space="0" w:color="auto"/>
            </w:tcBorders>
            <w:shd w:val="clear" w:color="auto" w:fill="FFFFFF"/>
            <w:vAlign w:val="center"/>
          </w:tcPr>
          <w:p w14:paraId="3376548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penzión</w:t>
            </w:r>
          </w:p>
        </w:tc>
      </w:tr>
      <w:tr w:rsidR="002B0209" w:rsidRPr="002B0209" w14:paraId="152CC404"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5FE908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51FB64E2"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Rekreač. zariadenie Javorinka </w:t>
            </w:r>
          </w:p>
        </w:tc>
        <w:tc>
          <w:tcPr>
            <w:tcW w:w="2551" w:type="dxa"/>
            <w:tcBorders>
              <w:top w:val="nil"/>
              <w:left w:val="nil"/>
              <w:bottom w:val="single" w:sz="4" w:space="0" w:color="auto"/>
              <w:right w:val="single" w:sz="8" w:space="0" w:color="auto"/>
            </w:tcBorders>
            <w:shd w:val="clear" w:color="auto" w:fill="FFFFFF"/>
          </w:tcPr>
          <w:p w14:paraId="345A03C6"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Rekreačná oblasť Dubník I</w:t>
            </w:r>
          </w:p>
        </w:tc>
        <w:tc>
          <w:tcPr>
            <w:tcW w:w="1701" w:type="dxa"/>
            <w:tcBorders>
              <w:top w:val="nil"/>
              <w:left w:val="nil"/>
              <w:bottom w:val="single" w:sz="4" w:space="0" w:color="auto"/>
              <w:right w:val="single" w:sz="8" w:space="0" w:color="auto"/>
            </w:tcBorders>
            <w:shd w:val="clear" w:color="auto" w:fill="FFFFFF"/>
            <w:vAlign w:val="center"/>
          </w:tcPr>
          <w:p w14:paraId="7C4F9C51"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rekreačné  zariadenie</w:t>
            </w:r>
          </w:p>
        </w:tc>
      </w:tr>
      <w:tr w:rsidR="002B0209" w:rsidRPr="002B0209" w14:paraId="6762BA7C"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7168993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54CA523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 xml:space="preserve">Milošova chata </w:t>
            </w:r>
          </w:p>
        </w:tc>
        <w:tc>
          <w:tcPr>
            <w:tcW w:w="2551" w:type="dxa"/>
            <w:tcBorders>
              <w:top w:val="nil"/>
              <w:left w:val="nil"/>
              <w:bottom w:val="single" w:sz="4" w:space="0" w:color="auto"/>
              <w:right w:val="single" w:sz="8" w:space="0" w:color="auto"/>
            </w:tcBorders>
            <w:shd w:val="clear" w:color="auto" w:fill="FFFFFF"/>
          </w:tcPr>
          <w:p w14:paraId="70C1827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4AB6F1B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chata</w:t>
            </w:r>
          </w:p>
        </w:tc>
      </w:tr>
      <w:tr w:rsidR="002B0209" w:rsidRPr="002B0209" w14:paraId="5E874294"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5199272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B80B40C"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DUBAS</w:t>
            </w:r>
          </w:p>
        </w:tc>
        <w:tc>
          <w:tcPr>
            <w:tcW w:w="2551" w:type="dxa"/>
            <w:tcBorders>
              <w:top w:val="nil"/>
              <w:left w:val="nil"/>
              <w:bottom w:val="single" w:sz="4" w:space="0" w:color="auto"/>
              <w:right w:val="single" w:sz="8" w:space="0" w:color="auto"/>
            </w:tcBorders>
            <w:shd w:val="clear" w:color="auto" w:fill="FFFFFF"/>
          </w:tcPr>
          <w:p w14:paraId="1388343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6B48AFA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3E5D410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6120880"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CDCDD1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Hotel Hydrostav Dubník</w:t>
            </w:r>
          </w:p>
        </w:tc>
        <w:tc>
          <w:tcPr>
            <w:tcW w:w="2551" w:type="dxa"/>
            <w:tcBorders>
              <w:top w:val="nil"/>
              <w:left w:val="nil"/>
              <w:bottom w:val="single" w:sz="4" w:space="0" w:color="auto"/>
              <w:right w:val="single" w:sz="8" w:space="0" w:color="auto"/>
            </w:tcBorders>
            <w:shd w:val="clear" w:color="auto" w:fill="FFFFFF"/>
          </w:tcPr>
          <w:p w14:paraId="401A4C8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4BF62E5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hotel</w:t>
            </w:r>
          </w:p>
        </w:tc>
      </w:tr>
      <w:tr w:rsidR="002B0209" w:rsidRPr="002B0209" w14:paraId="7CDB411E"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A95BAC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D2B7EC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Turist. ubytovňa U rybára</w:t>
            </w:r>
          </w:p>
        </w:tc>
        <w:tc>
          <w:tcPr>
            <w:tcW w:w="2551" w:type="dxa"/>
            <w:tcBorders>
              <w:top w:val="nil"/>
              <w:left w:val="nil"/>
              <w:bottom w:val="single" w:sz="4" w:space="0" w:color="auto"/>
              <w:right w:val="single" w:sz="8" w:space="0" w:color="auto"/>
            </w:tcBorders>
            <w:shd w:val="clear" w:color="auto" w:fill="FFFFFF"/>
          </w:tcPr>
          <w:p w14:paraId="08AC206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4E64674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ubytovňa</w:t>
            </w:r>
          </w:p>
        </w:tc>
      </w:tr>
      <w:tr w:rsidR="002B0209" w:rsidRPr="002B0209" w14:paraId="7D7C9BDB"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025E27C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1294F04"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Hotel Sanus</w:t>
            </w:r>
          </w:p>
        </w:tc>
        <w:tc>
          <w:tcPr>
            <w:tcW w:w="2551" w:type="dxa"/>
            <w:tcBorders>
              <w:top w:val="nil"/>
              <w:left w:val="nil"/>
              <w:bottom w:val="single" w:sz="4" w:space="0" w:color="auto"/>
              <w:right w:val="single" w:sz="8" w:space="0" w:color="auto"/>
            </w:tcBorders>
            <w:shd w:val="clear" w:color="auto" w:fill="FFFFFF"/>
          </w:tcPr>
          <w:p w14:paraId="58C9361A"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3A2D78B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hotel</w:t>
            </w:r>
          </w:p>
        </w:tc>
      </w:tr>
      <w:tr w:rsidR="002B0209" w:rsidRPr="002B0209" w14:paraId="53F63CED"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3074142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7036C050"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Bufet Pláž</w:t>
            </w:r>
          </w:p>
        </w:tc>
        <w:tc>
          <w:tcPr>
            <w:tcW w:w="2551" w:type="dxa"/>
            <w:tcBorders>
              <w:top w:val="nil"/>
              <w:left w:val="nil"/>
              <w:bottom w:val="single" w:sz="4" w:space="0" w:color="auto"/>
              <w:right w:val="single" w:sz="8" w:space="0" w:color="auto"/>
            </w:tcBorders>
            <w:shd w:val="clear" w:color="auto" w:fill="FFFFFF"/>
          </w:tcPr>
          <w:p w14:paraId="7F7C9F3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6AF4FF62"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w:t>
            </w:r>
          </w:p>
        </w:tc>
      </w:tr>
      <w:tr w:rsidR="002B0209" w:rsidRPr="002B0209" w14:paraId="05366C68"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288C2059"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22C1BE6A"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Reštaurácia Dubník ATC</w:t>
            </w:r>
          </w:p>
        </w:tc>
        <w:tc>
          <w:tcPr>
            <w:tcW w:w="2551" w:type="dxa"/>
            <w:tcBorders>
              <w:top w:val="nil"/>
              <w:left w:val="nil"/>
              <w:bottom w:val="single" w:sz="4" w:space="0" w:color="auto"/>
              <w:right w:val="single" w:sz="8" w:space="0" w:color="auto"/>
            </w:tcBorders>
            <w:shd w:val="clear" w:color="auto" w:fill="FFFFFF"/>
          </w:tcPr>
          <w:p w14:paraId="7DB2B84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4C55735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reštaurácia</w:t>
            </w:r>
          </w:p>
        </w:tc>
      </w:tr>
      <w:tr w:rsidR="002B0209" w:rsidRPr="002B0209" w14:paraId="76DF2903"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3E9942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02E60CE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Bufet Motýlik</w:t>
            </w:r>
          </w:p>
        </w:tc>
        <w:tc>
          <w:tcPr>
            <w:tcW w:w="2551" w:type="dxa"/>
            <w:tcBorders>
              <w:top w:val="nil"/>
              <w:left w:val="nil"/>
              <w:bottom w:val="single" w:sz="4" w:space="0" w:color="auto"/>
              <w:right w:val="single" w:sz="8" w:space="0" w:color="auto"/>
            </w:tcBorders>
            <w:shd w:val="clear" w:color="auto" w:fill="FFFFFF"/>
          </w:tcPr>
          <w:p w14:paraId="4E8A37EF"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Rekr. oblasť Dubník I</w:t>
            </w:r>
          </w:p>
        </w:tc>
        <w:tc>
          <w:tcPr>
            <w:tcW w:w="1701" w:type="dxa"/>
            <w:tcBorders>
              <w:top w:val="nil"/>
              <w:left w:val="nil"/>
              <w:bottom w:val="single" w:sz="4" w:space="0" w:color="auto"/>
              <w:right w:val="single" w:sz="8" w:space="0" w:color="auto"/>
            </w:tcBorders>
            <w:shd w:val="clear" w:color="auto" w:fill="FFFFFF"/>
            <w:vAlign w:val="center"/>
          </w:tcPr>
          <w:p w14:paraId="2790BE3E"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bufet</w:t>
            </w:r>
          </w:p>
        </w:tc>
      </w:tr>
      <w:tr w:rsidR="002B0209" w:rsidRPr="002B0209" w14:paraId="1E17C4CA"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6A3545C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18C306DD"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w:t>
            </w:r>
          </w:p>
        </w:tc>
        <w:tc>
          <w:tcPr>
            <w:tcW w:w="2551" w:type="dxa"/>
            <w:tcBorders>
              <w:top w:val="nil"/>
              <w:left w:val="nil"/>
              <w:bottom w:val="single" w:sz="4" w:space="0" w:color="auto"/>
              <w:right w:val="single" w:sz="8" w:space="0" w:color="auto"/>
            </w:tcBorders>
            <w:shd w:val="clear" w:color="auto" w:fill="FFFFFF"/>
          </w:tcPr>
          <w:p w14:paraId="0CEB13C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Stará Turá Papraď 1615</w:t>
            </w:r>
          </w:p>
        </w:tc>
        <w:tc>
          <w:tcPr>
            <w:tcW w:w="1701" w:type="dxa"/>
            <w:tcBorders>
              <w:top w:val="nil"/>
              <w:left w:val="nil"/>
              <w:bottom w:val="single" w:sz="4" w:space="0" w:color="auto"/>
              <w:right w:val="single" w:sz="8" w:space="0" w:color="auto"/>
            </w:tcBorders>
            <w:shd w:val="clear" w:color="auto" w:fill="FFFFFF"/>
            <w:vAlign w:val="center"/>
          </w:tcPr>
          <w:p w14:paraId="31622AFC"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53FDAFDF"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10E5388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44B7316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w:t>
            </w:r>
          </w:p>
        </w:tc>
        <w:tc>
          <w:tcPr>
            <w:tcW w:w="2551" w:type="dxa"/>
            <w:tcBorders>
              <w:top w:val="nil"/>
              <w:left w:val="nil"/>
              <w:bottom w:val="single" w:sz="4" w:space="0" w:color="auto"/>
              <w:right w:val="single" w:sz="8" w:space="0" w:color="auto"/>
            </w:tcBorders>
            <w:shd w:val="clear" w:color="auto" w:fill="FFFFFF"/>
          </w:tcPr>
          <w:p w14:paraId="42EFB88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Stará Turá Topolecká, Dom kultúry</w:t>
            </w:r>
          </w:p>
        </w:tc>
        <w:tc>
          <w:tcPr>
            <w:tcW w:w="1701" w:type="dxa"/>
            <w:tcBorders>
              <w:top w:val="nil"/>
              <w:left w:val="nil"/>
              <w:bottom w:val="single" w:sz="4" w:space="0" w:color="auto"/>
              <w:right w:val="single" w:sz="8" w:space="0" w:color="auto"/>
            </w:tcBorders>
            <w:shd w:val="clear" w:color="auto" w:fill="FFFFFF"/>
            <w:vAlign w:val="center"/>
          </w:tcPr>
          <w:p w14:paraId="0187DB88"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61A86549" w14:textId="77777777" w:rsidTr="007E10F7">
        <w:trPr>
          <w:trHeight w:val="170"/>
        </w:trPr>
        <w:tc>
          <w:tcPr>
            <w:tcW w:w="1716" w:type="dxa"/>
            <w:tcBorders>
              <w:top w:val="nil"/>
              <w:left w:val="single" w:sz="8" w:space="0" w:color="auto"/>
              <w:bottom w:val="nil"/>
              <w:right w:val="single" w:sz="8" w:space="0" w:color="auto"/>
            </w:tcBorders>
            <w:shd w:val="clear" w:color="auto" w:fill="auto"/>
            <w:noWrap/>
            <w:vAlign w:val="bottom"/>
          </w:tcPr>
          <w:p w14:paraId="4650D215"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w:t>
            </w:r>
          </w:p>
        </w:tc>
        <w:tc>
          <w:tcPr>
            <w:tcW w:w="3261" w:type="dxa"/>
            <w:tcBorders>
              <w:top w:val="nil"/>
              <w:left w:val="nil"/>
              <w:bottom w:val="single" w:sz="4" w:space="0" w:color="auto"/>
              <w:right w:val="single" w:sz="8" w:space="0" w:color="auto"/>
            </w:tcBorders>
            <w:shd w:val="clear" w:color="auto" w:fill="FFFFFF"/>
          </w:tcPr>
          <w:p w14:paraId="25984D4B"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Salaš</w:t>
            </w:r>
          </w:p>
        </w:tc>
        <w:tc>
          <w:tcPr>
            <w:tcW w:w="2551" w:type="dxa"/>
            <w:tcBorders>
              <w:top w:val="nil"/>
              <w:left w:val="nil"/>
              <w:bottom w:val="single" w:sz="4" w:space="0" w:color="auto"/>
              <w:right w:val="single" w:sz="8" w:space="0" w:color="auto"/>
            </w:tcBorders>
            <w:shd w:val="clear" w:color="auto" w:fill="FFFFFF"/>
          </w:tcPr>
          <w:p w14:paraId="5ED9EBAB"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Hurbanova 69</w:t>
            </w:r>
          </w:p>
        </w:tc>
        <w:tc>
          <w:tcPr>
            <w:tcW w:w="1701" w:type="dxa"/>
            <w:tcBorders>
              <w:top w:val="nil"/>
              <w:left w:val="nil"/>
              <w:bottom w:val="single" w:sz="4" w:space="0" w:color="auto"/>
              <w:right w:val="single" w:sz="8" w:space="0" w:color="auto"/>
            </w:tcBorders>
            <w:shd w:val="clear" w:color="auto" w:fill="FFFFFF"/>
            <w:vAlign w:val="center"/>
          </w:tcPr>
          <w:p w14:paraId="6932EC8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pohostinstvo</w:t>
            </w:r>
          </w:p>
        </w:tc>
      </w:tr>
      <w:tr w:rsidR="002B0209" w:rsidRPr="002B0209" w14:paraId="7E080094" w14:textId="77777777" w:rsidTr="007E10F7">
        <w:trPr>
          <w:trHeight w:val="170"/>
        </w:trPr>
        <w:tc>
          <w:tcPr>
            <w:tcW w:w="1716" w:type="dxa"/>
            <w:tcBorders>
              <w:top w:val="single" w:sz="4" w:space="0" w:color="auto"/>
              <w:left w:val="single" w:sz="8" w:space="0" w:color="auto"/>
              <w:bottom w:val="single" w:sz="8" w:space="0" w:color="auto"/>
              <w:right w:val="single" w:sz="8" w:space="0" w:color="auto"/>
            </w:tcBorders>
            <w:shd w:val="clear" w:color="auto" w:fill="auto"/>
            <w:noWrap/>
            <w:vAlign w:val="bottom"/>
          </w:tcPr>
          <w:p w14:paraId="1442797D"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Vrbovce</w:t>
            </w:r>
          </w:p>
        </w:tc>
        <w:tc>
          <w:tcPr>
            <w:tcW w:w="3261" w:type="dxa"/>
            <w:tcBorders>
              <w:top w:val="nil"/>
              <w:left w:val="nil"/>
              <w:bottom w:val="single" w:sz="8" w:space="0" w:color="auto"/>
              <w:right w:val="single" w:sz="8" w:space="0" w:color="auto"/>
            </w:tcBorders>
            <w:shd w:val="clear" w:color="auto" w:fill="auto"/>
            <w:noWrap/>
            <w:vAlign w:val="bottom"/>
          </w:tcPr>
          <w:p w14:paraId="553B6D53" w14:textId="77777777" w:rsidR="002B0209" w:rsidRPr="002B0209" w:rsidRDefault="002B0209" w:rsidP="002B0209">
            <w:pPr>
              <w:spacing w:after="0" w:line="240" w:lineRule="auto"/>
              <w:rPr>
                <w:rFonts w:ascii="Times New Roman" w:eastAsia="Times New Roman" w:hAnsi="Times New Roman" w:cs="Times New Roman"/>
                <w:b/>
                <w:bCs/>
                <w:sz w:val="18"/>
                <w:szCs w:val="18"/>
                <w:lang w:eastAsia="cs-CZ"/>
              </w:rPr>
            </w:pPr>
            <w:r w:rsidRPr="002B0209">
              <w:rPr>
                <w:rFonts w:ascii="Times New Roman" w:eastAsia="Times New Roman" w:hAnsi="Times New Roman" w:cs="Times New Roman"/>
                <w:b/>
                <w:bCs/>
                <w:sz w:val="18"/>
                <w:szCs w:val="18"/>
                <w:lang w:eastAsia="cs-CZ"/>
              </w:rPr>
              <w:t>Pohostinstvo Vrbovčan</w:t>
            </w:r>
          </w:p>
        </w:tc>
        <w:tc>
          <w:tcPr>
            <w:tcW w:w="2551" w:type="dxa"/>
            <w:tcBorders>
              <w:top w:val="nil"/>
              <w:left w:val="nil"/>
              <w:bottom w:val="single" w:sz="8" w:space="0" w:color="auto"/>
              <w:right w:val="single" w:sz="8" w:space="0" w:color="auto"/>
            </w:tcBorders>
            <w:shd w:val="clear" w:color="auto" w:fill="auto"/>
            <w:noWrap/>
            <w:vAlign w:val="bottom"/>
          </w:tcPr>
          <w:p w14:paraId="63DDFCD7"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Vrbovce 142</w:t>
            </w:r>
          </w:p>
        </w:tc>
        <w:tc>
          <w:tcPr>
            <w:tcW w:w="1701" w:type="dxa"/>
            <w:tcBorders>
              <w:top w:val="nil"/>
              <w:left w:val="nil"/>
              <w:bottom w:val="single" w:sz="8" w:space="0" w:color="auto"/>
              <w:right w:val="single" w:sz="8" w:space="0" w:color="auto"/>
            </w:tcBorders>
            <w:shd w:val="clear" w:color="auto" w:fill="auto"/>
            <w:noWrap/>
            <w:vAlign w:val="bottom"/>
          </w:tcPr>
          <w:p w14:paraId="5639AF54" w14:textId="77777777" w:rsidR="002B0209" w:rsidRPr="002B0209" w:rsidRDefault="002B0209" w:rsidP="002B0209">
            <w:pPr>
              <w:spacing w:after="0" w:line="240" w:lineRule="auto"/>
              <w:rPr>
                <w:rFonts w:ascii="Times New Roman" w:eastAsia="Times New Roman" w:hAnsi="Times New Roman" w:cs="Times New Roman"/>
                <w:sz w:val="18"/>
                <w:szCs w:val="18"/>
                <w:lang w:eastAsia="cs-CZ"/>
              </w:rPr>
            </w:pPr>
            <w:r w:rsidRPr="002B0209">
              <w:rPr>
                <w:rFonts w:ascii="Times New Roman" w:eastAsia="Times New Roman" w:hAnsi="Times New Roman" w:cs="Times New Roman"/>
                <w:sz w:val="18"/>
                <w:szCs w:val="18"/>
                <w:lang w:eastAsia="cs-CZ"/>
              </w:rPr>
              <w:t xml:space="preserve">pohostinstvo s vývarovňou </w:t>
            </w:r>
          </w:p>
        </w:tc>
      </w:tr>
    </w:tbl>
    <w:p w14:paraId="140B3085" w14:textId="77777777" w:rsidR="002B0209" w:rsidRPr="00665928" w:rsidRDefault="00665928" w:rsidP="007E10F7">
      <w:pPr>
        <w:spacing w:after="0" w:line="360" w:lineRule="auto"/>
        <w:jc w:val="both"/>
        <w:rPr>
          <w:rFonts w:ascii="Times New Roman" w:hAnsi="Times New Roman" w:cs="Times New Roman"/>
          <w:sz w:val="20"/>
          <w:szCs w:val="20"/>
        </w:rPr>
      </w:pPr>
      <w:r w:rsidRPr="00665928">
        <w:rPr>
          <w:rFonts w:ascii="Times New Roman" w:hAnsi="Times New Roman" w:cs="Times New Roman"/>
          <w:b/>
          <w:sz w:val="20"/>
          <w:szCs w:val="20"/>
          <w:lang w:val="cs-CZ"/>
        </w:rPr>
        <w:t>Zdroj: Koncepcia rozvoja cestovného ruchu v regióne pod Veľkou Javorinou a Bradlom</w:t>
      </w:r>
    </w:p>
    <w:p w14:paraId="0C511072" w14:textId="77777777" w:rsidR="00EC62F5" w:rsidRDefault="000100AE" w:rsidP="00EC62F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Celkový  majetok obcí Kopaničiarskeho regiónu mal k 31.12.20</w:t>
      </w:r>
      <w:r>
        <w:rPr>
          <w:rFonts w:ascii="Times New Roman" w:hAnsi="Times New Roman" w:cs="Times New Roman"/>
          <w:sz w:val="24"/>
          <w:szCs w:val="24"/>
        </w:rPr>
        <w:t>14</w:t>
      </w:r>
      <w:r w:rsidR="00EC62F5" w:rsidRPr="00EC62F5">
        <w:rPr>
          <w:rFonts w:ascii="Times New Roman" w:hAnsi="Times New Roman" w:cs="Times New Roman"/>
          <w:sz w:val="24"/>
          <w:szCs w:val="24"/>
        </w:rPr>
        <w:t xml:space="preserve"> nadobúdaciu hodnotu </w:t>
      </w:r>
      <w:r w:rsidR="004623A8">
        <w:rPr>
          <w:rFonts w:ascii="Times New Roman" w:hAnsi="Times New Roman" w:cs="Times New Roman"/>
          <w:sz w:val="24"/>
          <w:szCs w:val="24"/>
        </w:rPr>
        <w:t>115 220 637,00</w:t>
      </w:r>
      <w:r w:rsidR="00EC62F5" w:rsidRPr="00EC62F5">
        <w:rPr>
          <w:rFonts w:ascii="Times New Roman" w:hAnsi="Times New Roman" w:cs="Times New Roman"/>
          <w:sz w:val="24"/>
          <w:szCs w:val="24"/>
        </w:rPr>
        <w:t xml:space="preserve"> </w:t>
      </w:r>
      <w:r w:rsidR="004623A8">
        <w:rPr>
          <w:rFonts w:ascii="Times New Roman" w:hAnsi="Times New Roman" w:cs="Times New Roman"/>
          <w:sz w:val="24"/>
          <w:szCs w:val="24"/>
        </w:rPr>
        <w:t>€</w:t>
      </w:r>
      <w:r w:rsidR="00EC62F5" w:rsidRPr="00EC62F5">
        <w:rPr>
          <w:rFonts w:ascii="Times New Roman" w:hAnsi="Times New Roman" w:cs="Times New Roman"/>
          <w:sz w:val="24"/>
          <w:szCs w:val="24"/>
        </w:rPr>
        <w:t xml:space="preserve">, čo v účtovnej hodnote k tomu istému dátumu činilo </w:t>
      </w:r>
      <w:r w:rsidR="004623A8">
        <w:rPr>
          <w:rFonts w:ascii="Times New Roman" w:hAnsi="Times New Roman" w:cs="Times New Roman"/>
          <w:sz w:val="24"/>
          <w:szCs w:val="24"/>
        </w:rPr>
        <w:t>86 958 642,00 €</w:t>
      </w:r>
      <w:r w:rsidR="00EC62F5" w:rsidRPr="00EC62F5">
        <w:rPr>
          <w:rFonts w:ascii="Times New Roman" w:hAnsi="Times New Roman" w:cs="Times New Roman"/>
          <w:sz w:val="24"/>
          <w:szCs w:val="24"/>
        </w:rPr>
        <w:t xml:space="preserve">. Najvyššiu nadobúdaciu hodnotu mali ostatné budovy a to vyše </w:t>
      </w:r>
      <w:r w:rsidR="003912A7">
        <w:rPr>
          <w:rFonts w:ascii="Times New Roman" w:hAnsi="Times New Roman" w:cs="Times New Roman"/>
          <w:sz w:val="24"/>
          <w:szCs w:val="24"/>
        </w:rPr>
        <w:t>30</w:t>
      </w:r>
      <w:r w:rsidR="003912A7"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3912A7">
        <w:rPr>
          <w:rFonts w:ascii="Times New Roman" w:hAnsi="Times New Roman" w:cs="Times New Roman"/>
          <w:sz w:val="24"/>
          <w:szCs w:val="24"/>
        </w:rPr>
        <w:t>€</w:t>
      </w:r>
      <w:r w:rsidR="00EC62F5" w:rsidRPr="00EC62F5">
        <w:rPr>
          <w:rFonts w:ascii="Times New Roman" w:hAnsi="Times New Roman" w:cs="Times New Roman"/>
          <w:sz w:val="24"/>
          <w:szCs w:val="24"/>
        </w:rPr>
        <w:t xml:space="preserve"> (</w:t>
      </w:r>
      <w:r w:rsidR="00EC62F5" w:rsidRPr="00F560B2">
        <w:rPr>
          <w:rFonts w:ascii="Times New Roman" w:hAnsi="Times New Roman" w:cs="Times New Roman"/>
          <w:sz w:val="24"/>
          <w:szCs w:val="24"/>
        </w:rPr>
        <w:t xml:space="preserve">tabuľka </w:t>
      </w:r>
      <w:r w:rsidRPr="00F560B2">
        <w:rPr>
          <w:rFonts w:ascii="Times New Roman" w:hAnsi="Times New Roman" w:cs="Times New Roman"/>
          <w:sz w:val="24"/>
          <w:szCs w:val="24"/>
        </w:rPr>
        <w:t>3.1.22</w:t>
      </w:r>
      <w:r w:rsidR="00EC62F5" w:rsidRPr="00F560B2">
        <w:rPr>
          <w:rFonts w:ascii="Times New Roman" w:hAnsi="Times New Roman" w:cs="Times New Roman"/>
          <w:sz w:val="24"/>
          <w:szCs w:val="24"/>
        </w:rPr>
        <w:t>)</w:t>
      </w:r>
      <w:r w:rsidR="00EC62F5" w:rsidRPr="00EC62F5">
        <w:rPr>
          <w:rFonts w:ascii="Times New Roman" w:hAnsi="Times New Roman" w:cs="Times New Roman"/>
          <w:sz w:val="24"/>
          <w:szCs w:val="24"/>
        </w:rPr>
        <w:t xml:space="preserve"> a lesné pozemky (vyše </w:t>
      </w:r>
      <w:r w:rsidR="003912A7">
        <w:rPr>
          <w:rFonts w:ascii="Times New Roman" w:hAnsi="Times New Roman" w:cs="Times New Roman"/>
          <w:sz w:val="24"/>
          <w:szCs w:val="24"/>
        </w:rPr>
        <w:t>25</w:t>
      </w:r>
      <w:r w:rsidR="003912A7"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3912A7">
        <w:rPr>
          <w:rFonts w:ascii="Times New Roman" w:hAnsi="Times New Roman" w:cs="Times New Roman"/>
          <w:sz w:val="24"/>
          <w:szCs w:val="24"/>
        </w:rPr>
        <w:t>€</w:t>
      </w:r>
      <w:r w:rsidR="00EC62F5" w:rsidRPr="00EC62F5">
        <w:rPr>
          <w:rFonts w:ascii="Times New Roman" w:hAnsi="Times New Roman" w:cs="Times New Roman"/>
          <w:sz w:val="24"/>
          <w:szCs w:val="24"/>
        </w:rPr>
        <w:t xml:space="preserve">). V účtovnej hodnote najviac dosahujú lesné pozemky (vyše </w:t>
      </w:r>
      <w:r w:rsidR="003912A7">
        <w:rPr>
          <w:rFonts w:ascii="Times New Roman" w:hAnsi="Times New Roman" w:cs="Times New Roman"/>
          <w:sz w:val="24"/>
          <w:szCs w:val="24"/>
        </w:rPr>
        <w:t>25</w:t>
      </w:r>
      <w:r w:rsidR="003912A7"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3912A7">
        <w:rPr>
          <w:rFonts w:ascii="Times New Roman" w:hAnsi="Times New Roman" w:cs="Times New Roman"/>
          <w:sz w:val="24"/>
          <w:szCs w:val="24"/>
        </w:rPr>
        <w:t>€</w:t>
      </w:r>
      <w:r w:rsidR="00EC62F5" w:rsidRPr="00EC62F5">
        <w:rPr>
          <w:rFonts w:ascii="Times New Roman" w:hAnsi="Times New Roman" w:cs="Times New Roman"/>
          <w:sz w:val="24"/>
          <w:szCs w:val="24"/>
        </w:rPr>
        <w:t xml:space="preserve">), ostatné pozemky ( vyše </w:t>
      </w:r>
      <w:r w:rsidR="003912A7">
        <w:rPr>
          <w:rFonts w:ascii="Times New Roman" w:hAnsi="Times New Roman" w:cs="Times New Roman"/>
          <w:sz w:val="24"/>
          <w:szCs w:val="24"/>
        </w:rPr>
        <w:t>23</w:t>
      </w:r>
      <w:r w:rsidR="003912A7"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3912A7">
        <w:rPr>
          <w:rFonts w:ascii="Times New Roman" w:hAnsi="Times New Roman" w:cs="Times New Roman"/>
          <w:sz w:val="24"/>
          <w:szCs w:val="24"/>
        </w:rPr>
        <w:t>€)</w:t>
      </w:r>
      <w:r w:rsidR="00EC62F5" w:rsidRPr="00EC62F5">
        <w:rPr>
          <w:rFonts w:ascii="Times New Roman" w:hAnsi="Times New Roman" w:cs="Times New Roman"/>
          <w:sz w:val="24"/>
          <w:szCs w:val="24"/>
        </w:rPr>
        <w:t xml:space="preserve"> a ostatné budovy (vyše </w:t>
      </w:r>
      <w:r w:rsidR="003912A7">
        <w:rPr>
          <w:rFonts w:ascii="Times New Roman" w:hAnsi="Times New Roman" w:cs="Times New Roman"/>
          <w:sz w:val="24"/>
          <w:szCs w:val="24"/>
        </w:rPr>
        <w:t>17</w:t>
      </w:r>
      <w:r w:rsidR="003912A7"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3912A7">
        <w:rPr>
          <w:rFonts w:ascii="Times New Roman" w:hAnsi="Times New Roman" w:cs="Times New Roman"/>
          <w:sz w:val="24"/>
          <w:szCs w:val="24"/>
        </w:rPr>
        <w:t>€</w:t>
      </w:r>
      <w:r w:rsidR="00EC62F5" w:rsidRPr="00EC62F5">
        <w:rPr>
          <w:rFonts w:ascii="Times New Roman" w:hAnsi="Times New Roman" w:cs="Times New Roman"/>
          <w:sz w:val="24"/>
          <w:szCs w:val="24"/>
        </w:rPr>
        <w:t xml:space="preserve">). Z tabuľky možno vyčítať, že hodnota majetku obcí pri školských a zdravotníckych zariadeniach je nižšia, avšak tu je to dané tým, že veľké množstvo budov tohto charakteru je vo vlastníctve Trenčianskeho samosprávneho kraja. </w:t>
      </w:r>
    </w:p>
    <w:p w14:paraId="1CF0ACC0" w14:textId="77777777" w:rsidR="00665928" w:rsidRPr="00665928" w:rsidRDefault="00665928" w:rsidP="00665928">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 xml:space="preserve">Tabuľka </w:t>
      </w:r>
      <w:r w:rsidR="000100AE">
        <w:rPr>
          <w:rFonts w:ascii="Times New Roman" w:hAnsi="Times New Roman" w:cs="Times New Roman"/>
          <w:b/>
          <w:sz w:val="20"/>
          <w:szCs w:val="20"/>
        </w:rPr>
        <w:t>3.1.22</w:t>
      </w:r>
      <w:r w:rsidRPr="00665928">
        <w:rPr>
          <w:rFonts w:ascii="Times New Roman" w:hAnsi="Times New Roman" w:cs="Times New Roman"/>
          <w:b/>
          <w:sz w:val="20"/>
          <w:szCs w:val="20"/>
        </w:rPr>
        <w:t xml:space="preserve"> Majetok obcí Kopaničiarskeho regiónu k 31.12.20</w:t>
      </w:r>
      <w:r w:rsidR="000100AE">
        <w:rPr>
          <w:rFonts w:ascii="Times New Roman" w:hAnsi="Times New Roman" w:cs="Times New Roman"/>
          <w:b/>
          <w:sz w:val="20"/>
          <w:szCs w:val="20"/>
        </w:rPr>
        <w:t>14</w:t>
      </w:r>
    </w:p>
    <w:tbl>
      <w:tblPr>
        <w:tblW w:w="7500" w:type="dxa"/>
        <w:tblInd w:w="55" w:type="dxa"/>
        <w:tblCellMar>
          <w:left w:w="70" w:type="dxa"/>
          <w:right w:w="70" w:type="dxa"/>
        </w:tblCellMar>
        <w:tblLook w:val="0000" w:firstRow="0" w:lastRow="0" w:firstColumn="0" w:lastColumn="0" w:noHBand="0" w:noVBand="0"/>
      </w:tblPr>
      <w:tblGrid>
        <w:gridCol w:w="3760"/>
        <w:gridCol w:w="1600"/>
        <w:gridCol w:w="2140"/>
      </w:tblGrid>
      <w:tr w:rsidR="00665928" w:rsidRPr="00665928" w14:paraId="5943CD9F" w14:textId="77777777" w:rsidTr="006C3C88">
        <w:trPr>
          <w:trHeight w:val="585"/>
        </w:trPr>
        <w:tc>
          <w:tcPr>
            <w:tcW w:w="3760" w:type="dxa"/>
            <w:tcBorders>
              <w:top w:val="single" w:sz="8" w:space="0" w:color="auto"/>
              <w:left w:val="single" w:sz="8" w:space="0" w:color="auto"/>
              <w:bottom w:val="single" w:sz="8" w:space="0" w:color="auto"/>
              <w:right w:val="single" w:sz="8" w:space="0" w:color="auto"/>
            </w:tcBorders>
            <w:shd w:val="clear" w:color="auto" w:fill="D9D9D9"/>
            <w:vAlign w:val="center"/>
          </w:tcPr>
          <w:p w14:paraId="581FF23A"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Majetok</w:t>
            </w:r>
          </w:p>
        </w:tc>
        <w:tc>
          <w:tcPr>
            <w:tcW w:w="1600" w:type="dxa"/>
            <w:tcBorders>
              <w:top w:val="single" w:sz="8" w:space="0" w:color="auto"/>
              <w:left w:val="nil"/>
              <w:bottom w:val="single" w:sz="8" w:space="0" w:color="auto"/>
              <w:right w:val="single" w:sz="4" w:space="0" w:color="auto"/>
            </w:tcBorders>
            <w:shd w:val="clear" w:color="auto" w:fill="D9D9D9"/>
            <w:vAlign w:val="center"/>
          </w:tcPr>
          <w:p w14:paraId="5C9C88EA"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Nadobúdacia hodnota (</w:t>
            </w:r>
            <w:r w:rsidR="000100AE">
              <w:rPr>
                <w:rFonts w:ascii="Times New Roman" w:eastAsia="Times New Roman" w:hAnsi="Times New Roman" w:cs="Times New Roman"/>
                <w:b/>
                <w:bCs/>
                <w:sz w:val="20"/>
                <w:szCs w:val="20"/>
                <w:lang w:eastAsia="cs-CZ"/>
              </w:rPr>
              <w:t>€</w:t>
            </w:r>
            <w:r w:rsidRPr="00665928">
              <w:rPr>
                <w:rFonts w:ascii="Times New Roman" w:eastAsia="Times New Roman" w:hAnsi="Times New Roman" w:cs="Times New Roman"/>
                <w:b/>
                <w:bCs/>
                <w:sz w:val="20"/>
                <w:szCs w:val="20"/>
                <w:lang w:eastAsia="cs-CZ"/>
              </w:rPr>
              <w:t>)</w:t>
            </w:r>
          </w:p>
        </w:tc>
        <w:tc>
          <w:tcPr>
            <w:tcW w:w="2140" w:type="dxa"/>
            <w:tcBorders>
              <w:top w:val="single" w:sz="8" w:space="0" w:color="auto"/>
              <w:left w:val="nil"/>
              <w:bottom w:val="single" w:sz="8" w:space="0" w:color="auto"/>
              <w:right w:val="single" w:sz="8" w:space="0" w:color="auto"/>
            </w:tcBorders>
            <w:shd w:val="clear" w:color="auto" w:fill="D9D9D9"/>
            <w:vAlign w:val="center"/>
          </w:tcPr>
          <w:p w14:paraId="7C3D5DC8"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Posledná účtovná hodnota k 31.12.20</w:t>
            </w:r>
            <w:r w:rsidR="000100AE">
              <w:rPr>
                <w:rFonts w:ascii="Times New Roman" w:eastAsia="Times New Roman" w:hAnsi="Times New Roman" w:cs="Times New Roman"/>
                <w:b/>
                <w:bCs/>
                <w:sz w:val="20"/>
                <w:szCs w:val="20"/>
                <w:lang w:eastAsia="cs-CZ"/>
              </w:rPr>
              <w:t>14</w:t>
            </w:r>
            <w:r w:rsidRPr="00665928">
              <w:rPr>
                <w:rFonts w:ascii="Times New Roman" w:eastAsia="Times New Roman" w:hAnsi="Times New Roman" w:cs="Times New Roman"/>
                <w:b/>
                <w:bCs/>
                <w:sz w:val="20"/>
                <w:szCs w:val="20"/>
                <w:lang w:eastAsia="cs-CZ"/>
              </w:rPr>
              <w:t xml:space="preserve"> (</w:t>
            </w:r>
            <w:r w:rsidR="000100AE">
              <w:rPr>
                <w:rFonts w:ascii="Times New Roman" w:eastAsia="Times New Roman" w:hAnsi="Times New Roman" w:cs="Times New Roman"/>
                <w:b/>
                <w:bCs/>
                <w:sz w:val="20"/>
                <w:szCs w:val="20"/>
                <w:lang w:eastAsia="cs-CZ"/>
              </w:rPr>
              <w:t>€</w:t>
            </w:r>
            <w:r w:rsidRPr="00665928">
              <w:rPr>
                <w:rFonts w:ascii="Times New Roman" w:eastAsia="Times New Roman" w:hAnsi="Times New Roman" w:cs="Times New Roman"/>
                <w:b/>
                <w:bCs/>
                <w:sz w:val="20"/>
                <w:szCs w:val="20"/>
                <w:lang w:eastAsia="cs-CZ"/>
              </w:rPr>
              <w:t xml:space="preserve">) </w:t>
            </w:r>
          </w:p>
        </w:tc>
      </w:tr>
      <w:tr w:rsidR="00665928" w:rsidRPr="00665928" w14:paraId="1DC92C3F" w14:textId="77777777" w:rsidTr="006C3C88">
        <w:trPr>
          <w:trHeight w:val="255"/>
        </w:trPr>
        <w:tc>
          <w:tcPr>
            <w:tcW w:w="376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1934324B"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Obecné a mestské úrady</w:t>
            </w:r>
          </w:p>
        </w:tc>
        <w:tc>
          <w:tcPr>
            <w:tcW w:w="1600" w:type="dxa"/>
            <w:tcBorders>
              <w:top w:val="nil"/>
              <w:left w:val="nil"/>
              <w:bottom w:val="single" w:sz="4" w:space="0" w:color="auto"/>
              <w:right w:val="single" w:sz="4" w:space="0" w:color="auto"/>
            </w:tcBorders>
            <w:shd w:val="clear" w:color="auto" w:fill="auto"/>
            <w:noWrap/>
            <w:vAlign w:val="bottom"/>
          </w:tcPr>
          <w:p w14:paraId="027A1F72"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7 379 677,00</w:t>
            </w:r>
          </w:p>
        </w:tc>
        <w:tc>
          <w:tcPr>
            <w:tcW w:w="2140" w:type="dxa"/>
            <w:tcBorders>
              <w:top w:val="nil"/>
              <w:left w:val="nil"/>
              <w:bottom w:val="single" w:sz="4" w:space="0" w:color="auto"/>
              <w:right w:val="single" w:sz="8" w:space="0" w:color="auto"/>
            </w:tcBorders>
            <w:shd w:val="clear" w:color="auto" w:fill="auto"/>
            <w:noWrap/>
            <w:vAlign w:val="bottom"/>
          </w:tcPr>
          <w:p w14:paraId="221514BC"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5 133 845,00</w:t>
            </w:r>
          </w:p>
        </w:tc>
      </w:tr>
      <w:tr w:rsidR="00665928" w:rsidRPr="00665928" w14:paraId="2C326C4B"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49B31CFE"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Kultúrne domy</w:t>
            </w:r>
          </w:p>
        </w:tc>
        <w:tc>
          <w:tcPr>
            <w:tcW w:w="1600" w:type="dxa"/>
            <w:tcBorders>
              <w:top w:val="nil"/>
              <w:left w:val="nil"/>
              <w:bottom w:val="single" w:sz="4" w:space="0" w:color="auto"/>
              <w:right w:val="single" w:sz="4" w:space="0" w:color="auto"/>
            </w:tcBorders>
            <w:shd w:val="clear" w:color="auto" w:fill="auto"/>
            <w:noWrap/>
            <w:vAlign w:val="bottom"/>
          </w:tcPr>
          <w:p w14:paraId="776C0746"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1 174 824,00</w:t>
            </w:r>
          </w:p>
        </w:tc>
        <w:tc>
          <w:tcPr>
            <w:tcW w:w="2140" w:type="dxa"/>
            <w:tcBorders>
              <w:top w:val="nil"/>
              <w:left w:val="nil"/>
              <w:bottom w:val="single" w:sz="4" w:space="0" w:color="auto"/>
              <w:right w:val="single" w:sz="8" w:space="0" w:color="auto"/>
            </w:tcBorders>
            <w:shd w:val="clear" w:color="auto" w:fill="auto"/>
            <w:noWrap/>
            <w:vAlign w:val="bottom"/>
          </w:tcPr>
          <w:p w14:paraId="066001D1" w14:textId="77777777" w:rsidR="00665928" w:rsidRPr="00665928" w:rsidRDefault="00E46EF6" w:rsidP="004623A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61</w:t>
            </w:r>
            <w:r w:rsidR="004623A8">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747,00</w:t>
            </w:r>
          </w:p>
        </w:tc>
      </w:tr>
      <w:tr w:rsidR="00665928" w:rsidRPr="00665928" w14:paraId="0E5D2280"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25714A0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Školské budovy</w:t>
            </w:r>
          </w:p>
        </w:tc>
        <w:tc>
          <w:tcPr>
            <w:tcW w:w="1600" w:type="dxa"/>
            <w:tcBorders>
              <w:top w:val="nil"/>
              <w:left w:val="nil"/>
              <w:bottom w:val="single" w:sz="4" w:space="0" w:color="auto"/>
              <w:right w:val="single" w:sz="4" w:space="0" w:color="auto"/>
            </w:tcBorders>
            <w:shd w:val="clear" w:color="auto" w:fill="auto"/>
            <w:noWrap/>
            <w:vAlign w:val="bottom"/>
          </w:tcPr>
          <w:p w14:paraId="06317451"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4 799 742,00</w:t>
            </w:r>
          </w:p>
        </w:tc>
        <w:tc>
          <w:tcPr>
            <w:tcW w:w="2140" w:type="dxa"/>
            <w:tcBorders>
              <w:top w:val="nil"/>
              <w:left w:val="nil"/>
              <w:bottom w:val="single" w:sz="4" w:space="0" w:color="auto"/>
              <w:right w:val="single" w:sz="8" w:space="0" w:color="auto"/>
            </w:tcBorders>
            <w:shd w:val="clear" w:color="auto" w:fill="auto"/>
            <w:noWrap/>
            <w:vAlign w:val="bottom"/>
          </w:tcPr>
          <w:p w14:paraId="3247FA61"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2 187 030,00</w:t>
            </w:r>
          </w:p>
        </w:tc>
      </w:tr>
      <w:tr w:rsidR="00665928" w:rsidRPr="00665928" w14:paraId="7B770C83"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26013203"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Zdravotnícke zariadenia</w:t>
            </w:r>
          </w:p>
        </w:tc>
        <w:tc>
          <w:tcPr>
            <w:tcW w:w="1600" w:type="dxa"/>
            <w:tcBorders>
              <w:top w:val="nil"/>
              <w:left w:val="nil"/>
              <w:bottom w:val="single" w:sz="4" w:space="0" w:color="auto"/>
              <w:right w:val="single" w:sz="4" w:space="0" w:color="auto"/>
            </w:tcBorders>
            <w:shd w:val="clear" w:color="auto" w:fill="auto"/>
            <w:noWrap/>
            <w:vAlign w:val="bottom"/>
          </w:tcPr>
          <w:p w14:paraId="16E868B2"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545 308,00</w:t>
            </w:r>
          </w:p>
        </w:tc>
        <w:tc>
          <w:tcPr>
            <w:tcW w:w="2140" w:type="dxa"/>
            <w:tcBorders>
              <w:top w:val="nil"/>
              <w:left w:val="nil"/>
              <w:bottom w:val="single" w:sz="4" w:space="0" w:color="auto"/>
              <w:right w:val="single" w:sz="8" w:space="0" w:color="auto"/>
            </w:tcBorders>
            <w:shd w:val="clear" w:color="auto" w:fill="auto"/>
            <w:noWrap/>
            <w:vAlign w:val="bottom"/>
          </w:tcPr>
          <w:p w14:paraId="6D0532B4"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257 689,00</w:t>
            </w:r>
          </w:p>
        </w:tc>
      </w:tr>
      <w:tr w:rsidR="00665928" w:rsidRPr="00665928" w14:paraId="52FA223C"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2127F7CD"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Požiarne zbrojnice</w:t>
            </w:r>
          </w:p>
        </w:tc>
        <w:tc>
          <w:tcPr>
            <w:tcW w:w="1600" w:type="dxa"/>
            <w:tcBorders>
              <w:top w:val="nil"/>
              <w:left w:val="nil"/>
              <w:bottom w:val="single" w:sz="4" w:space="0" w:color="auto"/>
              <w:right w:val="single" w:sz="4" w:space="0" w:color="auto"/>
            </w:tcBorders>
            <w:shd w:val="clear" w:color="auto" w:fill="auto"/>
            <w:noWrap/>
            <w:vAlign w:val="bottom"/>
          </w:tcPr>
          <w:p w14:paraId="155A30D8"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379 492,00</w:t>
            </w:r>
          </w:p>
        </w:tc>
        <w:tc>
          <w:tcPr>
            <w:tcW w:w="2140" w:type="dxa"/>
            <w:tcBorders>
              <w:top w:val="nil"/>
              <w:left w:val="nil"/>
              <w:bottom w:val="single" w:sz="4" w:space="0" w:color="auto"/>
              <w:right w:val="single" w:sz="8" w:space="0" w:color="auto"/>
            </w:tcBorders>
            <w:shd w:val="clear" w:color="auto" w:fill="auto"/>
            <w:noWrap/>
            <w:vAlign w:val="bottom"/>
          </w:tcPr>
          <w:p w14:paraId="401078E1"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80 823,00</w:t>
            </w:r>
          </w:p>
        </w:tc>
      </w:tr>
      <w:tr w:rsidR="00665928" w:rsidRPr="00665928" w14:paraId="58385A5D"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6100311C"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Domy smútku</w:t>
            </w:r>
          </w:p>
        </w:tc>
        <w:tc>
          <w:tcPr>
            <w:tcW w:w="1600" w:type="dxa"/>
            <w:tcBorders>
              <w:top w:val="nil"/>
              <w:left w:val="nil"/>
              <w:bottom w:val="single" w:sz="4" w:space="0" w:color="auto"/>
              <w:right w:val="single" w:sz="4" w:space="0" w:color="auto"/>
            </w:tcBorders>
            <w:shd w:val="clear" w:color="auto" w:fill="auto"/>
            <w:noWrap/>
            <w:vAlign w:val="bottom"/>
          </w:tcPr>
          <w:p w14:paraId="5F68ECCA"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454 559,00</w:t>
            </w:r>
          </w:p>
        </w:tc>
        <w:tc>
          <w:tcPr>
            <w:tcW w:w="2140" w:type="dxa"/>
            <w:tcBorders>
              <w:top w:val="nil"/>
              <w:left w:val="nil"/>
              <w:bottom w:val="single" w:sz="4" w:space="0" w:color="auto"/>
              <w:right w:val="single" w:sz="8" w:space="0" w:color="auto"/>
            </w:tcBorders>
            <w:shd w:val="clear" w:color="auto" w:fill="auto"/>
            <w:noWrap/>
            <w:vAlign w:val="bottom"/>
          </w:tcPr>
          <w:p w14:paraId="5750F79E" w14:textId="77777777" w:rsidR="00665928" w:rsidRPr="00665928" w:rsidRDefault="00E46EF6"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228 745,00</w:t>
            </w:r>
          </w:p>
        </w:tc>
      </w:tr>
      <w:tr w:rsidR="00665928" w:rsidRPr="00665928" w14:paraId="3D57D277"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04EF8631"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Ostatné budovy</w:t>
            </w:r>
          </w:p>
        </w:tc>
        <w:tc>
          <w:tcPr>
            <w:tcW w:w="1600" w:type="dxa"/>
            <w:tcBorders>
              <w:top w:val="nil"/>
              <w:left w:val="nil"/>
              <w:bottom w:val="single" w:sz="4" w:space="0" w:color="auto"/>
              <w:right w:val="single" w:sz="4" w:space="0" w:color="auto"/>
            </w:tcBorders>
            <w:shd w:val="clear" w:color="auto" w:fill="auto"/>
            <w:noWrap/>
            <w:vAlign w:val="bottom"/>
          </w:tcPr>
          <w:p w14:paraId="73FBC88F"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30 005 935,00</w:t>
            </w:r>
          </w:p>
        </w:tc>
        <w:tc>
          <w:tcPr>
            <w:tcW w:w="2140" w:type="dxa"/>
            <w:tcBorders>
              <w:top w:val="nil"/>
              <w:left w:val="nil"/>
              <w:bottom w:val="single" w:sz="4" w:space="0" w:color="auto"/>
              <w:right w:val="single" w:sz="8" w:space="0" w:color="auto"/>
            </w:tcBorders>
            <w:shd w:val="clear" w:color="auto" w:fill="auto"/>
            <w:noWrap/>
            <w:vAlign w:val="bottom"/>
          </w:tcPr>
          <w:p w14:paraId="1D4A1016"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17 997 733,00</w:t>
            </w:r>
          </w:p>
        </w:tc>
      </w:tr>
      <w:tr w:rsidR="00665928" w:rsidRPr="00665928" w14:paraId="7DA27E4B" w14:textId="77777777" w:rsidTr="00F560B2">
        <w:trPr>
          <w:trHeight w:val="255"/>
        </w:trPr>
        <w:tc>
          <w:tcPr>
            <w:tcW w:w="3760" w:type="dxa"/>
            <w:tcBorders>
              <w:top w:val="nil"/>
              <w:left w:val="single" w:sz="8" w:space="0" w:color="auto"/>
              <w:bottom w:val="single" w:sz="8" w:space="0" w:color="auto"/>
              <w:right w:val="single" w:sz="8" w:space="0" w:color="auto"/>
            </w:tcBorders>
            <w:shd w:val="clear" w:color="auto" w:fill="auto"/>
            <w:noWrap/>
            <w:vAlign w:val="bottom"/>
          </w:tcPr>
          <w:p w14:paraId="6D31FB17"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Stavby</w:t>
            </w:r>
          </w:p>
        </w:tc>
        <w:tc>
          <w:tcPr>
            <w:tcW w:w="1600" w:type="dxa"/>
            <w:tcBorders>
              <w:top w:val="nil"/>
              <w:left w:val="nil"/>
              <w:bottom w:val="single" w:sz="8" w:space="0" w:color="auto"/>
              <w:right w:val="single" w:sz="4" w:space="0" w:color="auto"/>
            </w:tcBorders>
            <w:shd w:val="clear" w:color="auto" w:fill="auto"/>
            <w:noWrap/>
            <w:vAlign w:val="bottom"/>
          </w:tcPr>
          <w:p w14:paraId="317A95B8"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16 147 968,00</w:t>
            </w:r>
          </w:p>
        </w:tc>
        <w:tc>
          <w:tcPr>
            <w:tcW w:w="2140" w:type="dxa"/>
            <w:tcBorders>
              <w:top w:val="nil"/>
              <w:left w:val="nil"/>
              <w:bottom w:val="single" w:sz="8" w:space="0" w:color="auto"/>
              <w:right w:val="single" w:sz="8" w:space="0" w:color="auto"/>
            </w:tcBorders>
            <w:shd w:val="clear" w:color="auto" w:fill="auto"/>
            <w:noWrap/>
            <w:vAlign w:val="bottom"/>
          </w:tcPr>
          <w:p w14:paraId="46CE9121"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7 365 589,00</w:t>
            </w:r>
          </w:p>
        </w:tc>
      </w:tr>
      <w:tr w:rsidR="00665928" w:rsidRPr="00665928" w14:paraId="473A139A" w14:textId="77777777" w:rsidTr="00F560B2">
        <w:trPr>
          <w:trHeight w:val="255"/>
        </w:trPr>
        <w:tc>
          <w:tcPr>
            <w:tcW w:w="376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DD4053F"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Lesné pozemky</w:t>
            </w:r>
          </w:p>
        </w:tc>
        <w:tc>
          <w:tcPr>
            <w:tcW w:w="1600" w:type="dxa"/>
            <w:tcBorders>
              <w:top w:val="single" w:sz="8" w:space="0" w:color="auto"/>
              <w:left w:val="nil"/>
              <w:bottom w:val="single" w:sz="4" w:space="0" w:color="auto"/>
              <w:right w:val="single" w:sz="4" w:space="0" w:color="auto"/>
            </w:tcBorders>
            <w:shd w:val="clear" w:color="auto" w:fill="auto"/>
            <w:noWrap/>
            <w:vAlign w:val="bottom"/>
          </w:tcPr>
          <w:p w14:paraId="29DA216C"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25 202 457,00</w:t>
            </w:r>
          </w:p>
        </w:tc>
        <w:tc>
          <w:tcPr>
            <w:tcW w:w="2140" w:type="dxa"/>
            <w:tcBorders>
              <w:top w:val="single" w:sz="8" w:space="0" w:color="auto"/>
              <w:left w:val="nil"/>
              <w:bottom w:val="single" w:sz="4" w:space="0" w:color="auto"/>
              <w:right w:val="single" w:sz="8" w:space="0" w:color="auto"/>
            </w:tcBorders>
            <w:shd w:val="clear" w:color="auto" w:fill="auto"/>
            <w:noWrap/>
            <w:vAlign w:val="bottom"/>
          </w:tcPr>
          <w:p w14:paraId="3040F66A"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25 202 457,00</w:t>
            </w:r>
          </w:p>
        </w:tc>
      </w:tr>
      <w:tr w:rsidR="00665928" w:rsidRPr="00665928" w14:paraId="2271E927" w14:textId="77777777" w:rsidTr="006C3C88">
        <w:trPr>
          <w:trHeight w:val="255"/>
        </w:trPr>
        <w:tc>
          <w:tcPr>
            <w:tcW w:w="3760" w:type="dxa"/>
            <w:tcBorders>
              <w:top w:val="nil"/>
              <w:left w:val="single" w:sz="8" w:space="0" w:color="auto"/>
              <w:bottom w:val="single" w:sz="4" w:space="0" w:color="auto"/>
              <w:right w:val="single" w:sz="8" w:space="0" w:color="auto"/>
            </w:tcBorders>
            <w:shd w:val="clear" w:color="auto" w:fill="auto"/>
            <w:noWrap/>
            <w:vAlign w:val="bottom"/>
          </w:tcPr>
          <w:p w14:paraId="1A0EE5A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Ostatné pozemky</w:t>
            </w:r>
          </w:p>
        </w:tc>
        <w:tc>
          <w:tcPr>
            <w:tcW w:w="1600" w:type="dxa"/>
            <w:tcBorders>
              <w:top w:val="nil"/>
              <w:left w:val="nil"/>
              <w:bottom w:val="single" w:sz="4" w:space="0" w:color="auto"/>
              <w:right w:val="single" w:sz="4" w:space="0" w:color="auto"/>
            </w:tcBorders>
            <w:shd w:val="clear" w:color="auto" w:fill="auto"/>
            <w:noWrap/>
            <w:vAlign w:val="bottom"/>
          </w:tcPr>
          <w:p w14:paraId="488CB798"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23 975 431,00</w:t>
            </w:r>
          </w:p>
        </w:tc>
        <w:tc>
          <w:tcPr>
            <w:tcW w:w="2140" w:type="dxa"/>
            <w:tcBorders>
              <w:top w:val="nil"/>
              <w:left w:val="nil"/>
              <w:bottom w:val="single" w:sz="4" w:space="0" w:color="auto"/>
              <w:right w:val="single" w:sz="8" w:space="0" w:color="auto"/>
            </w:tcBorders>
            <w:shd w:val="clear" w:color="auto" w:fill="auto"/>
            <w:noWrap/>
            <w:vAlign w:val="bottom"/>
          </w:tcPr>
          <w:p w14:paraId="596C1517"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23 975 431,00</w:t>
            </w:r>
          </w:p>
        </w:tc>
      </w:tr>
      <w:tr w:rsidR="00665928" w:rsidRPr="00665928" w14:paraId="1F18A498" w14:textId="77777777" w:rsidTr="00C57880">
        <w:trPr>
          <w:trHeight w:val="255"/>
        </w:trPr>
        <w:tc>
          <w:tcPr>
            <w:tcW w:w="3760" w:type="dxa"/>
            <w:tcBorders>
              <w:top w:val="nil"/>
              <w:left w:val="single" w:sz="8" w:space="0" w:color="auto"/>
              <w:bottom w:val="single" w:sz="8" w:space="0" w:color="auto"/>
              <w:right w:val="single" w:sz="8" w:space="0" w:color="auto"/>
            </w:tcBorders>
            <w:shd w:val="clear" w:color="auto" w:fill="auto"/>
            <w:noWrap/>
            <w:vAlign w:val="bottom"/>
          </w:tcPr>
          <w:p w14:paraId="070A2FD3"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Umelecké diela</w:t>
            </w:r>
          </w:p>
        </w:tc>
        <w:tc>
          <w:tcPr>
            <w:tcW w:w="1600" w:type="dxa"/>
            <w:tcBorders>
              <w:top w:val="nil"/>
              <w:left w:val="nil"/>
              <w:bottom w:val="single" w:sz="8" w:space="0" w:color="auto"/>
              <w:right w:val="single" w:sz="4" w:space="0" w:color="auto"/>
            </w:tcBorders>
            <w:shd w:val="clear" w:color="auto" w:fill="auto"/>
            <w:noWrap/>
            <w:vAlign w:val="bottom"/>
          </w:tcPr>
          <w:p w14:paraId="2CD95D0A"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74 450,00</w:t>
            </w:r>
          </w:p>
        </w:tc>
        <w:tc>
          <w:tcPr>
            <w:tcW w:w="2140" w:type="dxa"/>
            <w:tcBorders>
              <w:top w:val="nil"/>
              <w:left w:val="nil"/>
              <w:bottom w:val="single" w:sz="8" w:space="0" w:color="auto"/>
              <w:right w:val="single" w:sz="8" w:space="0" w:color="auto"/>
            </w:tcBorders>
            <w:shd w:val="clear" w:color="auto" w:fill="auto"/>
            <w:noWrap/>
            <w:vAlign w:val="bottom"/>
          </w:tcPr>
          <w:p w14:paraId="29D302A1"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74 450,00</w:t>
            </w:r>
          </w:p>
        </w:tc>
      </w:tr>
      <w:tr w:rsidR="00665928" w:rsidRPr="00665928" w14:paraId="189CA7CA" w14:textId="77777777" w:rsidTr="00C57880">
        <w:trPr>
          <w:trHeight w:val="27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6F2759"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lastRenderedPageBreak/>
              <w:t>Finančný majetok, akcie a cenné papiere</w:t>
            </w:r>
          </w:p>
        </w:tc>
        <w:tc>
          <w:tcPr>
            <w:tcW w:w="1600" w:type="dxa"/>
            <w:tcBorders>
              <w:top w:val="single" w:sz="8" w:space="0" w:color="auto"/>
              <w:left w:val="nil"/>
              <w:bottom w:val="nil"/>
              <w:right w:val="single" w:sz="4" w:space="0" w:color="auto"/>
            </w:tcBorders>
            <w:shd w:val="clear" w:color="auto" w:fill="auto"/>
            <w:noWrap/>
            <w:vAlign w:val="bottom"/>
          </w:tcPr>
          <w:p w14:paraId="364549CA"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5 080 794,00</w:t>
            </w:r>
          </w:p>
        </w:tc>
        <w:tc>
          <w:tcPr>
            <w:tcW w:w="2140" w:type="dxa"/>
            <w:tcBorders>
              <w:top w:val="single" w:sz="8" w:space="0" w:color="auto"/>
              <w:left w:val="nil"/>
              <w:bottom w:val="nil"/>
              <w:right w:val="single" w:sz="8" w:space="0" w:color="auto"/>
            </w:tcBorders>
            <w:shd w:val="clear" w:color="auto" w:fill="auto"/>
            <w:noWrap/>
            <w:vAlign w:val="bottom"/>
          </w:tcPr>
          <w:p w14:paraId="1B2C96AA" w14:textId="77777777" w:rsidR="00665928" w:rsidRPr="00665928" w:rsidRDefault="006A4FDA"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4 393 103,00</w:t>
            </w:r>
          </w:p>
        </w:tc>
      </w:tr>
      <w:tr w:rsidR="00665928" w:rsidRPr="00665928" w14:paraId="35BA8BDC" w14:textId="77777777" w:rsidTr="006C3C88">
        <w:trPr>
          <w:trHeight w:val="270"/>
        </w:trPr>
        <w:tc>
          <w:tcPr>
            <w:tcW w:w="3760" w:type="dxa"/>
            <w:tcBorders>
              <w:top w:val="nil"/>
              <w:left w:val="single" w:sz="8" w:space="0" w:color="auto"/>
              <w:bottom w:val="single" w:sz="8" w:space="0" w:color="auto"/>
              <w:right w:val="nil"/>
            </w:tcBorders>
            <w:shd w:val="clear" w:color="auto" w:fill="auto"/>
            <w:noWrap/>
            <w:vAlign w:val="bottom"/>
          </w:tcPr>
          <w:p w14:paraId="4CDDB46B" w14:textId="77777777" w:rsidR="00665928" w:rsidRPr="00665928" w:rsidRDefault="00665928" w:rsidP="00665928">
            <w:pPr>
              <w:spacing w:after="0" w:line="240" w:lineRule="auto"/>
              <w:rPr>
                <w:rFonts w:ascii="Times New Roman" w:eastAsia="Times New Roman" w:hAnsi="Times New Roman" w:cs="Times New Roman"/>
                <w:b/>
                <w:sz w:val="20"/>
                <w:szCs w:val="20"/>
                <w:lang w:eastAsia="cs-CZ"/>
              </w:rPr>
            </w:pPr>
            <w:r w:rsidRPr="00665928">
              <w:rPr>
                <w:rFonts w:ascii="Times New Roman" w:eastAsia="Times New Roman" w:hAnsi="Times New Roman" w:cs="Times New Roman"/>
                <w:b/>
                <w:sz w:val="20"/>
                <w:szCs w:val="20"/>
                <w:lang w:eastAsia="cs-CZ"/>
              </w:rPr>
              <w:t>Majetok spolu</w:t>
            </w:r>
          </w:p>
        </w:tc>
        <w:tc>
          <w:tcPr>
            <w:tcW w:w="160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05F4403" w14:textId="77777777" w:rsidR="00665928" w:rsidRPr="00665928" w:rsidRDefault="004623A8" w:rsidP="00665928">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115 220 637,00</w:t>
            </w:r>
          </w:p>
        </w:tc>
        <w:tc>
          <w:tcPr>
            <w:tcW w:w="2140" w:type="dxa"/>
            <w:tcBorders>
              <w:top w:val="single" w:sz="8" w:space="0" w:color="auto"/>
              <w:left w:val="nil"/>
              <w:bottom w:val="single" w:sz="8" w:space="0" w:color="auto"/>
              <w:right w:val="single" w:sz="8" w:space="0" w:color="auto"/>
            </w:tcBorders>
            <w:shd w:val="clear" w:color="auto" w:fill="auto"/>
            <w:noWrap/>
            <w:vAlign w:val="bottom"/>
          </w:tcPr>
          <w:p w14:paraId="11C10A73" w14:textId="77777777" w:rsidR="00665928" w:rsidRPr="00665928" w:rsidRDefault="004623A8" w:rsidP="00665928">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86 958 642,00</w:t>
            </w:r>
          </w:p>
        </w:tc>
      </w:tr>
    </w:tbl>
    <w:p w14:paraId="50944599" w14:textId="77777777" w:rsidR="00466EEB" w:rsidRPr="00665928" w:rsidRDefault="00466EEB" w:rsidP="00466EEB">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Zdroj: PHSR obcí a miest kopaničiarskeho regiónu</w:t>
      </w:r>
      <w:r>
        <w:rPr>
          <w:rFonts w:ascii="Times New Roman" w:hAnsi="Times New Roman" w:cs="Times New Roman"/>
          <w:b/>
          <w:sz w:val="20"/>
          <w:szCs w:val="20"/>
        </w:rPr>
        <w:t xml:space="preserve"> pre roky 2016 - 2020</w:t>
      </w:r>
    </w:p>
    <w:p w14:paraId="633ECDC8" w14:textId="77777777" w:rsidR="00EC62F5" w:rsidRPr="00EC62F5" w:rsidRDefault="00DC579E" w:rsidP="00EC62F5">
      <w:pPr>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EC62F5" w:rsidRPr="00321594">
        <w:rPr>
          <w:rFonts w:ascii="Times New Roman" w:hAnsi="Times New Roman" w:cs="Times New Roman"/>
          <w:sz w:val="24"/>
          <w:szCs w:val="24"/>
        </w:rPr>
        <w:t xml:space="preserve">Za posledných 5 rokov obce Kopaničiarskeho regiónu preinvestovali celkovo </w:t>
      </w:r>
      <w:r>
        <w:rPr>
          <w:rFonts w:ascii="Times New Roman" w:hAnsi="Times New Roman" w:cs="Times New Roman"/>
          <w:sz w:val="24"/>
          <w:szCs w:val="24"/>
        </w:rPr>
        <w:t>23 341 849,00</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w:t>
      </w:r>
      <w:r w:rsidR="00EC62F5" w:rsidRPr="00EC62F5">
        <w:rPr>
          <w:rFonts w:ascii="Times New Roman" w:hAnsi="Times New Roman" w:cs="Times New Roman"/>
          <w:sz w:val="24"/>
          <w:szCs w:val="24"/>
        </w:rPr>
        <w:t>. Z</w:t>
      </w:r>
      <w:r>
        <w:rPr>
          <w:rFonts w:ascii="Times New Roman" w:hAnsi="Times New Roman" w:cs="Times New Roman"/>
          <w:sz w:val="24"/>
          <w:szCs w:val="24"/>
        </w:rPr>
        <w:t> </w:t>
      </w:r>
      <w:r w:rsidR="00EC62F5" w:rsidRPr="00EC62F5">
        <w:rPr>
          <w:rFonts w:ascii="Times New Roman" w:hAnsi="Times New Roman" w:cs="Times New Roman"/>
          <w:sz w:val="24"/>
          <w:szCs w:val="24"/>
        </w:rPr>
        <w:t>toho</w:t>
      </w:r>
      <w:r>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najviac činili zdroje z EÚ a to vyše </w:t>
      </w:r>
      <w:r>
        <w:rPr>
          <w:rFonts w:ascii="Times New Roman" w:hAnsi="Times New Roman" w:cs="Times New Roman"/>
          <w:sz w:val="24"/>
          <w:szCs w:val="24"/>
        </w:rPr>
        <w:t>9</w:t>
      </w:r>
      <w:r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a vlastné zdroje vo výške vyše </w:t>
      </w:r>
      <w:r>
        <w:rPr>
          <w:rFonts w:ascii="Times New Roman" w:hAnsi="Times New Roman" w:cs="Times New Roman"/>
          <w:sz w:val="24"/>
          <w:szCs w:val="24"/>
        </w:rPr>
        <w:t>8,7</w:t>
      </w:r>
      <w:r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Najmenej boli náklady projektov financované z bankových zdrojov (iba vyše </w:t>
      </w:r>
      <w:r>
        <w:rPr>
          <w:rFonts w:ascii="Times New Roman" w:hAnsi="Times New Roman" w:cs="Times New Roman"/>
          <w:sz w:val="24"/>
          <w:szCs w:val="24"/>
        </w:rPr>
        <w:t>83</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tis</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Podľa druhu investície sa najviac investovalo do miestnych komunikácií a verejných priestranstiev (vyše </w:t>
      </w:r>
      <w:r>
        <w:rPr>
          <w:rFonts w:ascii="Times New Roman" w:hAnsi="Times New Roman" w:cs="Times New Roman"/>
          <w:sz w:val="24"/>
          <w:szCs w:val="24"/>
        </w:rPr>
        <w:t>7</w:t>
      </w:r>
      <w:r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a do oblasti školstva a športu (vyše </w:t>
      </w:r>
      <w:r>
        <w:rPr>
          <w:rFonts w:ascii="Times New Roman" w:hAnsi="Times New Roman" w:cs="Times New Roman"/>
          <w:sz w:val="24"/>
          <w:szCs w:val="24"/>
        </w:rPr>
        <w:t>4</w:t>
      </w:r>
      <w:r w:rsidR="00EC62F5" w:rsidRPr="00EC62F5">
        <w:rPr>
          <w:rFonts w:ascii="Times New Roman" w:hAnsi="Times New Roman" w:cs="Times New Roman"/>
          <w:sz w:val="24"/>
          <w:szCs w:val="24"/>
        </w:rPr>
        <w:t xml:space="preserve"> mil.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kde väčšinu investícií predstavovala rekonštrukcia školských zariadení. Naopak najmenej sa investovalo do rekonštrukcie domov smútku a infraštruktúry na cintorínoch a v plynofikácií obcí (obe vyše </w:t>
      </w:r>
      <w:r>
        <w:rPr>
          <w:rFonts w:ascii="Times New Roman" w:hAnsi="Times New Roman" w:cs="Times New Roman"/>
          <w:sz w:val="24"/>
          <w:szCs w:val="24"/>
        </w:rPr>
        <w:t>100</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tis</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w:t>
      </w:r>
      <w:r w:rsidR="00EC62F5" w:rsidRPr="00EC62F5">
        <w:rPr>
          <w:rFonts w:ascii="Times New Roman" w:hAnsi="Times New Roman" w:cs="Times New Roman"/>
          <w:sz w:val="24"/>
          <w:szCs w:val="24"/>
        </w:rPr>
        <w:t xml:space="preserve">). Prehľad o investíciách v Kopaničiarskom regióne za posledných 5 rokov dokumentuje tabuľka </w:t>
      </w:r>
      <w:r w:rsidR="00E95829">
        <w:rPr>
          <w:rFonts w:ascii="Times New Roman" w:hAnsi="Times New Roman" w:cs="Times New Roman"/>
          <w:sz w:val="24"/>
          <w:szCs w:val="24"/>
        </w:rPr>
        <w:t>3</w:t>
      </w:r>
      <w:r w:rsidR="00EC62F5" w:rsidRPr="00EC62F5">
        <w:rPr>
          <w:rFonts w:ascii="Times New Roman" w:hAnsi="Times New Roman" w:cs="Times New Roman"/>
          <w:sz w:val="24"/>
          <w:szCs w:val="24"/>
        </w:rPr>
        <w:t>.</w:t>
      </w:r>
      <w:r w:rsidR="00E95829">
        <w:rPr>
          <w:rFonts w:ascii="Times New Roman" w:hAnsi="Times New Roman" w:cs="Times New Roman"/>
          <w:sz w:val="24"/>
          <w:szCs w:val="24"/>
        </w:rPr>
        <w:t>1.23.</w:t>
      </w:r>
      <w:r w:rsidR="00EC62F5" w:rsidRPr="00EC62F5">
        <w:rPr>
          <w:rFonts w:ascii="Times New Roman" w:hAnsi="Times New Roman" w:cs="Times New Roman"/>
          <w:sz w:val="24"/>
          <w:szCs w:val="24"/>
        </w:rPr>
        <w:t xml:space="preserve"> </w:t>
      </w:r>
    </w:p>
    <w:p w14:paraId="7B694B44" w14:textId="77777777" w:rsidR="00EC62F5" w:rsidRPr="00665928" w:rsidRDefault="00EC62F5" w:rsidP="00EC62F5">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 xml:space="preserve">Tabuľka </w:t>
      </w:r>
      <w:r w:rsidR="00E95829">
        <w:rPr>
          <w:rFonts w:ascii="Times New Roman" w:hAnsi="Times New Roman" w:cs="Times New Roman"/>
          <w:b/>
          <w:sz w:val="20"/>
          <w:szCs w:val="20"/>
        </w:rPr>
        <w:t>3.1.23</w:t>
      </w:r>
      <w:r w:rsidRPr="00665928">
        <w:rPr>
          <w:rFonts w:ascii="Times New Roman" w:hAnsi="Times New Roman" w:cs="Times New Roman"/>
          <w:b/>
          <w:sz w:val="20"/>
          <w:szCs w:val="20"/>
        </w:rPr>
        <w:t xml:space="preserve"> Investičné aktivity obcí Kopaničiarskeho regiónu za posledných 5 rokov (v </w:t>
      </w:r>
      <w:r w:rsidR="00665928">
        <w:rPr>
          <w:rFonts w:ascii="Times New Roman" w:hAnsi="Times New Roman" w:cs="Times New Roman"/>
          <w:b/>
          <w:sz w:val="20"/>
          <w:szCs w:val="20"/>
        </w:rPr>
        <w:t>EUR</w:t>
      </w:r>
      <w:r w:rsidRPr="00665928">
        <w:rPr>
          <w:rFonts w:ascii="Times New Roman" w:hAnsi="Times New Roman" w:cs="Times New Roman"/>
          <w:b/>
          <w:sz w:val="20"/>
          <w:szCs w:val="20"/>
        </w:rPr>
        <w:t>)</w:t>
      </w:r>
    </w:p>
    <w:tbl>
      <w:tblPr>
        <w:tblW w:w="8835" w:type="dxa"/>
        <w:tblInd w:w="55" w:type="dxa"/>
        <w:tblLayout w:type="fixed"/>
        <w:tblCellMar>
          <w:left w:w="70" w:type="dxa"/>
          <w:right w:w="70" w:type="dxa"/>
        </w:tblCellMar>
        <w:tblLook w:val="0000" w:firstRow="0" w:lastRow="0" w:firstColumn="0" w:lastColumn="0" w:noHBand="0" w:noVBand="0"/>
      </w:tblPr>
      <w:tblGrid>
        <w:gridCol w:w="1971"/>
        <w:gridCol w:w="1424"/>
        <w:gridCol w:w="1346"/>
        <w:gridCol w:w="1424"/>
        <w:gridCol w:w="1246"/>
        <w:gridCol w:w="1424"/>
      </w:tblGrid>
      <w:tr w:rsidR="00665928" w:rsidRPr="00665928" w14:paraId="2601DC58" w14:textId="77777777" w:rsidTr="00665928">
        <w:trPr>
          <w:trHeight w:val="300"/>
        </w:trPr>
        <w:tc>
          <w:tcPr>
            <w:tcW w:w="1971"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14:paraId="11797933"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Obec - Názov projektu (druh investície)</w:t>
            </w:r>
          </w:p>
        </w:tc>
        <w:tc>
          <w:tcPr>
            <w:tcW w:w="6864" w:type="dxa"/>
            <w:gridSpan w:val="5"/>
            <w:tcBorders>
              <w:top w:val="single" w:sz="8" w:space="0" w:color="auto"/>
              <w:left w:val="nil"/>
              <w:bottom w:val="single" w:sz="8" w:space="0" w:color="auto"/>
              <w:right w:val="single" w:sz="8" w:space="0" w:color="000000"/>
            </w:tcBorders>
            <w:shd w:val="clear" w:color="auto" w:fill="D9D9D9"/>
            <w:vAlign w:val="center"/>
          </w:tcPr>
          <w:p w14:paraId="7C2B58FD"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Náklady projektu (</w:t>
            </w:r>
            <w:r w:rsidR="000100AE">
              <w:rPr>
                <w:rFonts w:ascii="Times New Roman" w:eastAsia="Times New Roman" w:hAnsi="Times New Roman" w:cs="Times New Roman"/>
                <w:b/>
                <w:bCs/>
                <w:sz w:val="20"/>
                <w:szCs w:val="20"/>
                <w:lang w:eastAsia="cs-CZ"/>
              </w:rPr>
              <w:t>€</w:t>
            </w:r>
            <w:r w:rsidRPr="00665928">
              <w:rPr>
                <w:rFonts w:ascii="Times New Roman" w:eastAsia="Times New Roman" w:hAnsi="Times New Roman" w:cs="Times New Roman"/>
                <w:b/>
                <w:bCs/>
                <w:sz w:val="20"/>
                <w:szCs w:val="20"/>
                <w:lang w:eastAsia="cs-CZ"/>
              </w:rPr>
              <w:t>)</w:t>
            </w:r>
          </w:p>
        </w:tc>
      </w:tr>
      <w:tr w:rsidR="00665928" w:rsidRPr="00665928" w14:paraId="22D409E3" w14:textId="77777777" w:rsidTr="00665928">
        <w:trPr>
          <w:trHeight w:val="555"/>
        </w:trPr>
        <w:tc>
          <w:tcPr>
            <w:tcW w:w="1971" w:type="dxa"/>
            <w:vMerge/>
            <w:tcBorders>
              <w:top w:val="single" w:sz="8" w:space="0" w:color="auto"/>
              <w:left w:val="single" w:sz="8" w:space="0" w:color="auto"/>
              <w:bottom w:val="single" w:sz="8" w:space="0" w:color="auto"/>
              <w:right w:val="single" w:sz="8" w:space="0" w:color="auto"/>
            </w:tcBorders>
            <w:shd w:val="clear" w:color="auto" w:fill="D9D9D9"/>
            <w:vAlign w:val="center"/>
          </w:tcPr>
          <w:p w14:paraId="306EEE51" w14:textId="77777777" w:rsidR="00665928" w:rsidRPr="00665928" w:rsidRDefault="00665928" w:rsidP="00665928">
            <w:pPr>
              <w:spacing w:after="0" w:line="240" w:lineRule="auto"/>
              <w:rPr>
                <w:rFonts w:ascii="Times New Roman" w:eastAsia="Times New Roman" w:hAnsi="Times New Roman" w:cs="Times New Roman"/>
                <w:b/>
                <w:bCs/>
                <w:sz w:val="20"/>
                <w:szCs w:val="20"/>
                <w:lang w:eastAsia="cs-CZ"/>
              </w:rPr>
            </w:pPr>
          </w:p>
        </w:tc>
        <w:tc>
          <w:tcPr>
            <w:tcW w:w="1424" w:type="dxa"/>
            <w:tcBorders>
              <w:top w:val="nil"/>
              <w:left w:val="nil"/>
              <w:bottom w:val="single" w:sz="8" w:space="0" w:color="auto"/>
              <w:right w:val="single" w:sz="8" w:space="0" w:color="auto"/>
            </w:tcBorders>
            <w:shd w:val="clear" w:color="auto" w:fill="D9D9D9"/>
            <w:vAlign w:val="center"/>
          </w:tcPr>
          <w:p w14:paraId="2AB964CE"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Vlastné náklady</w:t>
            </w:r>
          </w:p>
        </w:tc>
        <w:tc>
          <w:tcPr>
            <w:tcW w:w="1346" w:type="dxa"/>
            <w:tcBorders>
              <w:top w:val="nil"/>
              <w:left w:val="nil"/>
              <w:bottom w:val="single" w:sz="8" w:space="0" w:color="auto"/>
              <w:right w:val="single" w:sz="8" w:space="0" w:color="auto"/>
            </w:tcBorders>
            <w:shd w:val="clear" w:color="auto" w:fill="D9D9D9"/>
            <w:vAlign w:val="center"/>
          </w:tcPr>
          <w:p w14:paraId="255D0256"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Štátny rozpočet</w:t>
            </w:r>
          </w:p>
        </w:tc>
        <w:tc>
          <w:tcPr>
            <w:tcW w:w="1424" w:type="dxa"/>
            <w:tcBorders>
              <w:top w:val="nil"/>
              <w:left w:val="nil"/>
              <w:bottom w:val="single" w:sz="8" w:space="0" w:color="auto"/>
              <w:right w:val="single" w:sz="8" w:space="0" w:color="auto"/>
            </w:tcBorders>
            <w:shd w:val="clear" w:color="auto" w:fill="D9D9D9"/>
            <w:vAlign w:val="center"/>
          </w:tcPr>
          <w:p w14:paraId="7C2F6C5D"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Zdroje EÚ</w:t>
            </w:r>
          </w:p>
        </w:tc>
        <w:tc>
          <w:tcPr>
            <w:tcW w:w="1246" w:type="dxa"/>
            <w:tcBorders>
              <w:top w:val="nil"/>
              <w:left w:val="nil"/>
              <w:bottom w:val="single" w:sz="8" w:space="0" w:color="auto"/>
              <w:right w:val="single" w:sz="8" w:space="0" w:color="auto"/>
            </w:tcBorders>
            <w:shd w:val="clear" w:color="auto" w:fill="D9D9D9"/>
            <w:vAlign w:val="center"/>
          </w:tcPr>
          <w:p w14:paraId="425D24CB"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Bankové zdroje/úvery</w:t>
            </w:r>
          </w:p>
        </w:tc>
        <w:tc>
          <w:tcPr>
            <w:tcW w:w="1424" w:type="dxa"/>
            <w:tcBorders>
              <w:top w:val="nil"/>
              <w:left w:val="nil"/>
              <w:bottom w:val="single" w:sz="8" w:space="0" w:color="auto"/>
              <w:right w:val="single" w:sz="8" w:space="0" w:color="auto"/>
            </w:tcBorders>
            <w:shd w:val="clear" w:color="auto" w:fill="D9D9D9"/>
            <w:vAlign w:val="center"/>
          </w:tcPr>
          <w:p w14:paraId="0A596713"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Iné zdroje</w:t>
            </w:r>
          </w:p>
        </w:tc>
      </w:tr>
      <w:tr w:rsidR="00665928" w:rsidRPr="00665928" w14:paraId="444D1F3D" w14:textId="77777777" w:rsidTr="00665928">
        <w:trPr>
          <w:trHeight w:val="255"/>
        </w:trPr>
        <w:tc>
          <w:tcPr>
            <w:tcW w:w="1971"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14:paraId="3B8C15F8"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Miestne komunikácie a verejné priestranstvá</w:t>
            </w:r>
          </w:p>
        </w:tc>
        <w:tc>
          <w:tcPr>
            <w:tcW w:w="142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8339008" w14:textId="77777777" w:rsidR="00665928" w:rsidRPr="00665928" w:rsidRDefault="00312EB4"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5 005 651,00</w:t>
            </w:r>
          </w:p>
        </w:tc>
        <w:tc>
          <w:tcPr>
            <w:tcW w:w="134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D293A94" w14:textId="77777777" w:rsidR="00665928" w:rsidRPr="00665928" w:rsidRDefault="00312EB4"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380 389,00</w:t>
            </w:r>
          </w:p>
        </w:tc>
        <w:tc>
          <w:tcPr>
            <w:tcW w:w="142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B91807"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1 262 542,00</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4DBC3B2"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DEF66F1"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1 067 756,00</w:t>
            </w:r>
          </w:p>
        </w:tc>
      </w:tr>
      <w:tr w:rsidR="00665928" w:rsidRPr="00665928" w14:paraId="170B8515" w14:textId="77777777" w:rsidTr="00665928">
        <w:trPr>
          <w:trHeight w:val="270"/>
        </w:trPr>
        <w:tc>
          <w:tcPr>
            <w:tcW w:w="1971" w:type="dxa"/>
            <w:vMerge/>
            <w:tcBorders>
              <w:top w:val="single" w:sz="8" w:space="0" w:color="auto"/>
              <w:left w:val="single" w:sz="8" w:space="0" w:color="auto"/>
              <w:bottom w:val="single" w:sz="8" w:space="0" w:color="auto"/>
              <w:right w:val="single" w:sz="8" w:space="0" w:color="auto"/>
            </w:tcBorders>
            <w:vAlign w:val="center"/>
          </w:tcPr>
          <w:p w14:paraId="5DB45262"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424" w:type="dxa"/>
            <w:vMerge/>
            <w:tcBorders>
              <w:top w:val="single" w:sz="8" w:space="0" w:color="auto"/>
              <w:left w:val="single" w:sz="8" w:space="0" w:color="auto"/>
              <w:bottom w:val="single" w:sz="8" w:space="0" w:color="auto"/>
              <w:right w:val="single" w:sz="8" w:space="0" w:color="auto"/>
            </w:tcBorders>
            <w:vAlign w:val="center"/>
          </w:tcPr>
          <w:p w14:paraId="69C950AA"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346" w:type="dxa"/>
            <w:vMerge/>
            <w:tcBorders>
              <w:top w:val="single" w:sz="8" w:space="0" w:color="auto"/>
              <w:left w:val="single" w:sz="8" w:space="0" w:color="auto"/>
              <w:bottom w:val="single" w:sz="8" w:space="0" w:color="auto"/>
              <w:right w:val="single" w:sz="8" w:space="0" w:color="auto"/>
            </w:tcBorders>
            <w:vAlign w:val="center"/>
          </w:tcPr>
          <w:p w14:paraId="6B288C81"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424" w:type="dxa"/>
            <w:vMerge/>
            <w:tcBorders>
              <w:top w:val="single" w:sz="8" w:space="0" w:color="auto"/>
              <w:left w:val="single" w:sz="8" w:space="0" w:color="auto"/>
              <w:bottom w:val="single" w:sz="8" w:space="0" w:color="auto"/>
              <w:right w:val="single" w:sz="8" w:space="0" w:color="auto"/>
            </w:tcBorders>
            <w:vAlign w:val="center"/>
          </w:tcPr>
          <w:p w14:paraId="0DA32FA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246" w:type="dxa"/>
            <w:vMerge/>
            <w:tcBorders>
              <w:top w:val="single" w:sz="8" w:space="0" w:color="auto"/>
              <w:left w:val="single" w:sz="8" w:space="0" w:color="auto"/>
              <w:bottom w:val="single" w:sz="8" w:space="0" w:color="auto"/>
              <w:right w:val="single" w:sz="8" w:space="0" w:color="auto"/>
            </w:tcBorders>
            <w:vAlign w:val="center"/>
          </w:tcPr>
          <w:p w14:paraId="48678D4E"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424" w:type="dxa"/>
            <w:vMerge/>
            <w:tcBorders>
              <w:top w:val="single" w:sz="8" w:space="0" w:color="auto"/>
              <w:left w:val="single" w:sz="8" w:space="0" w:color="auto"/>
              <w:bottom w:val="single" w:sz="8" w:space="0" w:color="auto"/>
              <w:right w:val="single" w:sz="8" w:space="0" w:color="auto"/>
            </w:tcBorders>
            <w:vAlign w:val="center"/>
          </w:tcPr>
          <w:p w14:paraId="47A4C44C"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r>
      <w:tr w:rsidR="00665928" w:rsidRPr="00665928" w14:paraId="2AB45C96" w14:textId="77777777" w:rsidTr="00665928">
        <w:trPr>
          <w:trHeight w:val="270"/>
        </w:trPr>
        <w:tc>
          <w:tcPr>
            <w:tcW w:w="197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FD3891"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Vodovod</w:t>
            </w:r>
          </w:p>
        </w:tc>
        <w:tc>
          <w:tcPr>
            <w:tcW w:w="1424" w:type="dxa"/>
            <w:tcBorders>
              <w:top w:val="single" w:sz="8" w:space="0" w:color="auto"/>
              <w:left w:val="nil"/>
              <w:bottom w:val="single" w:sz="8" w:space="0" w:color="auto"/>
              <w:right w:val="single" w:sz="8" w:space="0" w:color="auto"/>
            </w:tcBorders>
            <w:shd w:val="clear" w:color="auto" w:fill="auto"/>
            <w:noWrap/>
            <w:vAlign w:val="bottom"/>
          </w:tcPr>
          <w:p w14:paraId="206FE686"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93 298,00</w:t>
            </w:r>
          </w:p>
        </w:tc>
        <w:tc>
          <w:tcPr>
            <w:tcW w:w="1346" w:type="dxa"/>
            <w:tcBorders>
              <w:top w:val="single" w:sz="8" w:space="0" w:color="auto"/>
              <w:left w:val="nil"/>
              <w:bottom w:val="single" w:sz="8" w:space="0" w:color="auto"/>
              <w:right w:val="single" w:sz="8" w:space="0" w:color="auto"/>
            </w:tcBorders>
            <w:shd w:val="clear" w:color="auto" w:fill="auto"/>
            <w:noWrap/>
            <w:vAlign w:val="bottom"/>
          </w:tcPr>
          <w:p w14:paraId="7FEB5FF8"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single" w:sz="8" w:space="0" w:color="auto"/>
              <w:left w:val="nil"/>
              <w:bottom w:val="single" w:sz="8" w:space="0" w:color="auto"/>
              <w:right w:val="single" w:sz="8" w:space="0" w:color="auto"/>
            </w:tcBorders>
            <w:shd w:val="clear" w:color="auto" w:fill="auto"/>
            <w:noWrap/>
            <w:vAlign w:val="bottom"/>
          </w:tcPr>
          <w:p w14:paraId="03CD9D44"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single" w:sz="8" w:space="0" w:color="auto"/>
              <w:left w:val="nil"/>
              <w:bottom w:val="single" w:sz="8" w:space="0" w:color="auto"/>
              <w:right w:val="single" w:sz="8" w:space="0" w:color="auto"/>
            </w:tcBorders>
            <w:shd w:val="clear" w:color="auto" w:fill="auto"/>
            <w:noWrap/>
            <w:vAlign w:val="bottom"/>
          </w:tcPr>
          <w:p w14:paraId="0216EA09"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single" w:sz="8" w:space="0" w:color="auto"/>
              <w:left w:val="nil"/>
              <w:bottom w:val="single" w:sz="8" w:space="0" w:color="auto"/>
              <w:right w:val="single" w:sz="8" w:space="0" w:color="auto"/>
            </w:tcBorders>
            <w:shd w:val="clear" w:color="auto" w:fill="auto"/>
            <w:noWrap/>
            <w:vAlign w:val="bottom"/>
          </w:tcPr>
          <w:p w14:paraId="441D14D1"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73 026,00</w:t>
            </w:r>
          </w:p>
        </w:tc>
      </w:tr>
      <w:tr w:rsidR="00665928" w:rsidRPr="00665928" w14:paraId="59705796"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6450BBFC"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Kanalizácia</w:t>
            </w:r>
          </w:p>
        </w:tc>
        <w:tc>
          <w:tcPr>
            <w:tcW w:w="1424" w:type="dxa"/>
            <w:tcBorders>
              <w:top w:val="nil"/>
              <w:left w:val="nil"/>
              <w:bottom w:val="single" w:sz="8" w:space="0" w:color="auto"/>
              <w:right w:val="single" w:sz="8" w:space="0" w:color="auto"/>
            </w:tcBorders>
            <w:shd w:val="clear" w:color="auto" w:fill="auto"/>
            <w:noWrap/>
            <w:vAlign w:val="bottom"/>
          </w:tcPr>
          <w:p w14:paraId="0848960E"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143 757,00</w:t>
            </w:r>
          </w:p>
        </w:tc>
        <w:tc>
          <w:tcPr>
            <w:tcW w:w="1346" w:type="dxa"/>
            <w:tcBorders>
              <w:top w:val="nil"/>
              <w:left w:val="nil"/>
              <w:bottom w:val="single" w:sz="8" w:space="0" w:color="auto"/>
              <w:right w:val="single" w:sz="8" w:space="0" w:color="auto"/>
            </w:tcBorders>
            <w:shd w:val="clear" w:color="auto" w:fill="auto"/>
            <w:noWrap/>
            <w:vAlign w:val="bottom"/>
          </w:tcPr>
          <w:p w14:paraId="63B152F4"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45 642,00</w:t>
            </w:r>
          </w:p>
        </w:tc>
        <w:tc>
          <w:tcPr>
            <w:tcW w:w="1424" w:type="dxa"/>
            <w:tcBorders>
              <w:top w:val="nil"/>
              <w:left w:val="nil"/>
              <w:bottom w:val="single" w:sz="8" w:space="0" w:color="auto"/>
              <w:right w:val="single" w:sz="8" w:space="0" w:color="auto"/>
            </w:tcBorders>
            <w:shd w:val="clear" w:color="auto" w:fill="auto"/>
            <w:noWrap/>
            <w:vAlign w:val="bottom"/>
          </w:tcPr>
          <w:p w14:paraId="24C83980"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562 771,00</w:t>
            </w:r>
          </w:p>
        </w:tc>
        <w:tc>
          <w:tcPr>
            <w:tcW w:w="1246" w:type="dxa"/>
            <w:tcBorders>
              <w:top w:val="nil"/>
              <w:left w:val="nil"/>
              <w:bottom w:val="single" w:sz="8" w:space="0" w:color="auto"/>
              <w:right w:val="single" w:sz="8" w:space="0" w:color="auto"/>
            </w:tcBorders>
            <w:shd w:val="clear" w:color="auto" w:fill="auto"/>
            <w:noWrap/>
            <w:vAlign w:val="bottom"/>
          </w:tcPr>
          <w:p w14:paraId="3052BBB1"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70F7471F"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501E9DDA"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45DD01EA"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Plynofikácia</w:t>
            </w:r>
          </w:p>
        </w:tc>
        <w:tc>
          <w:tcPr>
            <w:tcW w:w="1424" w:type="dxa"/>
            <w:tcBorders>
              <w:top w:val="nil"/>
              <w:left w:val="nil"/>
              <w:bottom w:val="single" w:sz="8" w:space="0" w:color="auto"/>
              <w:right w:val="single" w:sz="8" w:space="0" w:color="auto"/>
            </w:tcBorders>
            <w:shd w:val="clear" w:color="auto" w:fill="auto"/>
            <w:noWrap/>
            <w:vAlign w:val="bottom"/>
          </w:tcPr>
          <w:p w14:paraId="4A9F417A"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52 214,00</w:t>
            </w:r>
          </w:p>
        </w:tc>
        <w:tc>
          <w:tcPr>
            <w:tcW w:w="1346" w:type="dxa"/>
            <w:tcBorders>
              <w:top w:val="nil"/>
              <w:left w:val="nil"/>
              <w:bottom w:val="single" w:sz="8" w:space="0" w:color="auto"/>
              <w:right w:val="single" w:sz="8" w:space="0" w:color="auto"/>
            </w:tcBorders>
            <w:shd w:val="clear" w:color="auto" w:fill="auto"/>
            <w:noWrap/>
            <w:vAlign w:val="bottom"/>
          </w:tcPr>
          <w:p w14:paraId="5A9FCC7F"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3F75028C"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06EF899B"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2E7EC37F"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38A663A4"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419A8F4F"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Bytová výstavba</w:t>
            </w:r>
          </w:p>
        </w:tc>
        <w:tc>
          <w:tcPr>
            <w:tcW w:w="1424" w:type="dxa"/>
            <w:tcBorders>
              <w:top w:val="nil"/>
              <w:left w:val="nil"/>
              <w:bottom w:val="single" w:sz="8" w:space="0" w:color="000000"/>
              <w:right w:val="nil"/>
            </w:tcBorders>
            <w:shd w:val="clear" w:color="auto" w:fill="auto"/>
            <w:noWrap/>
            <w:vAlign w:val="bottom"/>
          </w:tcPr>
          <w:p w14:paraId="61789EBE"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1 570 390,00</w:t>
            </w:r>
          </w:p>
        </w:tc>
        <w:tc>
          <w:tcPr>
            <w:tcW w:w="13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6EBF14"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704 265,00</w:t>
            </w:r>
          </w:p>
        </w:tc>
        <w:tc>
          <w:tcPr>
            <w:tcW w:w="1424" w:type="dxa"/>
            <w:tcBorders>
              <w:top w:val="nil"/>
              <w:left w:val="nil"/>
              <w:bottom w:val="single" w:sz="8" w:space="0" w:color="000000"/>
              <w:right w:val="single" w:sz="8" w:space="0" w:color="000000"/>
            </w:tcBorders>
            <w:shd w:val="clear" w:color="auto" w:fill="auto"/>
            <w:noWrap/>
            <w:vAlign w:val="bottom"/>
          </w:tcPr>
          <w:p w14:paraId="12A55D3A"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000000"/>
              <w:right w:val="single" w:sz="8" w:space="0" w:color="000000"/>
            </w:tcBorders>
            <w:shd w:val="clear" w:color="auto" w:fill="auto"/>
            <w:noWrap/>
            <w:vAlign w:val="bottom"/>
          </w:tcPr>
          <w:p w14:paraId="6CF63064"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000000"/>
              <w:right w:val="single" w:sz="8" w:space="0" w:color="auto"/>
            </w:tcBorders>
            <w:shd w:val="clear" w:color="auto" w:fill="auto"/>
            <w:noWrap/>
            <w:vAlign w:val="bottom"/>
          </w:tcPr>
          <w:p w14:paraId="3BAB609E"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565 700,00</w:t>
            </w:r>
          </w:p>
        </w:tc>
      </w:tr>
      <w:tr w:rsidR="00665928" w:rsidRPr="00665928" w14:paraId="2A020C1A" w14:textId="77777777" w:rsidTr="00665928">
        <w:trPr>
          <w:trHeight w:val="270"/>
        </w:trPr>
        <w:tc>
          <w:tcPr>
            <w:tcW w:w="1971" w:type="dxa"/>
            <w:tcBorders>
              <w:top w:val="nil"/>
              <w:left w:val="single" w:sz="8" w:space="0" w:color="auto"/>
              <w:bottom w:val="single" w:sz="8" w:space="0" w:color="000000"/>
              <w:right w:val="single" w:sz="8" w:space="0" w:color="000000"/>
            </w:tcBorders>
            <w:shd w:val="clear" w:color="auto" w:fill="auto"/>
            <w:noWrap/>
            <w:vAlign w:val="bottom"/>
          </w:tcPr>
          <w:p w14:paraId="6249670A"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Priemysel</w:t>
            </w:r>
          </w:p>
        </w:tc>
        <w:tc>
          <w:tcPr>
            <w:tcW w:w="1424" w:type="dxa"/>
            <w:tcBorders>
              <w:top w:val="nil"/>
              <w:left w:val="nil"/>
              <w:bottom w:val="single" w:sz="8" w:space="0" w:color="000000"/>
              <w:right w:val="single" w:sz="8" w:space="0" w:color="000000"/>
            </w:tcBorders>
            <w:shd w:val="clear" w:color="auto" w:fill="auto"/>
            <w:noWrap/>
            <w:vAlign w:val="bottom"/>
          </w:tcPr>
          <w:p w14:paraId="3502CA04"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174 852,00</w:t>
            </w:r>
          </w:p>
        </w:tc>
        <w:tc>
          <w:tcPr>
            <w:tcW w:w="1346" w:type="dxa"/>
            <w:tcBorders>
              <w:top w:val="nil"/>
              <w:left w:val="nil"/>
              <w:bottom w:val="single" w:sz="8" w:space="0" w:color="000000"/>
              <w:right w:val="single" w:sz="8" w:space="0" w:color="000000"/>
            </w:tcBorders>
            <w:shd w:val="clear" w:color="auto" w:fill="auto"/>
            <w:noWrap/>
            <w:vAlign w:val="bottom"/>
          </w:tcPr>
          <w:p w14:paraId="470CDE0F"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699 408,00</w:t>
            </w:r>
          </w:p>
        </w:tc>
        <w:tc>
          <w:tcPr>
            <w:tcW w:w="1424" w:type="dxa"/>
            <w:tcBorders>
              <w:top w:val="nil"/>
              <w:left w:val="nil"/>
              <w:bottom w:val="single" w:sz="8" w:space="0" w:color="000000"/>
              <w:right w:val="single" w:sz="8" w:space="0" w:color="000000"/>
            </w:tcBorders>
            <w:shd w:val="clear" w:color="auto" w:fill="auto"/>
            <w:noWrap/>
            <w:vAlign w:val="bottom"/>
          </w:tcPr>
          <w:p w14:paraId="53AFC0C9"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2 622 780,00</w:t>
            </w:r>
          </w:p>
        </w:tc>
        <w:tc>
          <w:tcPr>
            <w:tcW w:w="1246" w:type="dxa"/>
            <w:tcBorders>
              <w:top w:val="nil"/>
              <w:left w:val="nil"/>
              <w:bottom w:val="single" w:sz="8" w:space="0" w:color="000000"/>
              <w:right w:val="single" w:sz="8" w:space="0" w:color="000000"/>
            </w:tcBorders>
            <w:shd w:val="clear" w:color="auto" w:fill="auto"/>
            <w:noWrap/>
            <w:vAlign w:val="bottom"/>
          </w:tcPr>
          <w:p w14:paraId="1883C8F9"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000000"/>
              <w:right w:val="single" w:sz="8" w:space="0" w:color="auto"/>
            </w:tcBorders>
            <w:shd w:val="clear" w:color="auto" w:fill="auto"/>
            <w:noWrap/>
            <w:vAlign w:val="bottom"/>
          </w:tcPr>
          <w:p w14:paraId="12C1A5CB"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0C3EF250"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2B97137E"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Odpadové hospodárstvo</w:t>
            </w:r>
          </w:p>
        </w:tc>
        <w:tc>
          <w:tcPr>
            <w:tcW w:w="1424" w:type="dxa"/>
            <w:tcBorders>
              <w:top w:val="nil"/>
              <w:left w:val="nil"/>
              <w:bottom w:val="single" w:sz="8" w:space="0" w:color="auto"/>
              <w:right w:val="single" w:sz="8" w:space="0" w:color="auto"/>
            </w:tcBorders>
            <w:shd w:val="clear" w:color="auto" w:fill="auto"/>
            <w:noWrap/>
            <w:vAlign w:val="bottom"/>
          </w:tcPr>
          <w:p w14:paraId="5DD39EA4"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244 239,00</w:t>
            </w:r>
          </w:p>
        </w:tc>
        <w:tc>
          <w:tcPr>
            <w:tcW w:w="1346" w:type="dxa"/>
            <w:tcBorders>
              <w:top w:val="nil"/>
              <w:left w:val="nil"/>
              <w:bottom w:val="single" w:sz="8" w:space="0" w:color="auto"/>
              <w:right w:val="single" w:sz="8" w:space="0" w:color="auto"/>
            </w:tcBorders>
            <w:shd w:val="clear" w:color="auto" w:fill="auto"/>
            <w:noWrap/>
            <w:vAlign w:val="bottom"/>
          </w:tcPr>
          <w:p w14:paraId="1A79D990" w14:textId="77777777" w:rsidR="00665928" w:rsidRPr="00665928" w:rsidRDefault="00081FC8"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516 014,00</w:t>
            </w:r>
          </w:p>
        </w:tc>
        <w:tc>
          <w:tcPr>
            <w:tcW w:w="1424" w:type="dxa"/>
            <w:tcBorders>
              <w:top w:val="nil"/>
              <w:left w:val="nil"/>
              <w:bottom w:val="single" w:sz="8" w:space="0" w:color="auto"/>
              <w:right w:val="single" w:sz="8" w:space="0" w:color="auto"/>
            </w:tcBorders>
            <w:shd w:val="clear" w:color="auto" w:fill="auto"/>
            <w:noWrap/>
            <w:vAlign w:val="bottom"/>
          </w:tcPr>
          <w:p w14:paraId="4F9C36F0"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1 109 027,00</w:t>
            </w:r>
          </w:p>
        </w:tc>
        <w:tc>
          <w:tcPr>
            <w:tcW w:w="1246" w:type="dxa"/>
            <w:tcBorders>
              <w:top w:val="nil"/>
              <w:left w:val="nil"/>
              <w:bottom w:val="single" w:sz="8" w:space="0" w:color="auto"/>
              <w:right w:val="single" w:sz="8" w:space="0" w:color="auto"/>
            </w:tcBorders>
            <w:shd w:val="clear" w:color="auto" w:fill="auto"/>
            <w:noWrap/>
            <w:vAlign w:val="bottom"/>
          </w:tcPr>
          <w:p w14:paraId="36F475EC"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5B5CA551"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123 549,00</w:t>
            </w:r>
          </w:p>
        </w:tc>
      </w:tr>
      <w:tr w:rsidR="00665928" w:rsidRPr="00665928" w14:paraId="2561A721"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65E2B164"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Školstvo a šport</w:t>
            </w:r>
          </w:p>
        </w:tc>
        <w:tc>
          <w:tcPr>
            <w:tcW w:w="1424" w:type="dxa"/>
            <w:tcBorders>
              <w:top w:val="nil"/>
              <w:left w:val="nil"/>
              <w:bottom w:val="single" w:sz="8" w:space="0" w:color="auto"/>
              <w:right w:val="single" w:sz="8" w:space="0" w:color="auto"/>
            </w:tcBorders>
            <w:shd w:val="clear" w:color="auto" w:fill="auto"/>
            <w:noWrap/>
            <w:vAlign w:val="bottom"/>
          </w:tcPr>
          <w:p w14:paraId="44BC2A5C"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772 680,00</w:t>
            </w:r>
          </w:p>
        </w:tc>
        <w:tc>
          <w:tcPr>
            <w:tcW w:w="1346" w:type="dxa"/>
            <w:tcBorders>
              <w:top w:val="nil"/>
              <w:left w:val="nil"/>
              <w:bottom w:val="single" w:sz="8" w:space="0" w:color="auto"/>
              <w:right w:val="single" w:sz="8" w:space="0" w:color="auto"/>
            </w:tcBorders>
            <w:shd w:val="clear" w:color="auto" w:fill="auto"/>
            <w:noWrap/>
            <w:vAlign w:val="bottom"/>
          </w:tcPr>
          <w:p w14:paraId="01B1EDE2"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445 812,00</w:t>
            </w:r>
          </w:p>
        </w:tc>
        <w:tc>
          <w:tcPr>
            <w:tcW w:w="1424" w:type="dxa"/>
            <w:tcBorders>
              <w:top w:val="nil"/>
              <w:left w:val="nil"/>
              <w:bottom w:val="single" w:sz="8" w:space="0" w:color="auto"/>
              <w:right w:val="single" w:sz="8" w:space="0" w:color="auto"/>
            </w:tcBorders>
            <w:shd w:val="clear" w:color="auto" w:fill="auto"/>
            <w:noWrap/>
            <w:vAlign w:val="bottom"/>
          </w:tcPr>
          <w:p w14:paraId="21FF9E24"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3 110 183,00</w:t>
            </w:r>
          </w:p>
        </w:tc>
        <w:tc>
          <w:tcPr>
            <w:tcW w:w="1246" w:type="dxa"/>
            <w:tcBorders>
              <w:top w:val="nil"/>
              <w:left w:val="nil"/>
              <w:bottom w:val="single" w:sz="8" w:space="0" w:color="auto"/>
              <w:right w:val="single" w:sz="8" w:space="0" w:color="auto"/>
            </w:tcBorders>
            <w:shd w:val="clear" w:color="auto" w:fill="auto"/>
            <w:noWrap/>
            <w:vAlign w:val="bottom"/>
          </w:tcPr>
          <w:p w14:paraId="666296E8"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41 990,00</w:t>
            </w:r>
          </w:p>
        </w:tc>
        <w:tc>
          <w:tcPr>
            <w:tcW w:w="1424" w:type="dxa"/>
            <w:tcBorders>
              <w:top w:val="nil"/>
              <w:left w:val="nil"/>
              <w:bottom w:val="single" w:sz="8" w:space="0" w:color="auto"/>
              <w:right w:val="single" w:sz="8" w:space="0" w:color="auto"/>
            </w:tcBorders>
            <w:shd w:val="clear" w:color="auto" w:fill="auto"/>
            <w:noWrap/>
            <w:vAlign w:val="bottom"/>
          </w:tcPr>
          <w:p w14:paraId="6F442C3A"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11 717,00</w:t>
            </w:r>
          </w:p>
        </w:tc>
      </w:tr>
      <w:tr w:rsidR="00665928" w:rsidRPr="00665928" w14:paraId="587B5A9B"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2E5572C8"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Obecné a mestské úrady</w:t>
            </w:r>
          </w:p>
        </w:tc>
        <w:tc>
          <w:tcPr>
            <w:tcW w:w="1424" w:type="dxa"/>
            <w:tcBorders>
              <w:top w:val="nil"/>
              <w:left w:val="nil"/>
              <w:bottom w:val="single" w:sz="8" w:space="0" w:color="auto"/>
              <w:right w:val="single" w:sz="8" w:space="0" w:color="auto"/>
            </w:tcBorders>
            <w:shd w:val="clear" w:color="auto" w:fill="auto"/>
            <w:noWrap/>
            <w:vAlign w:val="bottom"/>
          </w:tcPr>
          <w:p w14:paraId="1F213BAC"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63 582,00</w:t>
            </w:r>
          </w:p>
        </w:tc>
        <w:tc>
          <w:tcPr>
            <w:tcW w:w="1346" w:type="dxa"/>
            <w:tcBorders>
              <w:top w:val="nil"/>
              <w:left w:val="nil"/>
              <w:bottom w:val="single" w:sz="8" w:space="0" w:color="auto"/>
              <w:right w:val="single" w:sz="8" w:space="0" w:color="auto"/>
            </w:tcBorders>
            <w:shd w:val="clear" w:color="auto" w:fill="auto"/>
            <w:noWrap/>
            <w:vAlign w:val="bottom"/>
          </w:tcPr>
          <w:p w14:paraId="58FB073B"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3 286,00</w:t>
            </w:r>
          </w:p>
        </w:tc>
        <w:tc>
          <w:tcPr>
            <w:tcW w:w="1424" w:type="dxa"/>
            <w:tcBorders>
              <w:top w:val="nil"/>
              <w:left w:val="nil"/>
              <w:bottom w:val="single" w:sz="8" w:space="0" w:color="auto"/>
              <w:right w:val="single" w:sz="8" w:space="0" w:color="auto"/>
            </w:tcBorders>
            <w:shd w:val="clear" w:color="auto" w:fill="auto"/>
            <w:noWrap/>
            <w:vAlign w:val="bottom"/>
          </w:tcPr>
          <w:p w14:paraId="315142CB"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157C2FDA"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58448A52"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592EB515"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0F4FDEF4"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Sociálna oblasť</w:t>
            </w:r>
          </w:p>
        </w:tc>
        <w:tc>
          <w:tcPr>
            <w:tcW w:w="1424" w:type="dxa"/>
            <w:tcBorders>
              <w:top w:val="nil"/>
              <w:left w:val="nil"/>
              <w:bottom w:val="single" w:sz="8" w:space="0" w:color="auto"/>
              <w:right w:val="single" w:sz="8" w:space="0" w:color="auto"/>
            </w:tcBorders>
            <w:shd w:val="clear" w:color="auto" w:fill="auto"/>
            <w:noWrap/>
            <w:vAlign w:val="bottom"/>
          </w:tcPr>
          <w:p w14:paraId="0628E6AC"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74 488,00</w:t>
            </w:r>
          </w:p>
        </w:tc>
        <w:tc>
          <w:tcPr>
            <w:tcW w:w="1346" w:type="dxa"/>
            <w:tcBorders>
              <w:top w:val="nil"/>
              <w:left w:val="nil"/>
              <w:bottom w:val="single" w:sz="8" w:space="0" w:color="auto"/>
              <w:right w:val="single" w:sz="8" w:space="0" w:color="auto"/>
            </w:tcBorders>
            <w:shd w:val="clear" w:color="auto" w:fill="auto"/>
            <w:noWrap/>
            <w:vAlign w:val="bottom"/>
          </w:tcPr>
          <w:p w14:paraId="6A261884"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46 935,00</w:t>
            </w:r>
          </w:p>
        </w:tc>
        <w:tc>
          <w:tcPr>
            <w:tcW w:w="1424" w:type="dxa"/>
            <w:tcBorders>
              <w:top w:val="nil"/>
              <w:left w:val="nil"/>
              <w:bottom w:val="single" w:sz="8" w:space="0" w:color="auto"/>
              <w:right w:val="single" w:sz="8" w:space="0" w:color="auto"/>
            </w:tcBorders>
            <w:shd w:val="clear" w:color="auto" w:fill="auto"/>
            <w:noWrap/>
            <w:vAlign w:val="bottom"/>
          </w:tcPr>
          <w:p w14:paraId="52877D75"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140 403,00</w:t>
            </w:r>
          </w:p>
        </w:tc>
        <w:tc>
          <w:tcPr>
            <w:tcW w:w="1246" w:type="dxa"/>
            <w:tcBorders>
              <w:top w:val="nil"/>
              <w:left w:val="nil"/>
              <w:bottom w:val="single" w:sz="8" w:space="0" w:color="auto"/>
              <w:right w:val="single" w:sz="8" w:space="0" w:color="auto"/>
            </w:tcBorders>
            <w:shd w:val="clear" w:color="auto" w:fill="auto"/>
            <w:noWrap/>
            <w:vAlign w:val="bottom"/>
          </w:tcPr>
          <w:p w14:paraId="32E4D4DC"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41 260,00</w:t>
            </w:r>
          </w:p>
        </w:tc>
        <w:tc>
          <w:tcPr>
            <w:tcW w:w="1424" w:type="dxa"/>
            <w:tcBorders>
              <w:top w:val="nil"/>
              <w:left w:val="nil"/>
              <w:bottom w:val="single" w:sz="8" w:space="0" w:color="auto"/>
              <w:right w:val="single" w:sz="8" w:space="0" w:color="auto"/>
            </w:tcBorders>
            <w:shd w:val="clear" w:color="auto" w:fill="auto"/>
            <w:noWrap/>
            <w:vAlign w:val="bottom"/>
          </w:tcPr>
          <w:p w14:paraId="0FC6D038"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6B32D1B0"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6FE5BE11"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Domy smútku</w:t>
            </w:r>
          </w:p>
        </w:tc>
        <w:tc>
          <w:tcPr>
            <w:tcW w:w="1424" w:type="dxa"/>
            <w:tcBorders>
              <w:top w:val="nil"/>
              <w:left w:val="nil"/>
              <w:bottom w:val="single" w:sz="8" w:space="0" w:color="auto"/>
              <w:right w:val="single" w:sz="8" w:space="0" w:color="auto"/>
            </w:tcBorders>
            <w:shd w:val="clear" w:color="auto" w:fill="auto"/>
            <w:noWrap/>
            <w:vAlign w:val="bottom"/>
          </w:tcPr>
          <w:p w14:paraId="5BB99167"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32 223,00</w:t>
            </w:r>
          </w:p>
        </w:tc>
        <w:tc>
          <w:tcPr>
            <w:tcW w:w="1346" w:type="dxa"/>
            <w:tcBorders>
              <w:top w:val="nil"/>
              <w:left w:val="nil"/>
              <w:bottom w:val="single" w:sz="8" w:space="0" w:color="auto"/>
              <w:right w:val="single" w:sz="8" w:space="0" w:color="auto"/>
            </w:tcBorders>
            <w:shd w:val="clear" w:color="auto" w:fill="auto"/>
            <w:noWrap/>
            <w:vAlign w:val="bottom"/>
          </w:tcPr>
          <w:p w14:paraId="790C06BD"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21 910,00</w:t>
            </w:r>
          </w:p>
        </w:tc>
        <w:tc>
          <w:tcPr>
            <w:tcW w:w="1424" w:type="dxa"/>
            <w:tcBorders>
              <w:top w:val="nil"/>
              <w:left w:val="nil"/>
              <w:bottom w:val="single" w:sz="8" w:space="0" w:color="auto"/>
              <w:right w:val="single" w:sz="8" w:space="0" w:color="auto"/>
            </w:tcBorders>
            <w:shd w:val="clear" w:color="auto" w:fill="auto"/>
            <w:noWrap/>
            <w:vAlign w:val="bottom"/>
          </w:tcPr>
          <w:p w14:paraId="5D6B7732"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7EC8A0C9"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71CD473D"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1E4FA8F4"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17A347BF"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Osvetlenie</w:t>
            </w:r>
          </w:p>
        </w:tc>
        <w:tc>
          <w:tcPr>
            <w:tcW w:w="1424" w:type="dxa"/>
            <w:tcBorders>
              <w:top w:val="nil"/>
              <w:left w:val="nil"/>
              <w:bottom w:val="single" w:sz="8" w:space="0" w:color="auto"/>
              <w:right w:val="single" w:sz="8" w:space="0" w:color="auto"/>
            </w:tcBorders>
            <w:shd w:val="clear" w:color="auto" w:fill="auto"/>
            <w:noWrap/>
            <w:vAlign w:val="bottom"/>
          </w:tcPr>
          <w:p w14:paraId="6E043922"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134 890,00</w:t>
            </w:r>
          </w:p>
        </w:tc>
        <w:tc>
          <w:tcPr>
            <w:tcW w:w="1346" w:type="dxa"/>
            <w:tcBorders>
              <w:top w:val="nil"/>
              <w:left w:val="nil"/>
              <w:bottom w:val="single" w:sz="8" w:space="0" w:color="auto"/>
              <w:right w:val="single" w:sz="8" w:space="0" w:color="auto"/>
            </w:tcBorders>
            <w:shd w:val="clear" w:color="auto" w:fill="auto"/>
            <w:noWrap/>
            <w:vAlign w:val="bottom"/>
          </w:tcPr>
          <w:p w14:paraId="3310C9E2"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90 057,00</w:t>
            </w:r>
          </w:p>
        </w:tc>
        <w:tc>
          <w:tcPr>
            <w:tcW w:w="1424" w:type="dxa"/>
            <w:tcBorders>
              <w:top w:val="nil"/>
              <w:left w:val="nil"/>
              <w:bottom w:val="single" w:sz="8" w:space="0" w:color="auto"/>
              <w:right w:val="single" w:sz="8" w:space="0" w:color="auto"/>
            </w:tcBorders>
            <w:shd w:val="clear" w:color="auto" w:fill="auto"/>
            <w:noWrap/>
            <w:vAlign w:val="bottom"/>
          </w:tcPr>
          <w:p w14:paraId="261DB8BF"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287 000,00</w:t>
            </w:r>
          </w:p>
        </w:tc>
        <w:tc>
          <w:tcPr>
            <w:tcW w:w="1246" w:type="dxa"/>
            <w:tcBorders>
              <w:top w:val="nil"/>
              <w:left w:val="nil"/>
              <w:bottom w:val="single" w:sz="8" w:space="0" w:color="auto"/>
              <w:right w:val="single" w:sz="8" w:space="0" w:color="auto"/>
            </w:tcBorders>
            <w:shd w:val="clear" w:color="auto" w:fill="auto"/>
            <w:noWrap/>
            <w:vAlign w:val="bottom"/>
          </w:tcPr>
          <w:p w14:paraId="5D454277"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4513A938"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294CC314"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711169C9"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Kultúra</w:t>
            </w:r>
          </w:p>
        </w:tc>
        <w:tc>
          <w:tcPr>
            <w:tcW w:w="1424" w:type="dxa"/>
            <w:tcBorders>
              <w:top w:val="nil"/>
              <w:left w:val="nil"/>
              <w:bottom w:val="single" w:sz="8" w:space="0" w:color="auto"/>
              <w:right w:val="single" w:sz="8" w:space="0" w:color="auto"/>
            </w:tcBorders>
            <w:shd w:val="clear" w:color="auto" w:fill="auto"/>
            <w:noWrap/>
            <w:vAlign w:val="bottom"/>
          </w:tcPr>
          <w:p w14:paraId="4414395B"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85 100,00</w:t>
            </w:r>
          </w:p>
        </w:tc>
        <w:tc>
          <w:tcPr>
            <w:tcW w:w="1346" w:type="dxa"/>
            <w:tcBorders>
              <w:top w:val="nil"/>
              <w:left w:val="nil"/>
              <w:bottom w:val="single" w:sz="8" w:space="0" w:color="auto"/>
              <w:right w:val="single" w:sz="8" w:space="0" w:color="auto"/>
            </w:tcBorders>
            <w:shd w:val="clear" w:color="auto" w:fill="auto"/>
            <w:noWrap/>
            <w:vAlign w:val="bottom"/>
          </w:tcPr>
          <w:p w14:paraId="56E94348"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36 590,00</w:t>
            </w:r>
          </w:p>
        </w:tc>
        <w:tc>
          <w:tcPr>
            <w:tcW w:w="1424" w:type="dxa"/>
            <w:tcBorders>
              <w:top w:val="nil"/>
              <w:left w:val="nil"/>
              <w:bottom w:val="single" w:sz="8" w:space="0" w:color="auto"/>
              <w:right w:val="single" w:sz="8" w:space="0" w:color="auto"/>
            </w:tcBorders>
            <w:shd w:val="clear" w:color="auto" w:fill="auto"/>
            <w:noWrap/>
            <w:vAlign w:val="bottom"/>
          </w:tcPr>
          <w:p w14:paraId="4DC6F839"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652D7F17"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1D719423"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42185C39"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00E4B13C"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Verejný rozhlas</w:t>
            </w:r>
          </w:p>
        </w:tc>
        <w:tc>
          <w:tcPr>
            <w:tcW w:w="1424" w:type="dxa"/>
            <w:tcBorders>
              <w:top w:val="nil"/>
              <w:left w:val="nil"/>
              <w:bottom w:val="single" w:sz="8" w:space="0" w:color="auto"/>
              <w:right w:val="single" w:sz="8" w:space="0" w:color="auto"/>
            </w:tcBorders>
            <w:shd w:val="clear" w:color="auto" w:fill="auto"/>
            <w:noWrap/>
            <w:vAlign w:val="bottom"/>
          </w:tcPr>
          <w:p w14:paraId="606FEB8A"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116 735,00</w:t>
            </w:r>
          </w:p>
        </w:tc>
        <w:tc>
          <w:tcPr>
            <w:tcW w:w="1346" w:type="dxa"/>
            <w:tcBorders>
              <w:top w:val="nil"/>
              <w:left w:val="nil"/>
              <w:bottom w:val="single" w:sz="8" w:space="0" w:color="auto"/>
              <w:right w:val="single" w:sz="8" w:space="0" w:color="auto"/>
            </w:tcBorders>
            <w:shd w:val="clear" w:color="auto" w:fill="auto"/>
            <w:noWrap/>
            <w:vAlign w:val="bottom"/>
          </w:tcPr>
          <w:p w14:paraId="40ABF56F"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4 510,00</w:t>
            </w:r>
          </w:p>
        </w:tc>
        <w:tc>
          <w:tcPr>
            <w:tcW w:w="1424" w:type="dxa"/>
            <w:tcBorders>
              <w:top w:val="nil"/>
              <w:left w:val="nil"/>
              <w:bottom w:val="single" w:sz="8" w:space="0" w:color="auto"/>
              <w:right w:val="single" w:sz="8" w:space="0" w:color="auto"/>
            </w:tcBorders>
            <w:shd w:val="clear" w:color="auto" w:fill="auto"/>
            <w:noWrap/>
            <w:vAlign w:val="bottom"/>
          </w:tcPr>
          <w:p w14:paraId="1FF382A3"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5BE75C7D"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55D406DE"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16 070,00</w:t>
            </w:r>
          </w:p>
        </w:tc>
      </w:tr>
      <w:tr w:rsidR="00665928" w:rsidRPr="00665928" w14:paraId="1BE4E084"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3B96CDED"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Voľný čas</w:t>
            </w:r>
          </w:p>
        </w:tc>
        <w:tc>
          <w:tcPr>
            <w:tcW w:w="1424" w:type="dxa"/>
            <w:tcBorders>
              <w:top w:val="nil"/>
              <w:left w:val="nil"/>
              <w:bottom w:val="single" w:sz="8" w:space="0" w:color="auto"/>
              <w:right w:val="single" w:sz="8" w:space="0" w:color="auto"/>
            </w:tcBorders>
            <w:shd w:val="clear" w:color="auto" w:fill="auto"/>
            <w:noWrap/>
            <w:vAlign w:val="bottom"/>
          </w:tcPr>
          <w:p w14:paraId="2366C10F"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65 730,00</w:t>
            </w:r>
          </w:p>
        </w:tc>
        <w:tc>
          <w:tcPr>
            <w:tcW w:w="1346" w:type="dxa"/>
            <w:tcBorders>
              <w:top w:val="nil"/>
              <w:left w:val="nil"/>
              <w:bottom w:val="single" w:sz="8" w:space="0" w:color="auto"/>
              <w:right w:val="single" w:sz="8" w:space="0" w:color="auto"/>
            </w:tcBorders>
            <w:shd w:val="clear" w:color="auto" w:fill="auto"/>
            <w:noWrap/>
            <w:vAlign w:val="bottom"/>
          </w:tcPr>
          <w:p w14:paraId="38092CA0"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55 150,00</w:t>
            </w:r>
          </w:p>
        </w:tc>
        <w:tc>
          <w:tcPr>
            <w:tcW w:w="1424" w:type="dxa"/>
            <w:tcBorders>
              <w:top w:val="nil"/>
              <w:left w:val="nil"/>
              <w:bottom w:val="single" w:sz="8" w:space="0" w:color="auto"/>
              <w:right w:val="single" w:sz="8" w:space="0" w:color="auto"/>
            </w:tcBorders>
            <w:shd w:val="clear" w:color="auto" w:fill="auto"/>
            <w:noWrap/>
            <w:vAlign w:val="bottom"/>
          </w:tcPr>
          <w:p w14:paraId="5301B73D"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506 803,00</w:t>
            </w:r>
          </w:p>
        </w:tc>
        <w:tc>
          <w:tcPr>
            <w:tcW w:w="1246" w:type="dxa"/>
            <w:tcBorders>
              <w:top w:val="nil"/>
              <w:left w:val="nil"/>
              <w:bottom w:val="single" w:sz="8" w:space="0" w:color="auto"/>
              <w:right w:val="single" w:sz="8" w:space="0" w:color="auto"/>
            </w:tcBorders>
            <w:shd w:val="clear" w:color="auto" w:fill="auto"/>
            <w:noWrap/>
            <w:vAlign w:val="bottom"/>
          </w:tcPr>
          <w:p w14:paraId="03DF7315"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2E4EB0E4"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r>
      <w:tr w:rsidR="00665928" w:rsidRPr="00665928" w14:paraId="00CD2F71"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3685D89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Ostatné</w:t>
            </w:r>
          </w:p>
        </w:tc>
        <w:tc>
          <w:tcPr>
            <w:tcW w:w="1424" w:type="dxa"/>
            <w:tcBorders>
              <w:top w:val="nil"/>
              <w:left w:val="nil"/>
              <w:bottom w:val="single" w:sz="8" w:space="0" w:color="auto"/>
              <w:right w:val="single" w:sz="8" w:space="0" w:color="auto"/>
            </w:tcBorders>
            <w:shd w:val="clear" w:color="auto" w:fill="auto"/>
            <w:noWrap/>
            <w:vAlign w:val="bottom"/>
          </w:tcPr>
          <w:p w14:paraId="47D2A18C"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92 200,00</w:t>
            </w:r>
          </w:p>
        </w:tc>
        <w:tc>
          <w:tcPr>
            <w:tcW w:w="1346" w:type="dxa"/>
            <w:tcBorders>
              <w:top w:val="nil"/>
              <w:left w:val="nil"/>
              <w:bottom w:val="single" w:sz="8" w:space="0" w:color="auto"/>
              <w:right w:val="single" w:sz="8" w:space="0" w:color="auto"/>
            </w:tcBorders>
            <w:shd w:val="clear" w:color="auto" w:fill="auto"/>
            <w:noWrap/>
            <w:vAlign w:val="bottom"/>
          </w:tcPr>
          <w:p w14:paraId="768C5465"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18 860,00</w:t>
            </w:r>
          </w:p>
        </w:tc>
        <w:tc>
          <w:tcPr>
            <w:tcW w:w="1424" w:type="dxa"/>
            <w:tcBorders>
              <w:top w:val="nil"/>
              <w:left w:val="nil"/>
              <w:bottom w:val="single" w:sz="8" w:space="0" w:color="auto"/>
              <w:right w:val="single" w:sz="8" w:space="0" w:color="auto"/>
            </w:tcBorders>
            <w:shd w:val="clear" w:color="auto" w:fill="auto"/>
            <w:noWrap/>
            <w:vAlign w:val="bottom"/>
          </w:tcPr>
          <w:p w14:paraId="008E8D0C"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246" w:type="dxa"/>
            <w:tcBorders>
              <w:top w:val="nil"/>
              <w:left w:val="nil"/>
              <w:bottom w:val="single" w:sz="8" w:space="0" w:color="auto"/>
              <w:right w:val="single" w:sz="8" w:space="0" w:color="auto"/>
            </w:tcBorders>
            <w:shd w:val="clear" w:color="auto" w:fill="auto"/>
            <w:noWrap/>
            <w:vAlign w:val="bottom"/>
          </w:tcPr>
          <w:p w14:paraId="77C5BDA1"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0</w:t>
            </w:r>
          </w:p>
        </w:tc>
        <w:tc>
          <w:tcPr>
            <w:tcW w:w="1424" w:type="dxa"/>
            <w:tcBorders>
              <w:top w:val="nil"/>
              <w:left w:val="nil"/>
              <w:bottom w:val="single" w:sz="8" w:space="0" w:color="auto"/>
              <w:right w:val="single" w:sz="8" w:space="0" w:color="auto"/>
            </w:tcBorders>
            <w:shd w:val="clear" w:color="auto" w:fill="auto"/>
            <w:noWrap/>
            <w:vAlign w:val="bottom"/>
          </w:tcPr>
          <w:p w14:paraId="7808B323" w14:textId="77777777" w:rsidR="00665928" w:rsidRPr="00665928" w:rsidRDefault="00111C73"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8 415,00</w:t>
            </w:r>
          </w:p>
        </w:tc>
      </w:tr>
      <w:tr w:rsidR="00665928" w:rsidRPr="00665928" w14:paraId="44F7AB41" w14:textId="77777777" w:rsidTr="00665928">
        <w:trPr>
          <w:trHeight w:val="270"/>
        </w:trPr>
        <w:tc>
          <w:tcPr>
            <w:tcW w:w="1971" w:type="dxa"/>
            <w:tcBorders>
              <w:top w:val="nil"/>
              <w:left w:val="single" w:sz="8" w:space="0" w:color="auto"/>
              <w:bottom w:val="single" w:sz="8" w:space="0" w:color="auto"/>
              <w:right w:val="single" w:sz="8" w:space="0" w:color="auto"/>
            </w:tcBorders>
            <w:shd w:val="clear" w:color="auto" w:fill="auto"/>
            <w:noWrap/>
            <w:vAlign w:val="bottom"/>
          </w:tcPr>
          <w:p w14:paraId="5AA1C0EA" w14:textId="77777777" w:rsidR="00665928" w:rsidRPr="00665928" w:rsidRDefault="00665928" w:rsidP="00665928">
            <w:pPr>
              <w:spacing w:after="0" w:line="240" w:lineRule="auto"/>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SPOLU</w:t>
            </w:r>
          </w:p>
        </w:tc>
        <w:tc>
          <w:tcPr>
            <w:tcW w:w="1424" w:type="dxa"/>
            <w:tcBorders>
              <w:top w:val="nil"/>
              <w:left w:val="nil"/>
              <w:bottom w:val="single" w:sz="8" w:space="0" w:color="auto"/>
              <w:right w:val="single" w:sz="8" w:space="0" w:color="auto"/>
            </w:tcBorders>
            <w:shd w:val="clear" w:color="auto" w:fill="auto"/>
            <w:noWrap/>
            <w:vAlign w:val="bottom"/>
          </w:tcPr>
          <w:p w14:paraId="0A72BA10" w14:textId="77777777" w:rsidR="00665928" w:rsidRPr="00665928" w:rsidRDefault="00E95829" w:rsidP="00665928">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8 722 029,00</w:t>
            </w:r>
          </w:p>
        </w:tc>
        <w:tc>
          <w:tcPr>
            <w:tcW w:w="1346" w:type="dxa"/>
            <w:tcBorders>
              <w:top w:val="nil"/>
              <w:left w:val="nil"/>
              <w:bottom w:val="single" w:sz="8" w:space="0" w:color="auto"/>
              <w:right w:val="single" w:sz="8" w:space="0" w:color="auto"/>
            </w:tcBorders>
            <w:shd w:val="clear" w:color="auto" w:fill="auto"/>
            <w:noWrap/>
            <w:vAlign w:val="bottom"/>
          </w:tcPr>
          <w:p w14:paraId="6E58A9B6" w14:textId="77777777" w:rsidR="00665928" w:rsidRPr="00665928" w:rsidRDefault="00E95829" w:rsidP="00665928">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3 068 828,00</w:t>
            </w:r>
          </w:p>
        </w:tc>
        <w:tc>
          <w:tcPr>
            <w:tcW w:w="1424" w:type="dxa"/>
            <w:tcBorders>
              <w:top w:val="nil"/>
              <w:left w:val="nil"/>
              <w:bottom w:val="single" w:sz="8" w:space="0" w:color="auto"/>
              <w:right w:val="single" w:sz="8" w:space="0" w:color="auto"/>
            </w:tcBorders>
            <w:shd w:val="clear" w:color="auto" w:fill="auto"/>
            <w:noWrap/>
            <w:vAlign w:val="bottom"/>
          </w:tcPr>
          <w:p w14:paraId="5A73AA45" w14:textId="77777777" w:rsidR="00665928" w:rsidRPr="00665928" w:rsidRDefault="00E95829" w:rsidP="00665928">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9 601 509,00</w:t>
            </w:r>
          </w:p>
        </w:tc>
        <w:tc>
          <w:tcPr>
            <w:tcW w:w="1246" w:type="dxa"/>
            <w:tcBorders>
              <w:top w:val="nil"/>
              <w:left w:val="nil"/>
              <w:bottom w:val="single" w:sz="8" w:space="0" w:color="auto"/>
              <w:right w:val="single" w:sz="8" w:space="0" w:color="auto"/>
            </w:tcBorders>
            <w:shd w:val="clear" w:color="auto" w:fill="auto"/>
            <w:noWrap/>
            <w:vAlign w:val="bottom"/>
          </w:tcPr>
          <w:p w14:paraId="2257FC59" w14:textId="77777777" w:rsidR="00665928" w:rsidRPr="00665928" w:rsidRDefault="00E95829" w:rsidP="00665928">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83 250,00</w:t>
            </w:r>
          </w:p>
        </w:tc>
        <w:tc>
          <w:tcPr>
            <w:tcW w:w="1424" w:type="dxa"/>
            <w:tcBorders>
              <w:top w:val="nil"/>
              <w:left w:val="nil"/>
              <w:bottom w:val="single" w:sz="8" w:space="0" w:color="auto"/>
              <w:right w:val="single" w:sz="8" w:space="0" w:color="auto"/>
            </w:tcBorders>
            <w:shd w:val="clear" w:color="auto" w:fill="auto"/>
            <w:noWrap/>
            <w:vAlign w:val="bottom"/>
          </w:tcPr>
          <w:p w14:paraId="2478AFA9" w14:textId="77777777" w:rsidR="00665928" w:rsidRPr="00665928" w:rsidRDefault="00E95829" w:rsidP="00665928">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1 866 233,00</w:t>
            </w:r>
          </w:p>
        </w:tc>
      </w:tr>
    </w:tbl>
    <w:p w14:paraId="6C71B3AD" w14:textId="77777777" w:rsidR="00665928" w:rsidRPr="00665928" w:rsidRDefault="00665928" w:rsidP="00665928">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Zdroj: PHSR obcí a miest kopaničiarskeho regiónu</w:t>
      </w:r>
      <w:r w:rsidR="00466EEB">
        <w:rPr>
          <w:rFonts w:ascii="Times New Roman" w:hAnsi="Times New Roman" w:cs="Times New Roman"/>
          <w:b/>
          <w:sz w:val="20"/>
          <w:szCs w:val="20"/>
        </w:rPr>
        <w:t xml:space="preserve"> pre roky 2016 - 2020</w:t>
      </w:r>
    </w:p>
    <w:p w14:paraId="6106F699" w14:textId="77777777" w:rsidR="00EC62F5" w:rsidRPr="00EC62F5" w:rsidRDefault="00F560B2" w:rsidP="00EC62F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V najbližšom čase (do roku 20</w:t>
      </w:r>
      <w:r w:rsidR="00B85F10">
        <w:rPr>
          <w:rFonts w:ascii="Times New Roman" w:hAnsi="Times New Roman" w:cs="Times New Roman"/>
          <w:sz w:val="24"/>
          <w:szCs w:val="24"/>
        </w:rPr>
        <w:t>22</w:t>
      </w:r>
      <w:r w:rsidR="00EC62F5" w:rsidRPr="00EC62F5">
        <w:rPr>
          <w:rFonts w:ascii="Times New Roman" w:hAnsi="Times New Roman" w:cs="Times New Roman"/>
          <w:sz w:val="24"/>
          <w:szCs w:val="24"/>
        </w:rPr>
        <w:t xml:space="preserve">) plánujú obce Kopaničiarskeho regiónu s realizáciou projektov v celkovej výške </w:t>
      </w:r>
      <w:r w:rsidR="007E3465">
        <w:rPr>
          <w:rFonts w:ascii="Times New Roman" w:hAnsi="Times New Roman" w:cs="Times New Roman"/>
          <w:sz w:val="24"/>
          <w:szCs w:val="24"/>
        </w:rPr>
        <w:t>255 295 520</w:t>
      </w:r>
      <w:r w:rsidR="00EC62F5" w:rsidRPr="00EC62F5">
        <w:rPr>
          <w:rFonts w:ascii="Times New Roman" w:hAnsi="Times New Roman" w:cs="Times New Roman"/>
          <w:sz w:val="24"/>
          <w:szCs w:val="24"/>
        </w:rPr>
        <w:t xml:space="preserve"> </w:t>
      </w:r>
      <w:r w:rsidR="00B85F10">
        <w:rPr>
          <w:rFonts w:ascii="Times New Roman" w:hAnsi="Times New Roman" w:cs="Times New Roman"/>
          <w:sz w:val="24"/>
          <w:szCs w:val="24"/>
        </w:rPr>
        <w:t>€</w:t>
      </w:r>
      <w:r w:rsidR="00EC62F5" w:rsidRPr="00EC62F5">
        <w:rPr>
          <w:rFonts w:ascii="Times New Roman" w:hAnsi="Times New Roman" w:cs="Times New Roman"/>
          <w:sz w:val="24"/>
          <w:szCs w:val="24"/>
        </w:rPr>
        <w:t xml:space="preserve">. Bližšie sú tieto budúce plánované aktivity znázornené v tabuľke </w:t>
      </w:r>
      <w:r w:rsidR="00B85F10">
        <w:rPr>
          <w:rFonts w:ascii="Times New Roman" w:hAnsi="Times New Roman" w:cs="Times New Roman"/>
          <w:sz w:val="24"/>
          <w:szCs w:val="24"/>
        </w:rPr>
        <w:t>3.1.24</w:t>
      </w:r>
      <w:r w:rsidR="00EC62F5" w:rsidRPr="00EC62F5">
        <w:rPr>
          <w:rFonts w:ascii="Times New Roman" w:hAnsi="Times New Roman" w:cs="Times New Roman"/>
          <w:sz w:val="24"/>
          <w:szCs w:val="24"/>
        </w:rPr>
        <w:t xml:space="preserve">. Z nej vyplýva, že najviac financií sa plánuje preinvestovať v </w:t>
      </w:r>
      <w:r w:rsidR="00EC62F5" w:rsidRPr="00EC62F5">
        <w:rPr>
          <w:rFonts w:ascii="Times New Roman" w:hAnsi="Times New Roman" w:cs="Times New Roman"/>
          <w:sz w:val="24"/>
          <w:szCs w:val="24"/>
        </w:rPr>
        <w:lastRenderedPageBreak/>
        <w:t xml:space="preserve">kategórii miestne komunikácie a verejné priestranstvá (vyše </w:t>
      </w:r>
      <w:r w:rsidR="00034A55">
        <w:rPr>
          <w:rFonts w:ascii="Times New Roman" w:hAnsi="Times New Roman" w:cs="Times New Roman"/>
          <w:sz w:val="24"/>
          <w:szCs w:val="24"/>
        </w:rPr>
        <w:t>62</w:t>
      </w:r>
      <w:r w:rsidR="00EC62F5" w:rsidRPr="00EC62F5">
        <w:rPr>
          <w:rFonts w:ascii="Times New Roman" w:hAnsi="Times New Roman" w:cs="Times New Roman"/>
          <w:sz w:val="24"/>
          <w:szCs w:val="24"/>
        </w:rPr>
        <w:t xml:space="preserve"> m</w:t>
      </w:r>
      <w:r w:rsidR="00034A55">
        <w:rPr>
          <w:rFonts w:ascii="Times New Roman" w:hAnsi="Times New Roman" w:cs="Times New Roman"/>
          <w:sz w:val="24"/>
          <w:szCs w:val="24"/>
        </w:rPr>
        <w:t>il</w:t>
      </w:r>
      <w:r w:rsidR="00EC62F5" w:rsidRPr="00EC62F5">
        <w:rPr>
          <w:rFonts w:ascii="Times New Roman" w:hAnsi="Times New Roman" w:cs="Times New Roman"/>
          <w:sz w:val="24"/>
          <w:szCs w:val="24"/>
        </w:rPr>
        <w:t xml:space="preserve">. </w:t>
      </w:r>
      <w:r w:rsidR="00034A55">
        <w:rPr>
          <w:rFonts w:ascii="Times New Roman" w:hAnsi="Times New Roman" w:cs="Times New Roman"/>
          <w:sz w:val="24"/>
          <w:szCs w:val="24"/>
        </w:rPr>
        <w:t>€</w:t>
      </w:r>
      <w:r w:rsidR="00EC62F5" w:rsidRPr="00EC62F5">
        <w:rPr>
          <w:rFonts w:ascii="Times New Roman" w:hAnsi="Times New Roman" w:cs="Times New Roman"/>
          <w:sz w:val="24"/>
          <w:szCs w:val="24"/>
        </w:rPr>
        <w:t xml:space="preserve">), kanalizácia (vyše </w:t>
      </w:r>
      <w:r w:rsidR="00034A55">
        <w:rPr>
          <w:rFonts w:ascii="Times New Roman" w:hAnsi="Times New Roman" w:cs="Times New Roman"/>
          <w:sz w:val="24"/>
          <w:szCs w:val="24"/>
        </w:rPr>
        <w:t>61</w:t>
      </w:r>
      <w:r w:rsidR="00EC62F5" w:rsidRPr="00EC62F5">
        <w:rPr>
          <w:rFonts w:ascii="Times New Roman" w:hAnsi="Times New Roman" w:cs="Times New Roman"/>
          <w:sz w:val="24"/>
          <w:szCs w:val="24"/>
        </w:rPr>
        <w:t xml:space="preserve"> m</w:t>
      </w:r>
      <w:r w:rsidR="00034A55">
        <w:rPr>
          <w:rFonts w:ascii="Times New Roman" w:hAnsi="Times New Roman" w:cs="Times New Roman"/>
          <w:sz w:val="24"/>
          <w:szCs w:val="24"/>
        </w:rPr>
        <w:t>il</w:t>
      </w:r>
      <w:r w:rsidR="00EC62F5" w:rsidRPr="00EC62F5">
        <w:rPr>
          <w:rFonts w:ascii="Times New Roman" w:hAnsi="Times New Roman" w:cs="Times New Roman"/>
          <w:sz w:val="24"/>
          <w:szCs w:val="24"/>
        </w:rPr>
        <w:t xml:space="preserve">. </w:t>
      </w:r>
      <w:r w:rsidR="00034A55">
        <w:rPr>
          <w:rFonts w:ascii="Times New Roman" w:hAnsi="Times New Roman" w:cs="Times New Roman"/>
          <w:sz w:val="24"/>
          <w:szCs w:val="24"/>
        </w:rPr>
        <w:t>€</w:t>
      </w:r>
      <w:r w:rsidR="00EC62F5" w:rsidRPr="00EC62F5">
        <w:rPr>
          <w:rFonts w:ascii="Times New Roman" w:hAnsi="Times New Roman" w:cs="Times New Roman"/>
          <w:sz w:val="24"/>
          <w:szCs w:val="24"/>
        </w:rPr>
        <w:t xml:space="preserve">), životné prostredie (vyše </w:t>
      </w:r>
      <w:r w:rsidR="00034A55">
        <w:rPr>
          <w:rFonts w:ascii="Times New Roman" w:hAnsi="Times New Roman" w:cs="Times New Roman"/>
          <w:sz w:val="24"/>
          <w:szCs w:val="24"/>
        </w:rPr>
        <w:t>28</w:t>
      </w:r>
      <w:r w:rsidR="00034A55"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034A55">
        <w:rPr>
          <w:rFonts w:ascii="Times New Roman" w:hAnsi="Times New Roman" w:cs="Times New Roman"/>
          <w:sz w:val="24"/>
          <w:szCs w:val="24"/>
        </w:rPr>
        <w:t>€</w:t>
      </w:r>
      <w:r w:rsidR="00EC62F5" w:rsidRPr="00EC62F5">
        <w:rPr>
          <w:rFonts w:ascii="Times New Roman" w:hAnsi="Times New Roman" w:cs="Times New Roman"/>
          <w:sz w:val="24"/>
          <w:szCs w:val="24"/>
        </w:rPr>
        <w:t xml:space="preserve">) a priemysel  a podnikanie (vyše </w:t>
      </w:r>
      <w:r w:rsidR="00034A55">
        <w:rPr>
          <w:rFonts w:ascii="Times New Roman" w:hAnsi="Times New Roman" w:cs="Times New Roman"/>
          <w:sz w:val="24"/>
          <w:szCs w:val="24"/>
        </w:rPr>
        <w:t>24,5</w:t>
      </w:r>
      <w:r w:rsidR="00034A55"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mil. </w:t>
      </w:r>
      <w:r w:rsidR="00034A55">
        <w:rPr>
          <w:rFonts w:ascii="Times New Roman" w:hAnsi="Times New Roman" w:cs="Times New Roman"/>
          <w:sz w:val="24"/>
          <w:szCs w:val="24"/>
        </w:rPr>
        <w:t>€</w:t>
      </w:r>
      <w:r w:rsidR="00EC62F5" w:rsidRPr="00EC62F5">
        <w:rPr>
          <w:rFonts w:ascii="Times New Roman" w:hAnsi="Times New Roman" w:cs="Times New Roman"/>
          <w:sz w:val="24"/>
          <w:szCs w:val="24"/>
        </w:rPr>
        <w:t xml:space="preserve">). </w:t>
      </w:r>
    </w:p>
    <w:p w14:paraId="632F2412" w14:textId="77777777" w:rsidR="00EC62F5" w:rsidRPr="00EC62F5" w:rsidRDefault="008551B7" w:rsidP="008551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Najviac plánovaných aktivít majú okrem všetkých 3 miest, aj obce Bzince pod Javorinou a Lubina, ktoré chcú investovať nielen v oblasti komplexnej infraštruktúry a v cestovnom ruchu, ale aj v oblasti priemyslu a podnikania, čo predstavuje značné finančné čiastky.</w:t>
      </w:r>
    </w:p>
    <w:p w14:paraId="2287B43C" w14:textId="77777777" w:rsidR="00EC62F5" w:rsidRPr="00DC579E" w:rsidRDefault="00EC62F5" w:rsidP="00EC62F5">
      <w:pPr>
        <w:spacing w:before="120" w:after="0" w:line="360" w:lineRule="auto"/>
        <w:jc w:val="both"/>
        <w:rPr>
          <w:rFonts w:ascii="Times New Roman" w:hAnsi="Times New Roman" w:cs="Times New Roman"/>
          <w:b/>
          <w:sz w:val="20"/>
          <w:szCs w:val="20"/>
        </w:rPr>
      </w:pPr>
      <w:r w:rsidRPr="00DC579E">
        <w:rPr>
          <w:rFonts w:ascii="Times New Roman" w:hAnsi="Times New Roman" w:cs="Times New Roman"/>
          <w:b/>
          <w:sz w:val="20"/>
          <w:szCs w:val="20"/>
        </w:rPr>
        <w:t xml:space="preserve">Tabuľka </w:t>
      </w:r>
      <w:r w:rsidR="00DC579E" w:rsidRPr="00DC579E">
        <w:rPr>
          <w:rFonts w:ascii="Times New Roman" w:hAnsi="Times New Roman" w:cs="Times New Roman"/>
          <w:b/>
          <w:sz w:val="20"/>
          <w:szCs w:val="20"/>
        </w:rPr>
        <w:t>3.1.24</w:t>
      </w:r>
      <w:r w:rsidRPr="00DC579E">
        <w:rPr>
          <w:rFonts w:ascii="Times New Roman" w:hAnsi="Times New Roman" w:cs="Times New Roman"/>
          <w:b/>
          <w:sz w:val="20"/>
          <w:szCs w:val="20"/>
        </w:rPr>
        <w:t xml:space="preserve"> Budúce plánované aktivity v Kopaničiarskom regióne</w:t>
      </w:r>
    </w:p>
    <w:tbl>
      <w:tblPr>
        <w:tblW w:w="9170" w:type="dxa"/>
        <w:tblInd w:w="55" w:type="dxa"/>
        <w:tblCellMar>
          <w:left w:w="70" w:type="dxa"/>
          <w:right w:w="70" w:type="dxa"/>
        </w:tblCellMar>
        <w:tblLook w:val="0000" w:firstRow="0" w:lastRow="0" w:firstColumn="0" w:lastColumn="0" w:noHBand="0" w:noVBand="0"/>
      </w:tblPr>
      <w:tblGrid>
        <w:gridCol w:w="2080"/>
        <w:gridCol w:w="1175"/>
        <w:gridCol w:w="1440"/>
        <w:gridCol w:w="4475"/>
      </w:tblGrid>
      <w:tr w:rsidR="00665928" w:rsidRPr="00665928" w14:paraId="1E112B3B" w14:textId="77777777" w:rsidTr="006C3C88">
        <w:trPr>
          <w:trHeight w:val="285"/>
        </w:trPr>
        <w:tc>
          <w:tcPr>
            <w:tcW w:w="20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14:paraId="4B1A38A3"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Názov projektu (druh investície)</w:t>
            </w:r>
          </w:p>
        </w:tc>
        <w:tc>
          <w:tcPr>
            <w:tcW w:w="7090" w:type="dxa"/>
            <w:gridSpan w:val="3"/>
            <w:tcBorders>
              <w:top w:val="single" w:sz="8" w:space="0" w:color="auto"/>
              <w:left w:val="nil"/>
              <w:bottom w:val="nil"/>
              <w:right w:val="single" w:sz="8" w:space="0" w:color="000000"/>
            </w:tcBorders>
            <w:shd w:val="clear" w:color="auto" w:fill="D9D9D9"/>
            <w:vAlign w:val="center"/>
          </w:tcPr>
          <w:p w14:paraId="47FBB30F"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Náklady projektu</w:t>
            </w:r>
          </w:p>
        </w:tc>
      </w:tr>
      <w:tr w:rsidR="00665928" w:rsidRPr="00665928" w14:paraId="4D8B59DA" w14:textId="77777777" w:rsidTr="006C3C88">
        <w:trPr>
          <w:trHeight w:val="300"/>
        </w:trPr>
        <w:tc>
          <w:tcPr>
            <w:tcW w:w="2080"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3B435AD" w14:textId="77777777" w:rsidR="00665928" w:rsidRPr="00665928" w:rsidRDefault="00665928" w:rsidP="00665928">
            <w:pPr>
              <w:spacing w:after="0" w:line="240" w:lineRule="auto"/>
              <w:rPr>
                <w:rFonts w:ascii="Times New Roman" w:eastAsia="Times New Roman" w:hAnsi="Times New Roman" w:cs="Times New Roman"/>
                <w:b/>
                <w:bCs/>
                <w:sz w:val="20"/>
                <w:szCs w:val="20"/>
                <w:lang w:eastAsia="cs-CZ"/>
              </w:rPr>
            </w:pPr>
          </w:p>
        </w:tc>
        <w:tc>
          <w:tcPr>
            <w:tcW w:w="1175" w:type="dxa"/>
            <w:tcBorders>
              <w:top w:val="single" w:sz="8" w:space="0" w:color="auto"/>
              <w:left w:val="nil"/>
              <w:bottom w:val="single" w:sz="8" w:space="0" w:color="auto"/>
              <w:right w:val="single" w:sz="8" w:space="0" w:color="auto"/>
            </w:tcBorders>
            <w:shd w:val="clear" w:color="auto" w:fill="D9D9D9"/>
            <w:noWrap/>
            <w:vAlign w:val="center"/>
          </w:tcPr>
          <w:p w14:paraId="037BED04"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Čas</w:t>
            </w:r>
          </w:p>
        </w:tc>
        <w:tc>
          <w:tcPr>
            <w:tcW w:w="1440" w:type="dxa"/>
            <w:tcBorders>
              <w:top w:val="single" w:sz="8" w:space="0" w:color="auto"/>
              <w:left w:val="nil"/>
              <w:bottom w:val="single" w:sz="8" w:space="0" w:color="auto"/>
              <w:right w:val="nil"/>
            </w:tcBorders>
            <w:shd w:val="clear" w:color="auto" w:fill="D9D9D9"/>
            <w:noWrap/>
            <w:vAlign w:val="center"/>
          </w:tcPr>
          <w:p w14:paraId="44406AA6"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Rozpočet (</w:t>
            </w:r>
            <w:r w:rsidR="000100AE">
              <w:rPr>
                <w:rFonts w:ascii="Times New Roman" w:eastAsia="Times New Roman" w:hAnsi="Times New Roman" w:cs="Times New Roman"/>
                <w:b/>
                <w:bCs/>
                <w:sz w:val="20"/>
                <w:szCs w:val="20"/>
                <w:lang w:eastAsia="cs-CZ"/>
              </w:rPr>
              <w:t>€</w:t>
            </w:r>
            <w:r w:rsidRPr="00665928">
              <w:rPr>
                <w:rFonts w:ascii="Times New Roman" w:eastAsia="Times New Roman" w:hAnsi="Times New Roman" w:cs="Times New Roman"/>
                <w:b/>
                <w:bCs/>
                <w:sz w:val="20"/>
                <w:szCs w:val="20"/>
                <w:lang w:eastAsia="cs-CZ"/>
              </w:rPr>
              <w:t>)</w:t>
            </w:r>
          </w:p>
        </w:tc>
        <w:tc>
          <w:tcPr>
            <w:tcW w:w="4475"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764844FB" w14:textId="77777777" w:rsidR="00665928" w:rsidRPr="00665928" w:rsidRDefault="00665928" w:rsidP="00665928">
            <w:pPr>
              <w:spacing w:after="0" w:line="240" w:lineRule="auto"/>
              <w:jc w:val="center"/>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Zdroj</w:t>
            </w:r>
          </w:p>
        </w:tc>
      </w:tr>
      <w:tr w:rsidR="00665928" w:rsidRPr="00665928" w14:paraId="3D155DDE" w14:textId="77777777" w:rsidTr="006C3C88">
        <w:trPr>
          <w:trHeight w:val="255"/>
        </w:trPr>
        <w:tc>
          <w:tcPr>
            <w:tcW w:w="2080" w:type="dxa"/>
            <w:vMerge w:val="restart"/>
            <w:tcBorders>
              <w:top w:val="nil"/>
              <w:left w:val="single" w:sz="8" w:space="0" w:color="auto"/>
              <w:bottom w:val="single" w:sz="4" w:space="0" w:color="auto"/>
              <w:right w:val="single" w:sz="8" w:space="0" w:color="auto"/>
            </w:tcBorders>
            <w:shd w:val="clear" w:color="auto" w:fill="auto"/>
            <w:vAlign w:val="center"/>
          </w:tcPr>
          <w:p w14:paraId="7602E60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Miestne komunikácie a verejné priestranstvá</w:t>
            </w:r>
          </w:p>
        </w:tc>
        <w:tc>
          <w:tcPr>
            <w:tcW w:w="1175" w:type="dxa"/>
            <w:vMerge w:val="restart"/>
            <w:tcBorders>
              <w:top w:val="nil"/>
              <w:left w:val="single" w:sz="8" w:space="0" w:color="auto"/>
              <w:bottom w:val="single" w:sz="4" w:space="0" w:color="auto"/>
              <w:right w:val="single" w:sz="8" w:space="0" w:color="auto"/>
            </w:tcBorders>
            <w:shd w:val="clear" w:color="auto" w:fill="auto"/>
            <w:noWrap/>
            <w:vAlign w:val="center"/>
          </w:tcPr>
          <w:p w14:paraId="683F483F" w14:textId="77777777" w:rsidR="00665928"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vMerge w:val="restart"/>
            <w:tcBorders>
              <w:top w:val="nil"/>
              <w:left w:val="nil"/>
              <w:bottom w:val="single" w:sz="4" w:space="0" w:color="auto"/>
              <w:right w:val="nil"/>
            </w:tcBorders>
            <w:shd w:val="clear" w:color="auto" w:fill="auto"/>
            <w:noWrap/>
            <w:vAlign w:val="center"/>
          </w:tcPr>
          <w:p w14:paraId="5EC39198" w14:textId="77777777" w:rsidR="00665928"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62 324 900</w:t>
            </w:r>
          </w:p>
        </w:tc>
        <w:tc>
          <w:tcPr>
            <w:tcW w:w="4475"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FB565F7"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 Envirofond, Nadácia Ekopolis, SPP, a.s.</w:t>
            </w:r>
          </w:p>
        </w:tc>
      </w:tr>
      <w:tr w:rsidR="00665928" w:rsidRPr="00665928" w14:paraId="52E392BE" w14:textId="77777777" w:rsidTr="006C3C88">
        <w:trPr>
          <w:trHeight w:val="240"/>
        </w:trPr>
        <w:tc>
          <w:tcPr>
            <w:tcW w:w="2080" w:type="dxa"/>
            <w:vMerge/>
            <w:tcBorders>
              <w:top w:val="nil"/>
              <w:left w:val="single" w:sz="8" w:space="0" w:color="auto"/>
              <w:bottom w:val="single" w:sz="4" w:space="0" w:color="auto"/>
              <w:right w:val="single" w:sz="8" w:space="0" w:color="auto"/>
            </w:tcBorders>
            <w:vAlign w:val="center"/>
          </w:tcPr>
          <w:p w14:paraId="77BEDCC5"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175" w:type="dxa"/>
            <w:vMerge/>
            <w:tcBorders>
              <w:top w:val="nil"/>
              <w:left w:val="single" w:sz="8" w:space="0" w:color="auto"/>
              <w:bottom w:val="single" w:sz="4" w:space="0" w:color="auto"/>
              <w:right w:val="single" w:sz="8" w:space="0" w:color="auto"/>
            </w:tcBorders>
            <w:vAlign w:val="center"/>
          </w:tcPr>
          <w:p w14:paraId="70286A93"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c>
          <w:tcPr>
            <w:tcW w:w="1440" w:type="dxa"/>
            <w:vMerge/>
            <w:tcBorders>
              <w:top w:val="nil"/>
              <w:left w:val="nil"/>
              <w:bottom w:val="single" w:sz="4" w:space="0" w:color="auto"/>
              <w:right w:val="nil"/>
            </w:tcBorders>
            <w:vAlign w:val="center"/>
          </w:tcPr>
          <w:p w14:paraId="598D70BA" w14:textId="77777777" w:rsidR="00665928" w:rsidRPr="00665928" w:rsidRDefault="00665928" w:rsidP="00665928">
            <w:pPr>
              <w:spacing w:after="0" w:line="240" w:lineRule="auto"/>
              <w:jc w:val="right"/>
              <w:rPr>
                <w:rFonts w:ascii="Times New Roman" w:eastAsia="Times New Roman" w:hAnsi="Times New Roman" w:cs="Times New Roman"/>
                <w:sz w:val="20"/>
                <w:szCs w:val="20"/>
                <w:lang w:eastAsia="cs-CZ"/>
              </w:rPr>
            </w:pPr>
          </w:p>
        </w:tc>
        <w:tc>
          <w:tcPr>
            <w:tcW w:w="4475" w:type="dxa"/>
            <w:vMerge/>
            <w:tcBorders>
              <w:top w:val="single" w:sz="8" w:space="0" w:color="auto"/>
              <w:left w:val="single" w:sz="8" w:space="0" w:color="auto"/>
              <w:bottom w:val="single" w:sz="8" w:space="0" w:color="auto"/>
              <w:right w:val="single" w:sz="8" w:space="0" w:color="auto"/>
            </w:tcBorders>
            <w:vAlign w:val="center"/>
          </w:tcPr>
          <w:p w14:paraId="222A7BFE" w14:textId="77777777" w:rsidR="00665928" w:rsidRPr="00665928" w:rsidRDefault="00665928" w:rsidP="00665928">
            <w:pPr>
              <w:spacing w:after="0" w:line="240" w:lineRule="auto"/>
              <w:rPr>
                <w:rFonts w:ascii="Times New Roman" w:eastAsia="Times New Roman" w:hAnsi="Times New Roman" w:cs="Times New Roman"/>
                <w:sz w:val="20"/>
                <w:szCs w:val="20"/>
                <w:lang w:eastAsia="cs-CZ"/>
              </w:rPr>
            </w:pPr>
          </w:p>
        </w:tc>
      </w:tr>
      <w:tr w:rsidR="008551B7" w:rsidRPr="00665928" w14:paraId="2343C9CF" w14:textId="77777777" w:rsidTr="00034A55">
        <w:trPr>
          <w:trHeight w:val="27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7F816A32"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Domy smútku, cintorín</w:t>
            </w:r>
          </w:p>
        </w:tc>
        <w:tc>
          <w:tcPr>
            <w:tcW w:w="1175" w:type="dxa"/>
            <w:tcBorders>
              <w:top w:val="nil"/>
              <w:left w:val="nil"/>
              <w:bottom w:val="single" w:sz="4" w:space="0" w:color="auto"/>
              <w:right w:val="single" w:sz="8" w:space="0" w:color="auto"/>
            </w:tcBorders>
            <w:shd w:val="clear" w:color="auto" w:fill="auto"/>
            <w:vAlign w:val="center"/>
          </w:tcPr>
          <w:p w14:paraId="22D404F0"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3ACE3FEF"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726 250</w:t>
            </w:r>
          </w:p>
        </w:tc>
        <w:tc>
          <w:tcPr>
            <w:tcW w:w="4475" w:type="dxa"/>
            <w:tcBorders>
              <w:top w:val="single" w:sz="8" w:space="0" w:color="auto"/>
              <w:left w:val="single" w:sz="8" w:space="0" w:color="auto"/>
              <w:bottom w:val="single" w:sz="8" w:space="0" w:color="auto"/>
              <w:right w:val="single" w:sz="8" w:space="0" w:color="auto"/>
            </w:tcBorders>
            <w:shd w:val="clear" w:color="auto" w:fill="auto"/>
            <w:vAlign w:val="center"/>
          </w:tcPr>
          <w:p w14:paraId="15777803"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w:t>
            </w:r>
          </w:p>
        </w:tc>
      </w:tr>
      <w:tr w:rsidR="008551B7" w:rsidRPr="00665928" w14:paraId="74C57B19"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7AA1BEF2"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Osvetlenie a rozhlas</w:t>
            </w:r>
          </w:p>
        </w:tc>
        <w:tc>
          <w:tcPr>
            <w:tcW w:w="1175" w:type="dxa"/>
            <w:tcBorders>
              <w:top w:val="nil"/>
              <w:left w:val="nil"/>
              <w:bottom w:val="single" w:sz="4" w:space="0" w:color="auto"/>
              <w:right w:val="single" w:sz="8" w:space="0" w:color="auto"/>
            </w:tcBorders>
            <w:shd w:val="clear" w:color="auto" w:fill="auto"/>
            <w:vAlign w:val="center"/>
          </w:tcPr>
          <w:p w14:paraId="2A274553"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3F9B3AEC"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2 286 460</w:t>
            </w:r>
          </w:p>
        </w:tc>
        <w:tc>
          <w:tcPr>
            <w:tcW w:w="4475" w:type="dxa"/>
            <w:tcBorders>
              <w:top w:val="single" w:sz="8" w:space="0" w:color="auto"/>
              <w:left w:val="single" w:sz="8" w:space="0" w:color="auto"/>
              <w:bottom w:val="single" w:sz="4" w:space="0" w:color="auto"/>
              <w:right w:val="single" w:sz="8" w:space="0" w:color="auto"/>
            </w:tcBorders>
            <w:shd w:val="clear" w:color="auto" w:fill="auto"/>
            <w:vAlign w:val="center"/>
          </w:tcPr>
          <w:p w14:paraId="41304B4C"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w:t>
            </w:r>
          </w:p>
        </w:tc>
      </w:tr>
      <w:tr w:rsidR="008551B7" w:rsidRPr="00665928" w14:paraId="318DEB28"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57105BC7"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Kanalizácia</w:t>
            </w:r>
          </w:p>
        </w:tc>
        <w:tc>
          <w:tcPr>
            <w:tcW w:w="1175" w:type="dxa"/>
            <w:tcBorders>
              <w:top w:val="nil"/>
              <w:left w:val="nil"/>
              <w:bottom w:val="single" w:sz="4" w:space="0" w:color="auto"/>
              <w:right w:val="single" w:sz="8" w:space="0" w:color="auto"/>
            </w:tcBorders>
            <w:shd w:val="clear" w:color="auto" w:fill="auto"/>
            <w:noWrap/>
            <w:vAlign w:val="center"/>
          </w:tcPr>
          <w:p w14:paraId="299DB823"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22ADDE33"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61 4</w:t>
            </w:r>
            <w:r w:rsidR="00034A55">
              <w:rPr>
                <w:rFonts w:ascii="Times New Roman" w:eastAsia="Times New Roman" w:hAnsi="Times New Roman" w:cs="Times New Roman"/>
                <w:sz w:val="20"/>
                <w:szCs w:val="20"/>
                <w:lang w:eastAsia="cs-CZ"/>
              </w:rPr>
              <w:t>65 050</w:t>
            </w:r>
          </w:p>
        </w:tc>
        <w:tc>
          <w:tcPr>
            <w:tcW w:w="4475" w:type="dxa"/>
            <w:tcBorders>
              <w:top w:val="nil"/>
              <w:left w:val="single" w:sz="8" w:space="0" w:color="auto"/>
              <w:bottom w:val="single" w:sz="4" w:space="0" w:color="auto"/>
              <w:right w:val="single" w:sz="8" w:space="0" w:color="auto"/>
            </w:tcBorders>
            <w:shd w:val="clear" w:color="auto" w:fill="auto"/>
            <w:vAlign w:val="center"/>
          </w:tcPr>
          <w:p w14:paraId="033208F2"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w:t>
            </w:r>
          </w:p>
        </w:tc>
      </w:tr>
      <w:tr w:rsidR="008551B7" w:rsidRPr="00665928" w14:paraId="02F46B39" w14:textId="77777777" w:rsidTr="00034A55">
        <w:trPr>
          <w:trHeight w:val="28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2C831CB3"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Odpadové hospodárstvo</w:t>
            </w:r>
          </w:p>
        </w:tc>
        <w:tc>
          <w:tcPr>
            <w:tcW w:w="1175" w:type="dxa"/>
            <w:tcBorders>
              <w:top w:val="nil"/>
              <w:left w:val="nil"/>
              <w:bottom w:val="single" w:sz="4" w:space="0" w:color="auto"/>
              <w:right w:val="single" w:sz="8" w:space="0" w:color="auto"/>
            </w:tcBorders>
            <w:shd w:val="clear" w:color="auto" w:fill="auto"/>
            <w:vAlign w:val="center"/>
          </w:tcPr>
          <w:p w14:paraId="3CF0CE3A"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7D2460AE"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5 272 000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779DFCB4"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 Envirofond, Recyklačný fond</w:t>
            </w:r>
          </w:p>
        </w:tc>
      </w:tr>
      <w:tr w:rsidR="008551B7" w:rsidRPr="00665928" w14:paraId="37E3815A" w14:textId="77777777" w:rsidTr="00034A55">
        <w:trPr>
          <w:trHeight w:val="24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75C2177C"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Zdravotníctvo</w:t>
            </w:r>
          </w:p>
        </w:tc>
        <w:tc>
          <w:tcPr>
            <w:tcW w:w="1175" w:type="dxa"/>
            <w:tcBorders>
              <w:top w:val="nil"/>
              <w:left w:val="nil"/>
              <w:bottom w:val="single" w:sz="4" w:space="0" w:color="auto"/>
              <w:right w:val="single" w:sz="8" w:space="0" w:color="auto"/>
            </w:tcBorders>
            <w:shd w:val="clear" w:color="auto" w:fill="auto"/>
            <w:vAlign w:val="center"/>
          </w:tcPr>
          <w:p w14:paraId="320BEF94"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0EF2D12B" w14:textId="77777777" w:rsidR="008551B7" w:rsidRPr="00665928" w:rsidRDefault="008551B7" w:rsidP="00B85F10">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1 153 360</w:t>
            </w:r>
          </w:p>
        </w:tc>
        <w:tc>
          <w:tcPr>
            <w:tcW w:w="4475" w:type="dxa"/>
            <w:tcBorders>
              <w:top w:val="nil"/>
              <w:left w:val="single" w:sz="8" w:space="0" w:color="auto"/>
              <w:bottom w:val="single" w:sz="4" w:space="0" w:color="auto"/>
              <w:right w:val="single" w:sz="8" w:space="0" w:color="auto"/>
            </w:tcBorders>
            <w:shd w:val="clear" w:color="auto" w:fill="auto"/>
            <w:vAlign w:val="center"/>
          </w:tcPr>
          <w:p w14:paraId="144F0E47"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w:t>
            </w:r>
          </w:p>
        </w:tc>
      </w:tr>
      <w:tr w:rsidR="008551B7" w:rsidRPr="00665928" w14:paraId="341AD4D0"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2DE61F15"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Školstvo a šport</w:t>
            </w:r>
          </w:p>
        </w:tc>
        <w:tc>
          <w:tcPr>
            <w:tcW w:w="1175" w:type="dxa"/>
            <w:tcBorders>
              <w:top w:val="nil"/>
              <w:left w:val="nil"/>
              <w:bottom w:val="single" w:sz="4" w:space="0" w:color="auto"/>
              <w:right w:val="single" w:sz="8" w:space="0" w:color="auto"/>
            </w:tcBorders>
            <w:shd w:val="clear" w:color="auto" w:fill="auto"/>
            <w:vAlign w:val="center"/>
          </w:tcPr>
          <w:p w14:paraId="704323BF" w14:textId="77777777" w:rsidR="008551B7" w:rsidRPr="00665928" w:rsidRDefault="008551B7" w:rsidP="00665928">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5ABF3C4A"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20 213 020</w:t>
            </w:r>
          </w:p>
        </w:tc>
        <w:tc>
          <w:tcPr>
            <w:tcW w:w="4475" w:type="dxa"/>
            <w:tcBorders>
              <w:top w:val="nil"/>
              <w:left w:val="single" w:sz="8" w:space="0" w:color="auto"/>
              <w:bottom w:val="single" w:sz="4" w:space="0" w:color="auto"/>
              <w:right w:val="single" w:sz="8" w:space="0" w:color="auto"/>
            </w:tcBorders>
            <w:shd w:val="clear" w:color="auto" w:fill="auto"/>
            <w:vAlign w:val="center"/>
          </w:tcPr>
          <w:p w14:paraId="7578BDEB"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 MK SR, MŠ SR</w:t>
            </w:r>
          </w:p>
        </w:tc>
      </w:tr>
      <w:tr w:rsidR="008551B7" w:rsidRPr="00665928" w14:paraId="749E7785" w14:textId="77777777" w:rsidTr="00034A55">
        <w:trPr>
          <w:trHeight w:val="27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0462ED88"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Obecné a mestské úrady</w:t>
            </w:r>
          </w:p>
        </w:tc>
        <w:tc>
          <w:tcPr>
            <w:tcW w:w="1175" w:type="dxa"/>
            <w:tcBorders>
              <w:top w:val="nil"/>
              <w:left w:val="nil"/>
              <w:bottom w:val="single" w:sz="4" w:space="0" w:color="auto"/>
              <w:right w:val="single" w:sz="8" w:space="0" w:color="auto"/>
            </w:tcBorders>
            <w:shd w:val="clear" w:color="auto" w:fill="auto"/>
            <w:vAlign w:val="center"/>
          </w:tcPr>
          <w:p w14:paraId="623F3633" w14:textId="77777777" w:rsidR="008551B7" w:rsidRPr="00665928" w:rsidRDefault="008551B7" w:rsidP="00665928">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2E0F1A6B"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1 595 000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14755730"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w:t>
            </w:r>
          </w:p>
        </w:tc>
      </w:tr>
      <w:tr w:rsidR="008551B7" w:rsidRPr="00665928" w14:paraId="5D35FD69"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7E5C1429"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Vodné hospodárstvo</w:t>
            </w:r>
          </w:p>
        </w:tc>
        <w:tc>
          <w:tcPr>
            <w:tcW w:w="1175" w:type="dxa"/>
            <w:tcBorders>
              <w:top w:val="nil"/>
              <w:left w:val="nil"/>
              <w:bottom w:val="single" w:sz="4" w:space="0" w:color="auto"/>
              <w:right w:val="single" w:sz="8" w:space="0" w:color="auto"/>
            </w:tcBorders>
            <w:shd w:val="clear" w:color="auto" w:fill="auto"/>
            <w:noWrap/>
            <w:vAlign w:val="center"/>
          </w:tcPr>
          <w:p w14:paraId="2D7E69FF"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noWrap/>
            <w:vAlign w:val="center"/>
          </w:tcPr>
          <w:p w14:paraId="65B53446"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14 218 500</w:t>
            </w:r>
          </w:p>
        </w:tc>
        <w:tc>
          <w:tcPr>
            <w:tcW w:w="4475" w:type="dxa"/>
            <w:tcBorders>
              <w:top w:val="nil"/>
              <w:left w:val="single" w:sz="8" w:space="0" w:color="auto"/>
              <w:bottom w:val="single" w:sz="4" w:space="0" w:color="auto"/>
              <w:right w:val="single" w:sz="8" w:space="0" w:color="auto"/>
            </w:tcBorders>
            <w:shd w:val="clear" w:color="auto" w:fill="auto"/>
            <w:noWrap/>
            <w:vAlign w:val="center"/>
          </w:tcPr>
          <w:p w14:paraId="73A35D0F"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 Envirofond,</w:t>
            </w:r>
          </w:p>
        </w:tc>
      </w:tr>
      <w:tr w:rsidR="008551B7" w:rsidRPr="00665928" w14:paraId="39F43F04" w14:textId="77777777" w:rsidTr="00034A55">
        <w:trPr>
          <w:trHeight w:val="28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7B4793CF"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Hromadná doprava</w:t>
            </w:r>
          </w:p>
        </w:tc>
        <w:tc>
          <w:tcPr>
            <w:tcW w:w="1175" w:type="dxa"/>
            <w:tcBorders>
              <w:top w:val="nil"/>
              <w:left w:val="nil"/>
              <w:bottom w:val="single" w:sz="4" w:space="0" w:color="auto"/>
              <w:right w:val="single" w:sz="8" w:space="0" w:color="auto"/>
            </w:tcBorders>
            <w:shd w:val="clear" w:color="auto" w:fill="auto"/>
            <w:vAlign w:val="center"/>
          </w:tcPr>
          <w:p w14:paraId="03FE7745"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54324A56"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630 000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285AAEE5"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w:t>
            </w:r>
          </w:p>
        </w:tc>
      </w:tr>
      <w:tr w:rsidR="008551B7" w:rsidRPr="00665928" w14:paraId="11F101E4" w14:textId="77777777" w:rsidTr="00034A55">
        <w:trPr>
          <w:trHeight w:val="30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6A223C4A"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Kultúra</w:t>
            </w:r>
          </w:p>
        </w:tc>
        <w:tc>
          <w:tcPr>
            <w:tcW w:w="1175" w:type="dxa"/>
            <w:tcBorders>
              <w:top w:val="nil"/>
              <w:left w:val="nil"/>
              <w:bottom w:val="single" w:sz="4" w:space="0" w:color="auto"/>
              <w:right w:val="single" w:sz="8" w:space="0" w:color="auto"/>
            </w:tcBorders>
            <w:shd w:val="clear" w:color="auto" w:fill="auto"/>
            <w:vAlign w:val="center"/>
          </w:tcPr>
          <w:p w14:paraId="3E6FD9CB"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640324B3" w14:textId="77777777" w:rsidR="008551B7" w:rsidRPr="00665928" w:rsidRDefault="008551B7" w:rsidP="008551B7">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4 474 050</w:t>
            </w:r>
          </w:p>
        </w:tc>
        <w:tc>
          <w:tcPr>
            <w:tcW w:w="4475" w:type="dxa"/>
            <w:tcBorders>
              <w:top w:val="nil"/>
              <w:left w:val="single" w:sz="8" w:space="0" w:color="auto"/>
              <w:bottom w:val="single" w:sz="4" w:space="0" w:color="auto"/>
              <w:right w:val="single" w:sz="8" w:space="0" w:color="auto"/>
            </w:tcBorders>
            <w:shd w:val="clear" w:color="auto" w:fill="auto"/>
            <w:vAlign w:val="center"/>
          </w:tcPr>
          <w:p w14:paraId="67A3CCB4"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MK SR</w:t>
            </w:r>
          </w:p>
        </w:tc>
      </w:tr>
      <w:tr w:rsidR="008551B7" w:rsidRPr="00665928" w14:paraId="69A9D654" w14:textId="77777777" w:rsidTr="00034A55">
        <w:trPr>
          <w:trHeight w:val="30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65E23BE7"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Cestovný ruch</w:t>
            </w:r>
          </w:p>
        </w:tc>
        <w:tc>
          <w:tcPr>
            <w:tcW w:w="1175" w:type="dxa"/>
            <w:tcBorders>
              <w:top w:val="nil"/>
              <w:left w:val="nil"/>
              <w:bottom w:val="single" w:sz="4" w:space="0" w:color="auto"/>
              <w:right w:val="single" w:sz="8" w:space="0" w:color="auto"/>
            </w:tcBorders>
            <w:shd w:val="clear" w:color="auto" w:fill="auto"/>
            <w:vAlign w:val="center"/>
          </w:tcPr>
          <w:p w14:paraId="3320EFF9" w14:textId="77777777" w:rsidR="008551B7" w:rsidRPr="00665928" w:rsidRDefault="008551B7" w:rsidP="00665928">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11A3023F"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14 032 040</w:t>
            </w:r>
          </w:p>
        </w:tc>
        <w:tc>
          <w:tcPr>
            <w:tcW w:w="4475" w:type="dxa"/>
            <w:tcBorders>
              <w:top w:val="nil"/>
              <w:left w:val="single" w:sz="8" w:space="0" w:color="auto"/>
              <w:bottom w:val="single" w:sz="4" w:space="0" w:color="auto"/>
              <w:right w:val="single" w:sz="8" w:space="0" w:color="auto"/>
            </w:tcBorders>
            <w:shd w:val="clear" w:color="auto" w:fill="auto"/>
            <w:vAlign w:val="center"/>
          </w:tcPr>
          <w:p w14:paraId="3599D5BF"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w:t>
            </w:r>
          </w:p>
        </w:tc>
      </w:tr>
      <w:tr w:rsidR="008551B7" w:rsidRPr="00665928" w14:paraId="4483FD91"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33903B78"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Životné prostredie</w:t>
            </w:r>
          </w:p>
        </w:tc>
        <w:tc>
          <w:tcPr>
            <w:tcW w:w="1175" w:type="dxa"/>
            <w:tcBorders>
              <w:top w:val="nil"/>
              <w:left w:val="nil"/>
              <w:bottom w:val="single" w:sz="4" w:space="0" w:color="auto"/>
              <w:right w:val="single" w:sz="8" w:space="0" w:color="auto"/>
            </w:tcBorders>
            <w:shd w:val="clear" w:color="auto" w:fill="auto"/>
            <w:noWrap/>
            <w:vAlign w:val="center"/>
          </w:tcPr>
          <w:p w14:paraId="3F463419"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03498431" w14:textId="77777777" w:rsidR="008551B7" w:rsidRPr="00665928" w:rsidRDefault="008551B7" w:rsidP="00665928">
            <w:pPr>
              <w:spacing w:after="0" w:line="240" w:lineRule="auto"/>
              <w:jc w:val="right"/>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28 951 040</w:t>
            </w:r>
          </w:p>
        </w:tc>
        <w:tc>
          <w:tcPr>
            <w:tcW w:w="4475" w:type="dxa"/>
            <w:tcBorders>
              <w:top w:val="nil"/>
              <w:left w:val="single" w:sz="8" w:space="0" w:color="auto"/>
              <w:bottom w:val="single" w:sz="4" w:space="0" w:color="auto"/>
              <w:right w:val="single" w:sz="8" w:space="0" w:color="auto"/>
            </w:tcBorders>
            <w:shd w:val="clear" w:color="auto" w:fill="auto"/>
            <w:vAlign w:val="center"/>
          </w:tcPr>
          <w:p w14:paraId="36610EDD" w14:textId="77777777" w:rsidR="008551B7" w:rsidRPr="00665928" w:rsidRDefault="008551B7" w:rsidP="00665928">
            <w:pPr>
              <w:spacing w:after="0" w:line="240" w:lineRule="auto"/>
              <w:rPr>
                <w:rFonts w:ascii="Times New Roman" w:eastAsia="Times New Roman" w:hAnsi="Times New Roman" w:cs="Times New Roman"/>
                <w:color w:val="000000"/>
                <w:sz w:val="20"/>
                <w:szCs w:val="20"/>
                <w:lang w:eastAsia="cs-CZ"/>
              </w:rPr>
            </w:pPr>
            <w:r w:rsidRPr="00665928">
              <w:rPr>
                <w:rFonts w:ascii="Times New Roman" w:eastAsia="Times New Roman" w:hAnsi="Times New Roman" w:cs="Times New Roman"/>
                <w:color w:val="000000"/>
                <w:sz w:val="20"/>
                <w:szCs w:val="20"/>
                <w:lang w:eastAsia="cs-CZ"/>
              </w:rPr>
              <w:t>vlastné, štrukturálne fondy EÚ, MŽP SR</w:t>
            </w:r>
          </w:p>
        </w:tc>
      </w:tr>
      <w:tr w:rsidR="008551B7" w:rsidRPr="00665928" w14:paraId="72570C96" w14:textId="77777777" w:rsidTr="00034A55">
        <w:trPr>
          <w:trHeight w:val="270"/>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16A386E2"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Sociálna oblasť</w:t>
            </w:r>
          </w:p>
        </w:tc>
        <w:tc>
          <w:tcPr>
            <w:tcW w:w="1175" w:type="dxa"/>
            <w:tcBorders>
              <w:top w:val="nil"/>
              <w:left w:val="nil"/>
              <w:bottom w:val="single" w:sz="4" w:space="0" w:color="auto"/>
              <w:right w:val="single" w:sz="8" w:space="0" w:color="auto"/>
            </w:tcBorders>
            <w:shd w:val="clear" w:color="auto" w:fill="auto"/>
            <w:vAlign w:val="center"/>
          </w:tcPr>
          <w:p w14:paraId="1A7A5276"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61BA41D8"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6 147 200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417CF886"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w:t>
            </w:r>
          </w:p>
        </w:tc>
      </w:tr>
      <w:tr w:rsidR="008551B7" w:rsidRPr="00665928" w14:paraId="3FC425C2"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vAlign w:val="center"/>
          </w:tcPr>
          <w:p w14:paraId="108AC384"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Priemysel a podnikanie</w:t>
            </w:r>
          </w:p>
        </w:tc>
        <w:tc>
          <w:tcPr>
            <w:tcW w:w="1175" w:type="dxa"/>
            <w:tcBorders>
              <w:top w:val="nil"/>
              <w:left w:val="nil"/>
              <w:bottom w:val="single" w:sz="4" w:space="0" w:color="auto"/>
              <w:right w:val="single" w:sz="8" w:space="0" w:color="auto"/>
            </w:tcBorders>
            <w:shd w:val="clear" w:color="auto" w:fill="auto"/>
            <w:vAlign w:val="center"/>
          </w:tcPr>
          <w:p w14:paraId="367B5D85"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35BF847E"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24 527 640</w:t>
            </w:r>
          </w:p>
        </w:tc>
        <w:tc>
          <w:tcPr>
            <w:tcW w:w="4475" w:type="dxa"/>
            <w:tcBorders>
              <w:top w:val="nil"/>
              <w:left w:val="single" w:sz="8" w:space="0" w:color="auto"/>
              <w:bottom w:val="single" w:sz="4" w:space="0" w:color="auto"/>
              <w:right w:val="single" w:sz="8" w:space="0" w:color="auto"/>
            </w:tcBorders>
            <w:shd w:val="clear" w:color="auto" w:fill="auto"/>
            <w:vAlign w:val="center"/>
          </w:tcPr>
          <w:p w14:paraId="0F4AB310"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podnikateľské subjekty</w:t>
            </w:r>
          </w:p>
        </w:tc>
      </w:tr>
      <w:tr w:rsidR="008551B7" w:rsidRPr="00665928" w14:paraId="4F1945AF"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62E95F1D"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Informačné média</w:t>
            </w:r>
          </w:p>
        </w:tc>
        <w:tc>
          <w:tcPr>
            <w:tcW w:w="1175" w:type="dxa"/>
            <w:tcBorders>
              <w:top w:val="nil"/>
              <w:left w:val="nil"/>
              <w:bottom w:val="single" w:sz="4" w:space="0" w:color="auto"/>
              <w:right w:val="single" w:sz="8" w:space="0" w:color="auto"/>
            </w:tcBorders>
            <w:shd w:val="clear" w:color="auto" w:fill="auto"/>
            <w:vAlign w:val="center"/>
          </w:tcPr>
          <w:p w14:paraId="2DF2BAFF"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vAlign w:val="center"/>
          </w:tcPr>
          <w:p w14:paraId="53FC8BD9" w14:textId="77777777" w:rsidR="008551B7" w:rsidRPr="00665928" w:rsidRDefault="008551B7"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2 728 500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1A8DDB0D"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podnikateľské subjekty</w:t>
            </w:r>
          </w:p>
        </w:tc>
      </w:tr>
      <w:tr w:rsidR="008551B7" w:rsidRPr="00665928" w14:paraId="6E4F3423"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17931AC0"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Protipovodňová aktivita</w:t>
            </w:r>
          </w:p>
        </w:tc>
        <w:tc>
          <w:tcPr>
            <w:tcW w:w="1175" w:type="dxa"/>
            <w:tcBorders>
              <w:top w:val="nil"/>
              <w:left w:val="nil"/>
              <w:bottom w:val="single" w:sz="4" w:space="0" w:color="auto"/>
              <w:right w:val="single" w:sz="8" w:space="0" w:color="auto"/>
            </w:tcBorders>
            <w:shd w:val="clear" w:color="auto" w:fill="auto"/>
            <w:vAlign w:val="center"/>
          </w:tcPr>
          <w:p w14:paraId="0175F8DE"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noWrap/>
            <w:vAlign w:val="center"/>
          </w:tcPr>
          <w:p w14:paraId="25D90A35" w14:textId="77777777" w:rsidR="008551B7" w:rsidRPr="00665928" w:rsidRDefault="00B85F10"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2 653 000</w:t>
            </w:r>
          </w:p>
        </w:tc>
        <w:tc>
          <w:tcPr>
            <w:tcW w:w="4475" w:type="dxa"/>
            <w:tcBorders>
              <w:top w:val="nil"/>
              <w:left w:val="single" w:sz="8" w:space="0" w:color="auto"/>
              <w:bottom w:val="single" w:sz="4" w:space="0" w:color="auto"/>
              <w:right w:val="single" w:sz="8" w:space="0" w:color="auto"/>
            </w:tcBorders>
            <w:shd w:val="clear" w:color="auto" w:fill="auto"/>
            <w:vAlign w:val="center"/>
          </w:tcPr>
          <w:p w14:paraId="12695785"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w:t>
            </w:r>
          </w:p>
        </w:tc>
      </w:tr>
      <w:tr w:rsidR="008551B7" w:rsidRPr="00665928" w14:paraId="136C0371" w14:textId="77777777" w:rsidTr="00034A55">
        <w:trPr>
          <w:trHeight w:val="255"/>
        </w:trPr>
        <w:tc>
          <w:tcPr>
            <w:tcW w:w="2080" w:type="dxa"/>
            <w:tcBorders>
              <w:top w:val="nil"/>
              <w:left w:val="single" w:sz="8" w:space="0" w:color="auto"/>
              <w:bottom w:val="single" w:sz="4" w:space="0" w:color="auto"/>
              <w:right w:val="single" w:sz="8" w:space="0" w:color="auto"/>
            </w:tcBorders>
            <w:shd w:val="clear" w:color="auto" w:fill="auto"/>
            <w:noWrap/>
            <w:vAlign w:val="center"/>
          </w:tcPr>
          <w:p w14:paraId="6F90085A"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Plynofikácia</w:t>
            </w:r>
          </w:p>
        </w:tc>
        <w:tc>
          <w:tcPr>
            <w:tcW w:w="1175" w:type="dxa"/>
            <w:tcBorders>
              <w:top w:val="nil"/>
              <w:left w:val="nil"/>
              <w:bottom w:val="single" w:sz="4" w:space="0" w:color="auto"/>
              <w:right w:val="single" w:sz="8" w:space="0" w:color="auto"/>
            </w:tcBorders>
            <w:shd w:val="clear" w:color="auto" w:fill="auto"/>
            <w:noWrap/>
            <w:vAlign w:val="center"/>
          </w:tcPr>
          <w:p w14:paraId="039D6101"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4" w:space="0" w:color="auto"/>
              <w:right w:val="nil"/>
            </w:tcBorders>
            <w:shd w:val="clear" w:color="auto" w:fill="auto"/>
            <w:noWrap/>
            <w:vAlign w:val="center"/>
          </w:tcPr>
          <w:p w14:paraId="479F2407" w14:textId="77777777" w:rsidR="008551B7" w:rsidRPr="00665928" w:rsidRDefault="00B85F10"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1 303 060</w:t>
            </w:r>
          </w:p>
        </w:tc>
        <w:tc>
          <w:tcPr>
            <w:tcW w:w="4475" w:type="dxa"/>
            <w:tcBorders>
              <w:top w:val="nil"/>
              <w:left w:val="single" w:sz="8" w:space="0" w:color="auto"/>
              <w:bottom w:val="single" w:sz="4" w:space="0" w:color="auto"/>
              <w:right w:val="single" w:sz="8" w:space="0" w:color="auto"/>
            </w:tcBorders>
            <w:shd w:val="clear" w:color="auto" w:fill="auto"/>
            <w:noWrap/>
            <w:vAlign w:val="center"/>
          </w:tcPr>
          <w:p w14:paraId="3F35F104"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SPP</w:t>
            </w:r>
            <w:r>
              <w:rPr>
                <w:rFonts w:ascii="Times New Roman" w:eastAsia="Times New Roman" w:hAnsi="Times New Roman" w:cs="Times New Roman"/>
                <w:sz w:val="20"/>
                <w:szCs w:val="20"/>
                <w:lang w:eastAsia="cs-CZ"/>
              </w:rPr>
              <w:t xml:space="preserve"> </w:t>
            </w:r>
            <w:r w:rsidRPr="00665928">
              <w:rPr>
                <w:rFonts w:ascii="Times New Roman" w:eastAsia="Times New Roman" w:hAnsi="Times New Roman" w:cs="Times New Roman"/>
                <w:sz w:val="20"/>
                <w:szCs w:val="20"/>
                <w:lang w:eastAsia="cs-CZ"/>
              </w:rPr>
              <w:t>a.s., bankový úver</w:t>
            </w:r>
          </w:p>
        </w:tc>
      </w:tr>
      <w:tr w:rsidR="008551B7" w:rsidRPr="00665928" w14:paraId="47504882" w14:textId="77777777" w:rsidTr="00034A55">
        <w:trPr>
          <w:trHeight w:val="270"/>
        </w:trPr>
        <w:tc>
          <w:tcPr>
            <w:tcW w:w="2080" w:type="dxa"/>
            <w:tcBorders>
              <w:top w:val="nil"/>
              <w:left w:val="single" w:sz="8" w:space="0" w:color="auto"/>
              <w:bottom w:val="nil"/>
              <w:right w:val="single" w:sz="8" w:space="0" w:color="auto"/>
            </w:tcBorders>
            <w:shd w:val="clear" w:color="auto" w:fill="auto"/>
            <w:noWrap/>
            <w:vAlign w:val="center"/>
          </w:tcPr>
          <w:p w14:paraId="31CCC97D"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Územné plány</w:t>
            </w:r>
          </w:p>
        </w:tc>
        <w:tc>
          <w:tcPr>
            <w:tcW w:w="1175" w:type="dxa"/>
            <w:tcBorders>
              <w:top w:val="nil"/>
              <w:left w:val="nil"/>
              <w:bottom w:val="single" w:sz="8" w:space="0" w:color="auto"/>
              <w:right w:val="single" w:sz="8" w:space="0" w:color="auto"/>
            </w:tcBorders>
            <w:shd w:val="clear" w:color="auto" w:fill="auto"/>
            <w:noWrap/>
            <w:vAlign w:val="center"/>
          </w:tcPr>
          <w:p w14:paraId="185A862C"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2016 - 2022</w:t>
            </w:r>
          </w:p>
        </w:tc>
        <w:tc>
          <w:tcPr>
            <w:tcW w:w="1440" w:type="dxa"/>
            <w:tcBorders>
              <w:top w:val="nil"/>
              <w:left w:val="nil"/>
              <w:bottom w:val="single" w:sz="8" w:space="0" w:color="auto"/>
              <w:right w:val="nil"/>
            </w:tcBorders>
            <w:shd w:val="clear" w:color="auto" w:fill="auto"/>
            <w:noWrap/>
            <w:vAlign w:val="center"/>
          </w:tcPr>
          <w:p w14:paraId="63D9FD94" w14:textId="77777777" w:rsidR="008551B7" w:rsidRPr="00665928" w:rsidRDefault="00B85F10" w:rsidP="0066592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594 450</w:t>
            </w:r>
          </w:p>
        </w:tc>
        <w:tc>
          <w:tcPr>
            <w:tcW w:w="4475" w:type="dxa"/>
            <w:tcBorders>
              <w:top w:val="nil"/>
              <w:left w:val="single" w:sz="8" w:space="0" w:color="auto"/>
              <w:bottom w:val="single" w:sz="4" w:space="0" w:color="auto"/>
              <w:right w:val="single" w:sz="8" w:space="0" w:color="auto"/>
            </w:tcBorders>
            <w:shd w:val="clear" w:color="auto" w:fill="auto"/>
            <w:vAlign w:val="center"/>
          </w:tcPr>
          <w:p w14:paraId="3CE20E6D"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vlastné, štrukturálne fondy EÚ, PRV, MK SR</w:t>
            </w:r>
          </w:p>
        </w:tc>
      </w:tr>
      <w:tr w:rsidR="008551B7" w:rsidRPr="00665928" w14:paraId="6CB808C9" w14:textId="77777777" w:rsidTr="00034A55">
        <w:trPr>
          <w:trHeight w:val="270"/>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FA860E" w14:textId="77777777" w:rsidR="008551B7" w:rsidRPr="00665928" w:rsidRDefault="008551B7" w:rsidP="00665928">
            <w:pPr>
              <w:spacing w:after="0" w:line="240" w:lineRule="auto"/>
              <w:rPr>
                <w:rFonts w:ascii="Times New Roman" w:eastAsia="Times New Roman" w:hAnsi="Times New Roman" w:cs="Times New Roman"/>
                <w:b/>
                <w:bCs/>
                <w:sz w:val="20"/>
                <w:szCs w:val="20"/>
                <w:lang w:eastAsia="cs-CZ"/>
              </w:rPr>
            </w:pPr>
            <w:r w:rsidRPr="00665928">
              <w:rPr>
                <w:rFonts w:ascii="Times New Roman" w:eastAsia="Times New Roman" w:hAnsi="Times New Roman" w:cs="Times New Roman"/>
                <w:b/>
                <w:bCs/>
                <w:sz w:val="20"/>
                <w:szCs w:val="20"/>
                <w:lang w:eastAsia="cs-CZ"/>
              </w:rPr>
              <w:t xml:space="preserve">SPOLU </w:t>
            </w:r>
          </w:p>
        </w:tc>
        <w:tc>
          <w:tcPr>
            <w:tcW w:w="1175" w:type="dxa"/>
            <w:tcBorders>
              <w:top w:val="nil"/>
              <w:left w:val="nil"/>
              <w:bottom w:val="single" w:sz="8" w:space="0" w:color="auto"/>
              <w:right w:val="single" w:sz="8" w:space="0" w:color="auto"/>
            </w:tcBorders>
            <w:shd w:val="clear" w:color="auto" w:fill="auto"/>
            <w:noWrap/>
            <w:vAlign w:val="center"/>
          </w:tcPr>
          <w:p w14:paraId="3EF5B754" w14:textId="77777777" w:rsidR="008551B7" w:rsidRPr="008551B7" w:rsidRDefault="008551B7" w:rsidP="00665928">
            <w:pPr>
              <w:spacing w:after="0" w:line="240" w:lineRule="auto"/>
              <w:rPr>
                <w:rFonts w:ascii="Times New Roman" w:eastAsia="Times New Roman" w:hAnsi="Times New Roman" w:cs="Times New Roman"/>
                <w:b/>
                <w:bCs/>
                <w:sz w:val="20"/>
                <w:szCs w:val="20"/>
                <w:lang w:eastAsia="cs-CZ"/>
              </w:rPr>
            </w:pPr>
            <w:r w:rsidRPr="008551B7">
              <w:rPr>
                <w:rFonts w:ascii="Times New Roman" w:eastAsia="Times New Roman" w:hAnsi="Times New Roman" w:cs="Times New Roman"/>
                <w:b/>
                <w:sz w:val="20"/>
                <w:szCs w:val="20"/>
                <w:lang w:eastAsia="cs-CZ"/>
              </w:rPr>
              <w:t>2016 - 2022</w:t>
            </w:r>
          </w:p>
        </w:tc>
        <w:tc>
          <w:tcPr>
            <w:tcW w:w="1440" w:type="dxa"/>
            <w:tcBorders>
              <w:top w:val="nil"/>
              <w:left w:val="nil"/>
              <w:bottom w:val="single" w:sz="8" w:space="0" w:color="auto"/>
              <w:right w:val="nil"/>
            </w:tcBorders>
            <w:shd w:val="clear" w:color="auto" w:fill="auto"/>
            <w:noWrap/>
            <w:vAlign w:val="center"/>
          </w:tcPr>
          <w:p w14:paraId="7386EF40" w14:textId="77777777" w:rsidR="008551B7" w:rsidRPr="00665928" w:rsidRDefault="007E3465" w:rsidP="00034A55">
            <w:pPr>
              <w:spacing w:after="0" w:line="240" w:lineRule="auto"/>
              <w:jc w:val="right"/>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255 295 520</w:t>
            </w:r>
          </w:p>
        </w:tc>
        <w:tc>
          <w:tcPr>
            <w:tcW w:w="44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954D02" w14:textId="77777777" w:rsidR="008551B7" w:rsidRPr="00665928" w:rsidRDefault="008551B7" w:rsidP="00665928">
            <w:pPr>
              <w:spacing w:after="0" w:line="240" w:lineRule="auto"/>
              <w:rPr>
                <w:rFonts w:ascii="Times New Roman" w:eastAsia="Times New Roman" w:hAnsi="Times New Roman" w:cs="Times New Roman"/>
                <w:sz w:val="20"/>
                <w:szCs w:val="20"/>
                <w:lang w:eastAsia="cs-CZ"/>
              </w:rPr>
            </w:pPr>
            <w:r w:rsidRPr="00665928">
              <w:rPr>
                <w:rFonts w:ascii="Times New Roman" w:eastAsia="Times New Roman" w:hAnsi="Times New Roman" w:cs="Times New Roman"/>
                <w:sz w:val="20"/>
                <w:szCs w:val="20"/>
                <w:lang w:eastAsia="cs-CZ"/>
              </w:rPr>
              <w:t> </w:t>
            </w:r>
          </w:p>
        </w:tc>
      </w:tr>
    </w:tbl>
    <w:p w14:paraId="6B35F6A9" w14:textId="77777777" w:rsidR="00466EEB" w:rsidRPr="00665928" w:rsidRDefault="00466EEB" w:rsidP="00466EEB">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Zdroj: PHSR obcí a miest kopaničiarskeho regiónu</w:t>
      </w:r>
      <w:r>
        <w:rPr>
          <w:rFonts w:ascii="Times New Roman" w:hAnsi="Times New Roman" w:cs="Times New Roman"/>
          <w:b/>
          <w:sz w:val="20"/>
          <w:szCs w:val="20"/>
        </w:rPr>
        <w:t xml:space="preserve"> pre roky 2016 - 2020</w:t>
      </w:r>
    </w:p>
    <w:p w14:paraId="1044A41D" w14:textId="77777777" w:rsidR="00C57880" w:rsidRDefault="00C57880" w:rsidP="00EC62F5">
      <w:pPr>
        <w:spacing w:before="120" w:after="0" w:line="360" w:lineRule="auto"/>
        <w:jc w:val="both"/>
        <w:rPr>
          <w:rFonts w:ascii="Times New Roman" w:hAnsi="Times New Roman" w:cs="Times New Roman"/>
          <w:b/>
          <w:i/>
          <w:sz w:val="24"/>
          <w:szCs w:val="24"/>
        </w:rPr>
      </w:pPr>
    </w:p>
    <w:p w14:paraId="3458A39C" w14:textId="77777777" w:rsidR="00EC62F5" w:rsidRPr="004469C4" w:rsidRDefault="00EC62F5" w:rsidP="00EC62F5">
      <w:pPr>
        <w:spacing w:before="120" w:after="0" w:line="360" w:lineRule="auto"/>
        <w:jc w:val="both"/>
        <w:rPr>
          <w:rFonts w:ascii="Times New Roman" w:hAnsi="Times New Roman" w:cs="Times New Roman"/>
          <w:b/>
          <w:i/>
          <w:sz w:val="24"/>
          <w:szCs w:val="24"/>
        </w:rPr>
      </w:pPr>
      <w:r w:rsidRPr="004469C4">
        <w:rPr>
          <w:rFonts w:ascii="Times New Roman" w:hAnsi="Times New Roman" w:cs="Times New Roman"/>
          <w:b/>
          <w:i/>
          <w:sz w:val="24"/>
          <w:szCs w:val="24"/>
        </w:rPr>
        <w:t xml:space="preserve">Popis ekonomických zdrojov </w:t>
      </w:r>
    </w:p>
    <w:p w14:paraId="47895E8E" w14:textId="77777777" w:rsidR="00EC62F5" w:rsidRPr="00EC62F5" w:rsidRDefault="00654706" w:rsidP="006547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Rozdiely v sektoroch a odvetviach v rámci územia – geografické rozmiestnenie odvetví, nezamestnanosti, prípadných sociálnych problémov, ako aj širšie ekonomické prepojenie mimo územia verejno-súkromného partnerstva (MAS) – výskyt veľkých zamestnávateľov v blízkosti územia a pod. </w:t>
      </w:r>
    </w:p>
    <w:p w14:paraId="7BFD40FA" w14:textId="77777777" w:rsidR="00EC62F5" w:rsidRPr="00EC62F5" w:rsidRDefault="00654706" w:rsidP="006547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C62F5" w:rsidRPr="00EC62F5">
        <w:rPr>
          <w:rFonts w:ascii="Times New Roman" w:hAnsi="Times New Roman" w:cs="Times New Roman"/>
          <w:sz w:val="24"/>
          <w:szCs w:val="24"/>
        </w:rPr>
        <w:t>Kopaničiarsky región má podľa zastúpenia jednotlivých sektorov v podnikateľskej sfére podobné rozloženie ako SR. Z celkového počtu 3 602 podnikateľských subjektov pôsobiacich k 31.12.200</w:t>
      </w:r>
      <w:r w:rsidR="00466EEB">
        <w:rPr>
          <w:rFonts w:ascii="Times New Roman" w:hAnsi="Times New Roman" w:cs="Times New Roman"/>
          <w:sz w:val="24"/>
          <w:szCs w:val="24"/>
        </w:rPr>
        <w:t>14</w:t>
      </w:r>
      <w:r w:rsidR="00EC62F5" w:rsidRPr="00EC62F5">
        <w:rPr>
          <w:rFonts w:ascii="Times New Roman" w:hAnsi="Times New Roman" w:cs="Times New Roman"/>
          <w:sz w:val="24"/>
          <w:szCs w:val="24"/>
        </w:rPr>
        <w:t xml:space="preserve"> v regióne až 2 260 spadá do terciárneho sektora, čo predstavuje 62,8 %. Nasleduje sekundárny sektor, pod ktorý spadá priemysel a stavebníctvo s 32,3 %. Zvyšných 4,9 % spadá pod primárny sektor (poľnohospodárstvo, lesné hospodárstvo a rybolov). </w:t>
      </w:r>
      <w:r w:rsidR="00EC62F5" w:rsidRPr="009663F2">
        <w:rPr>
          <w:rFonts w:ascii="Times New Roman" w:hAnsi="Times New Roman" w:cs="Times New Roman"/>
          <w:sz w:val="24"/>
          <w:szCs w:val="24"/>
        </w:rPr>
        <w:t xml:space="preserve">Percentuálne zastúpenie jednotlivých sektorov v rámci podnikateľskej sféry v Kopaničiarskom regióne znázorňuje graf č. </w:t>
      </w:r>
      <w:r>
        <w:rPr>
          <w:rFonts w:ascii="Times New Roman" w:hAnsi="Times New Roman" w:cs="Times New Roman"/>
          <w:sz w:val="24"/>
          <w:szCs w:val="24"/>
        </w:rPr>
        <w:t>3.1.8</w:t>
      </w:r>
      <w:r w:rsidR="00EC62F5" w:rsidRPr="009663F2">
        <w:rPr>
          <w:rFonts w:ascii="Times New Roman" w:hAnsi="Times New Roman" w:cs="Times New Roman"/>
          <w:sz w:val="24"/>
          <w:szCs w:val="24"/>
        </w:rPr>
        <w:t>.</w:t>
      </w:r>
    </w:p>
    <w:p w14:paraId="3DB2BD64" w14:textId="77777777" w:rsidR="00EC62F5" w:rsidRPr="00660B7A" w:rsidRDefault="00EC62F5" w:rsidP="00AD28C3">
      <w:pPr>
        <w:spacing w:before="120" w:after="0" w:line="360" w:lineRule="auto"/>
        <w:jc w:val="both"/>
        <w:rPr>
          <w:rFonts w:ascii="Times New Roman" w:hAnsi="Times New Roman" w:cs="Times New Roman"/>
          <w:b/>
          <w:sz w:val="20"/>
          <w:szCs w:val="20"/>
        </w:rPr>
      </w:pPr>
      <w:r w:rsidRPr="00660B7A">
        <w:rPr>
          <w:rFonts w:ascii="Times New Roman" w:hAnsi="Times New Roman" w:cs="Times New Roman"/>
          <w:b/>
          <w:sz w:val="20"/>
          <w:szCs w:val="20"/>
        </w:rPr>
        <w:t xml:space="preserve">Graf  </w:t>
      </w:r>
      <w:r w:rsidR="00654706" w:rsidRPr="00660B7A">
        <w:rPr>
          <w:rFonts w:ascii="Times New Roman" w:hAnsi="Times New Roman" w:cs="Times New Roman"/>
          <w:b/>
          <w:sz w:val="20"/>
          <w:szCs w:val="20"/>
        </w:rPr>
        <w:t xml:space="preserve">3.1.8 </w:t>
      </w:r>
    </w:p>
    <w:p w14:paraId="0D1887DD" w14:textId="77777777" w:rsidR="00466EEB" w:rsidRPr="009663F2" w:rsidRDefault="00134DCA" w:rsidP="00EC62F5">
      <w:pPr>
        <w:spacing w:before="120" w:after="0" w:line="360" w:lineRule="auto"/>
        <w:jc w:val="both"/>
        <w:rPr>
          <w:rFonts w:ascii="Times New Roman" w:hAnsi="Times New Roman" w:cs="Times New Roman"/>
          <w:b/>
          <w:sz w:val="24"/>
          <w:szCs w:val="24"/>
        </w:rPr>
      </w:pPr>
      <w:r>
        <w:rPr>
          <w:noProof/>
          <w:lang w:eastAsia="sk-SK"/>
        </w:rPr>
      </w:r>
      <w:r>
        <w:rPr>
          <w:noProof/>
          <w:lang w:eastAsia="sk-SK"/>
        </w:rPr>
        <w:pict w14:anchorId="00AAF9E3">
          <v:group id="_x0000_s1029" editas="canvas" style="width:412.5pt;height:223.5pt;mso-position-horizontal-relative:char;mso-position-vertical-relative:line" coordsize="8250,44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250;height:4470" o:preferrelative="f">
              <v:fill o:detectmouseclick="t"/>
              <v:path o:extrusionok="t" o:connecttype="none"/>
              <o:lock v:ext="edit" text="t"/>
            </v:shape>
            <v:rect id="_x0000_s1030" style="position:absolute;left:75;top:75;width:8085;height:4320" strokeweight="0"/>
            <v:shape id="_x0000_s1031" style="position:absolute;left:4320;top:1980;width:600;height:1020" coordsize="600,1020" path="m,480l600,r,540l,1020,,480xe" fillcolor="#004000" strokeweight="42e-5mm">
              <v:path arrowok="t"/>
            </v:shape>
            <v:shape id="_x0000_s1032" style="position:absolute;left:4320;top:1965;width:600;height:495" coordsize="600,495" path="m,l75,r60,l210,r60,l345,r60,l480,15r60,l600,15,,495,,xe" fillcolor="green" strokeweight="42e-5mm">
              <v:path arrowok="t"/>
            </v:shape>
            <v:shape id="_x0000_s1033" style="position:absolute;left:6090;top:2550;width:555;height:900" coordsize="555,900" path="m555,r,15l540,45r,15l540,60,525,75r-15,30l495,120r-15,15l465,150r-15,15l435,180r-30,15l390,210r-30,15l330,240r-15,l270,270r-30,l195,285r-30,15l120,315,90,330,45,345,,360,,900,45,885,90,870r30,-15l165,840r30,-15l240,810r30,l315,780r15,l360,765r30,-15l405,735r30,-15l450,705r15,-15l480,675r15,-15l510,645r15,-30l540,600r,l540,585r15,-30l555,540,555,xe" fillcolor="#404040" strokeweight="42e-5mm">
              <v:path arrowok="t"/>
            </v:shape>
            <v:shape id="_x0000_s1034" style="position:absolute;left:4695;top:2550;width:1395;height:885" coordsize="1395,885" path="m,l1395,345r,540l,540,,xe" fillcolor="#404040" strokeweight="42e-5mm">
              <v:path arrowok="t"/>
            </v:shape>
            <v:shape id="_x0000_s1035" style="position:absolute;left:4695;top:2070;width:1950;height:840" coordsize="1950,840" path="m600,r75,15l735,15r60,15l855,30r60,15l975,45r60,15l1065,60r60,15l1170,75r60,15l1275,105r60,15l1380,135r45,l1470,150r45,15l1560,180r30,15l1635,210r30,15l1710,240r15,15l1755,270r30,15l1800,300r30,15l1845,330r30,15l1890,360r15,15l1920,390r,30l1935,435r,15l1950,465r,15l1950,495r,15l1935,525r,15l1920,555r-15,30l1890,600r-15,15l1860,630r-15,15l1815,660r-30,15l1770,690r-30,15l1710,720r-30,15l1650,750r-30,15l1575,780r-45,15l1485,810r-45,15l1395,840,,480,600,xe" fillcolor="gray" strokeweight="42e-5mm">
              <v:path arrowok="t"/>
            </v:shape>
            <v:shape id="_x0000_s1036" style="position:absolute;left:1875;top:2625;width:3330;height:1050" coordsize="3330,1050" path="m3330,360r-45,l3240,375r-60,15l3135,405r-60,l3030,420r-60,15l2910,435r-60,15l2790,450r-60,15l2670,465r-60,15l2535,480r-60,l2415,495r-75,l2310,495r-60,l2175,510r-60,l2040,510r-60,l1905,510r-75,l1770,510r-75,l1635,495r-60,l1500,495r-60,l1365,480r-60,l1245,480r-60,-15l1125,465r-75,-15l990,450,945,435,885,420r-60,l765,405,720,390r-60,l615,375,570,360,525,345,480,330,435,315,390,300,345,285r-15,l285,270,255,255,225,240,195,225,165,210,135,195,120,180,90,165,75,135,60,120,45,105,30,90,15,75,,60,,45,,15,,,,540r,15l,585r,15l15,615r15,15l45,645r15,15l75,675r15,30l120,720r15,15l165,750r30,15l225,780r30,15l285,810r45,15l345,825r45,15l435,855r45,15l525,885r45,15l615,915r45,15l720,930r45,15l825,960r60,l945,975r45,15l1050,990r75,15l1185,1005r60,15l1305,1020r60,l1440,1035r60,l1575,1035r60,l1695,1050r75,l1830,1050r75,l1980,1050r60,l2115,1050r60,l2250,1035r60,l2340,1035r75,l2475,1020r60,l2610,1020r60,-15l2730,1005r60,-15l2850,990r60,-15l2970,975r60,-15l3075,945r60,l3180,930r60,-15l3285,900r45,l3330,360xe" fillcolor="navy" strokeweight="42e-5mm">
              <v:path arrowok="t"/>
            </v:shape>
            <v:shape id="_x0000_s1037" style="position:absolute;left:1875;top:2130;width:3330;height:1005" coordsize="3330,1005" path="m3330,855r-45,l3240,870r-60,15l3135,900r-60,l3030,915r-60,15l2910,930r-60,15l2790,945r-60,15l2670,960r-60,15l2535,975r-60,l2415,990r-75,l2280,990r-75,l2145,1005r-75,l2010,1005r-75,l1875,1005r-75,l1740,1005r-75,-15l1605,990r-30,l1500,990r-60,l1365,975r-60,l1245,975r-60,-15l1125,960r-75,-15l990,945,945,930,885,915r-60,l765,900,720,885r-60,l615,870,570,855,525,840,480,825,435,810,390,795,345,780,315,765r-45,l240,735,210,720,180,705,150,690,120,675,105,660,75,645,60,630,45,615,30,600,15,570r,-15l,540,,525,,510,,495,,465,,450,15,435r,-15l30,405,45,390,60,375,75,345r30,-15l120,315r30,-15l180,285r30,-15l240,255r30,-15l315,225r15,l360,210r45,-15l450,180r45,-15l540,150r45,-15l645,120r45,l750,105,795,90,855,75r60,l960,60r60,l1080,45r75,l1215,30r60,l1335,15r75,l1470,15,1530,r75,l1665,r75,l1800,r75,l1935,r,495l3330,855xe" fillcolor="blue" strokeweight="42e-5mm">
              <v:path arrowok="t"/>
            </v:shape>
            <v:rect id="_x0000_s1038" style="position:absolute;left:1815;top:225;width:4687;height:517;mso-wrap-style:none" filled="f" stroked="f">
              <v:textbox style="mso-next-textbox:#_x0000_s1038;mso-fit-shape-to-text:t" inset="0,0,0,0">
                <w:txbxContent>
                  <w:p w14:paraId="5BD6E633" w14:textId="77777777" w:rsidR="00134DCA" w:rsidRDefault="00134DCA">
                    <w:r>
                      <w:rPr>
                        <w:rFonts w:ascii="Arial" w:hAnsi="Arial" w:cs="Arial"/>
                        <w:b/>
                        <w:bCs/>
                        <w:i/>
                        <w:iCs/>
                        <w:color w:val="000000"/>
                        <w:sz w:val="24"/>
                        <w:szCs w:val="24"/>
                        <w:lang w:val="en-US"/>
                      </w:rPr>
                      <w:t xml:space="preserve">Zastúpenie podnikateľských subjektov v </w:t>
                    </w:r>
                  </w:p>
                </w:txbxContent>
              </v:textbox>
            </v:rect>
            <v:rect id="_x0000_s1039" style="position:absolute;left:1095;top:525;width:6193;height:517;mso-wrap-style:none" filled="f" stroked="f">
              <v:textbox style="mso-next-textbox:#_x0000_s1039;mso-fit-shape-to-text:t" inset="0,0,0,0">
                <w:txbxContent>
                  <w:p w14:paraId="597E872E" w14:textId="77777777" w:rsidR="00134DCA" w:rsidRDefault="00134DCA">
                    <w:r>
                      <w:rPr>
                        <w:rFonts w:ascii="Arial" w:hAnsi="Arial" w:cs="Arial"/>
                        <w:b/>
                        <w:bCs/>
                        <w:i/>
                        <w:iCs/>
                        <w:color w:val="000000"/>
                        <w:sz w:val="24"/>
                        <w:szCs w:val="24"/>
                        <w:lang w:val="en-US"/>
                      </w:rPr>
                      <w:t xml:space="preserve">Kopaničiarskom regióne  podľa jednotlivých sektorov </w:t>
                    </w:r>
                  </w:p>
                </w:txbxContent>
              </v:textbox>
            </v:rect>
            <v:rect id="_x0000_s1040" style="position:absolute;left:2595;top:825;width:3099;height:517;mso-wrap-style:none" filled="f" stroked="f">
              <v:textbox style="mso-next-textbox:#_x0000_s1040;mso-fit-shape-to-text:t" inset="0,0,0,0">
                <w:txbxContent>
                  <w:p w14:paraId="4B02C42A" w14:textId="77777777" w:rsidR="00134DCA" w:rsidRPr="00E02984" w:rsidRDefault="00134DCA">
                    <w:pPr>
                      <w:rPr>
                        <w:rFonts w:ascii="Arial" w:hAnsi="Arial" w:cs="Arial"/>
                        <w:b/>
                        <w:bCs/>
                        <w:i/>
                        <w:iCs/>
                        <w:color w:val="000000"/>
                        <w:sz w:val="24"/>
                        <w:szCs w:val="24"/>
                        <w:lang w:val="en-US"/>
                      </w:rPr>
                    </w:pPr>
                    <w:r>
                      <w:rPr>
                        <w:rFonts w:ascii="Arial" w:hAnsi="Arial" w:cs="Arial"/>
                        <w:b/>
                        <w:bCs/>
                        <w:i/>
                        <w:iCs/>
                        <w:color w:val="000000"/>
                        <w:sz w:val="24"/>
                        <w:szCs w:val="24"/>
                        <w:lang w:val="en-US"/>
                      </w:rPr>
                      <w:t>hospodárstva k 31.12.2014</w:t>
                    </w:r>
                  </w:p>
                </w:txbxContent>
              </v:textbox>
            </v:rect>
            <v:rect id="_x0000_s1041" style="position:absolute;left:4665;top:1440;width:1523;height:464;mso-wrap-style:none" filled="f" stroked="f">
              <v:textbox style="mso-next-textbox:#_x0000_s1041;mso-fit-shape-to-text:t" inset="0,0,0,0">
                <w:txbxContent>
                  <w:p w14:paraId="747FA475" w14:textId="77777777" w:rsidR="00134DCA" w:rsidRDefault="00134DCA">
                    <w:r>
                      <w:rPr>
                        <w:rFonts w:ascii="Arial" w:hAnsi="Arial" w:cs="Arial"/>
                        <w:b/>
                        <w:bCs/>
                        <w:color w:val="000000"/>
                        <w:sz w:val="20"/>
                        <w:szCs w:val="20"/>
                        <w:lang w:val="en-US"/>
                      </w:rPr>
                      <w:t xml:space="preserve">Primárny sektor  </w:t>
                    </w:r>
                  </w:p>
                </w:txbxContent>
              </v:textbox>
            </v:rect>
            <v:rect id="_x0000_s1042" style="position:absolute;left:5175;top:1695;width:512;height:464;mso-wrap-style:none" filled="f" stroked="f">
              <v:textbox style="mso-next-textbox:#_x0000_s1042;mso-fit-shape-to-text:t" inset="0,0,0,0">
                <w:txbxContent>
                  <w:p w14:paraId="0D3CA332" w14:textId="77777777" w:rsidR="00134DCA" w:rsidRDefault="00134DCA">
                    <w:r>
                      <w:rPr>
                        <w:rFonts w:ascii="Arial" w:hAnsi="Arial" w:cs="Arial"/>
                        <w:b/>
                        <w:bCs/>
                        <w:color w:val="000000"/>
                        <w:sz w:val="20"/>
                        <w:szCs w:val="20"/>
                        <w:lang w:val="en-US"/>
                      </w:rPr>
                      <w:t>4,9 %</w:t>
                    </w:r>
                  </w:p>
                </w:txbxContent>
              </v:textbox>
            </v:rect>
            <v:rect id="_x0000_s1043" style="position:absolute;left:6480;top:1635;width:1145;height:464;mso-wrap-style:none" filled="f" stroked="f">
              <v:textbox style="mso-next-textbox:#_x0000_s1043;mso-fit-shape-to-text:t" inset="0,0,0,0">
                <w:txbxContent>
                  <w:p w14:paraId="361BD41B" w14:textId="77777777" w:rsidR="00134DCA" w:rsidRDefault="00134DCA">
                    <w:r>
                      <w:rPr>
                        <w:rFonts w:ascii="Arial" w:hAnsi="Arial" w:cs="Arial"/>
                        <w:b/>
                        <w:bCs/>
                        <w:color w:val="000000"/>
                        <w:sz w:val="20"/>
                        <w:szCs w:val="20"/>
                        <w:lang w:val="en-US"/>
                      </w:rPr>
                      <w:t xml:space="preserve">Sekundárny </w:t>
                    </w:r>
                  </w:p>
                </w:txbxContent>
              </v:textbox>
            </v:rect>
            <v:rect id="_x0000_s1044" style="position:absolute;left:6435;top:1890;width:1279;height:464;mso-wrap-style:none" filled="f" stroked="f">
              <v:textbox style="mso-next-textbox:#_x0000_s1044;mso-fit-shape-to-text:t" inset="0,0,0,0">
                <w:txbxContent>
                  <w:p w14:paraId="23CFCC0F" w14:textId="77777777" w:rsidR="00134DCA" w:rsidRDefault="00134DCA">
                    <w:r>
                      <w:rPr>
                        <w:rFonts w:ascii="Arial" w:hAnsi="Arial" w:cs="Arial"/>
                        <w:b/>
                        <w:bCs/>
                        <w:color w:val="000000"/>
                        <w:sz w:val="20"/>
                        <w:szCs w:val="20"/>
                        <w:lang w:val="en-US"/>
                      </w:rPr>
                      <w:t>sektor 32,3 %</w:t>
                    </w:r>
                  </w:p>
                </w:txbxContent>
              </v:textbox>
            </v:rect>
            <v:rect id="_x0000_s1045" style="position:absolute;left:855;top:1695;width:1557;height:464;mso-wrap-style:none" filled="f" stroked="f">
              <v:textbox style="mso-next-textbox:#_x0000_s1045;mso-fit-shape-to-text:t" inset="0,0,0,0">
                <w:txbxContent>
                  <w:p w14:paraId="662A6ACA" w14:textId="77777777" w:rsidR="00134DCA" w:rsidRDefault="00134DCA">
                    <w:r>
                      <w:rPr>
                        <w:rFonts w:ascii="Arial" w:hAnsi="Arial" w:cs="Arial"/>
                        <w:b/>
                        <w:bCs/>
                        <w:color w:val="000000"/>
                        <w:sz w:val="20"/>
                        <w:szCs w:val="20"/>
                        <w:lang w:val="en-US"/>
                      </w:rPr>
                      <w:t xml:space="preserve">Terciárny sektor </w:t>
                    </w:r>
                  </w:p>
                </w:txbxContent>
              </v:textbox>
            </v:rect>
            <v:rect id="_x0000_s1046" style="position:absolute;left:1335;top:1950;width:623;height:464;mso-wrap-style:none" filled="f" stroked="f">
              <v:textbox style="mso-next-textbox:#_x0000_s1046;mso-fit-shape-to-text:t" inset="0,0,0,0">
                <w:txbxContent>
                  <w:p w14:paraId="015871CF" w14:textId="77777777" w:rsidR="00134DCA" w:rsidRDefault="00134DCA">
                    <w:r>
                      <w:rPr>
                        <w:rFonts w:ascii="Arial" w:hAnsi="Arial" w:cs="Arial"/>
                        <w:b/>
                        <w:bCs/>
                        <w:color w:val="000000"/>
                        <w:sz w:val="20"/>
                        <w:szCs w:val="20"/>
                        <w:lang w:val="en-US"/>
                      </w:rPr>
                      <w:t>62,8 %</w:t>
                    </w:r>
                  </w:p>
                </w:txbxContent>
              </v:textbox>
            </v:rect>
            <v:rect id="_x0000_s1047" style="position:absolute;left:75;top:75;width:8085;height:4320" filled="f" strokeweight="0"/>
            <w10:anchorlock/>
          </v:group>
        </w:pict>
      </w:r>
    </w:p>
    <w:p w14:paraId="0120D74C" w14:textId="77777777" w:rsidR="00466EEB" w:rsidRPr="00665928" w:rsidRDefault="00466EEB" w:rsidP="00AD28C3">
      <w:pPr>
        <w:spacing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Zdroj: PHSR obcí a miest kopaničiarskeho regiónu</w:t>
      </w:r>
      <w:r>
        <w:rPr>
          <w:rFonts w:ascii="Times New Roman" w:hAnsi="Times New Roman" w:cs="Times New Roman"/>
          <w:b/>
          <w:sz w:val="20"/>
          <w:szCs w:val="20"/>
        </w:rPr>
        <w:t xml:space="preserve"> pre roky 2016 - 2020</w:t>
      </w:r>
    </w:p>
    <w:p w14:paraId="63F01FF3" w14:textId="77777777" w:rsidR="005A599E" w:rsidRDefault="00EC62F5" w:rsidP="00EC62F5">
      <w:pPr>
        <w:spacing w:before="120" w:after="0" w:line="360" w:lineRule="auto"/>
        <w:jc w:val="both"/>
        <w:rPr>
          <w:rFonts w:ascii="Times New Roman" w:hAnsi="Times New Roman" w:cs="Times New Roman"/>
          <w:sz w:val="24"/>
          <w:szCs w:val="24"/>
        </w:rPr>
      </w:pPr>
      <w:r w:rsidRPr="00EC62F5">
        <w:rPr>
          <w:rFonts w:ascii="Times New Roman" w:hAnsi="Times New Roman" w:cs="Times New Roman"/>
          <w:sz w:val="24"/>
          <w:szCs w:val="24"/>
        </w:rPr>
        <w:t xml:space="preserve">Podnikateľské subjekty v Kopaničiarskom regióne v jednotlivých sektoroch sú podľa činností zastúpené nerovnomerne. V rámci primárneho sektoru </w:t>
      </w:r>
      <w:r w:rsidRPr="009663F2">
        <w:rPr>
          <w:rFonts w:ascii="Times New Roman" w:hAnsi="Times New Roman" w:cs="Times New Roman"/>
          <w:sz w:val="24"/>
          <w:szCs w:val="24"/>
        </w:rPr>
        <w:t xml:space="preserve">(graf </w:t>
      </w:r>
      <w:r w:rsidR="00AD28C3">
        <w:rPr>
          <w:rFonts w:ascii="Times New Roman" w:hAnsi="Times New Roman" w:cs="Times New Roman"/>
          <w:sz w:val="24"/>
          <w:szCs w:val="24"/>
        </w:rPr>
        <w:t>3.1.9</w:t>
      </w:r>
      <w:r w:rsidRPr="009663F2">
        <w:rPr>
          <w:rFonts w:ascii="Times New Roman" w:hAnsi="Times New Roman" w:cs="Times New Roman"/>
          <w:sz w:val="24"/>
          <w:szCs w:val="24"/>
        </w:rPr>
        <w:t>)</w:t>
      </w:r>
      <w:r w:rsidRPr="00EC62F5">
        <w:rPr>
          <w:rFonts w:ascii="Times New Roman" w:hAnsi="Times New Roman" w:cs="Times New Roman"/>
          <w:sz w:val="24"/>
          <w:szCs w:val="24"/>
        </w:rPr>
        <w:t xml:space="preserve"> dominuje poľnohospodárstvo, poľovníctvo a súvisiace služby, ktorými sa zaoberá 119 podnikateľských subjektov (66 % v rámci primárneho sektora), nasleduje lesníctvo, ťažba dreva a súvisiace služby s 59 subjektmi (33 %) a rybolov, chov rýb a súvisiace služby s 2 subjektmi (1 %). </w:t>
      </w:r>
    </w:p>
    <w:p w14:paraId="0E06A6F7" w14:textId="77777777" w:rsidR="005A599E" w:rsidRDefault="005A599E" w:rsidP="005A599E">
      <w:pPr>
        <w:rPr>
          <w:rFonts w:ascii="Times New Roman" w:hAnsi="Times New Roman" w:cs="Times New Roman"/>
          <w:b/>
          <w:sz w:val="24"/>
          <w:szCs w:val="24"/>
        </w:rPr>
      </w:pPr>
    </w:p>
    <w:p w14:paraId="30401012" w14:textId="77777777" w:rsidR="005A599E" w:rsidRDefault="005A599E" w:rsidP="005A599E">
      <w:pPr>
        <w:rPr>
          <w:rFonts w:ascii="Times New Roman" w:hAnsi="Times New Roman" w:cs="Times New Roman"/>
          <w:b/>
          <w:sz w:val="24"/>
          <w:szCs w:val="24"/>
        </w:rPr>
      </w:pPr>
    </w:p>
    <w:p w14:paraId="24B5612D" w14:textId="77777777" w:rsidR="00C57880" w:rsidRDefault="00C57880" w:rsidP="005A599E">
      <w:pPr>
        <w:rPr>
          <w:rFonts w:ascii="Times New Roman" w:hAnsi="Times New Roman" w:cs="Times New Roman"/>
          <w:b/>
          <w:sz w:val="24"/>
          <w:szCs w:val="24"/>
        </w:rPr>
      </w:pPr>
    </w:p>
    <w:p w14:paraId="5D5DBEA2" w14:textId="77777777" w:rsidR="00C57880" w:rsidRDefault="00C57880" w:rsidP="005A599E">
      <w:pPr>
        <w:rPr>
          <w:rFonts w:ascii="Times New Roman" w:hAnsi="Times New Roman" w:cs="Times New Roman"/>
          <w:b/>
          <w:sz w:val="24"/>
          <w:szCs w:val="24"/>
        </w:rPr>
      </w:pPr>
    </w:p>
    <w:p w14:paraId="70672B09" w14:textId="77777777" w:rsidR="00C57880" w:rsidRDefault="00C57880" w:rsidP="005A599E">
      <w:pPr>
        <w:rPr>
          <w:rFonts w:ascii="Times New Roman" w:hAnsi="Times New Roman" w:cs="Times New Roman"/>
          <w:b/>
          <w:sz w:val="24"/>
          <w:szCs w:val="24"/>
        </w:rPr>
      </w:pPr>
    </w:p>
    <w:p w14:paraId="40EADE79" w14:textId="77777777" w:rsidR="00C57880" w:rsidRDefault="00C57880" w:rsidP="005A599E">
      <w:pPr>
        <w:rPr>
          <w:rFonts w:ascii="Times New Roman" w:hAnsi="Times New Roman" w:cs="Times New Roman"/>
          <w:b/>
          <w:sz w:val="24"/>
          <w:szCs w:val="24"/>
        </w:rPr>
      </w:pPr>
    </w:p>
    <w:p w14:paraId="0D659882" w14:textId="77777777" w:rsidR="00EC62F5" w:rsidRPr="00660B7A" w:rsidRDefault="005A599E" w:rsidP="005A599E">
      <w:pPr>
        <w:rPr>
          <w:rFonts w:ascii="Times New Roman" w:hAnsi="Times New Roman" w:cs="Times New Roman"/>
          <w:sz w:val="20"/>
          <w:szCs w:val="20"/>
        </w:rPr>
      </w:pPr>
      <w:r w:rsidRPr="00660B7A">
        <w:rPr>
          <w:rFonts w:ascii="Times New Roman" w:hAnsi="Times New Roman" w:cs="Times New Roman"/>
          <w:b/>
          <w:sz w:val="20"/>
          <w:szCs w:val="20"/>
        </w:rPr>
        <w:lastRenderedPageBreak/>
        <w:t xml:space="preserve">Graf </w:t>
      </w:r>
      <w:r w:rsidR="00AD28C3" w:rsidRPr="00660B7A">
        <w:rPr>
          <w:rFonts w:ascii="Times New Roman" w:hAnsi="Times New Roman" w:cs="Times New Roman"/>
          <w:b/>
          <w:sz w:val="20"/>
          <w:szCs w:val="20"/>
        </w:rPr>
        <w:t>3.1.9</w:t>
      </w:r>
    </w:p>
    <w:p w14:paraId="0D9870D2" w14:textId="77777777" w:rsidR="00EC62F5" w:rsidRPr="009663F2" w:rsidRDefault="00362E8C" w:rsidP="00EC62F5">
      <w:pPr>
        <w:spacing w:before="120"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sk-SK"/>
        </w:rPr>
        <w:drawing>
          <wp:inline distT="0" distB="0" distL="0" distR="0" wp14:anchorId="3A4124ED" wp14:editId="7032590F">
            <wp:extent cx="4686300" cy="3041650"/>
            <wp:effectExtent l="19050" t="0" r="19050" b="6350"/>
            <wp:docPr id="11" name="Graf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A599E" w:rsidRPr="009663F2" w:rsidDel="005A599E">
        <w:rPr>
          <w:rFonts w:ascii="Times New Roman" w:hAnsi="Times New Roman" w:cs="Times New Roman"/>
          <w:b/>
          <w:sz w:val="24"/>
          <w:szCs w:val="24"/>
        </w:rPr>
        <w:t xml:space="preserve"> </w:t>
      </w:r>
      <w:r w:rsidR="00EC62F5" w:rsidRPr="009663F2">
        <w:rPr>
          <w:rFonts w:ascii="Times New Roman" w:hAnsi="Times New Roman" w:cs="Times New Roman"/>
          <w:b/>
          <w:sz w:val="24"/>
          <w:szCs w:val="24"/>
        </w:rPr>
        <w:t xml:space="preserve"> </w:t>
      </w:r>
    </w:p>
    <w:p w14:paraId="2C2CE79B" w14:textId="77777777" w:rsidR="00466EEB" w:rsidRPr="00665928" w:rsidRDefault="00466EEB" w:rsidP="00466EEB">
      <w:pPr>
        <w:spacing w:before="120" w:after="0" w:line="360" w:lineRule="auto"/>
        <w:jc w:val="both"/>
        <w:rPr>
          <w:rFonts w:ascii="Times New Roman" w:hAnsi="Times New Roman" w:cs="Times New Roman"/>
          <w:b/>
          <w:sz w:val="20"/>
          <w:szCs w:val="20"/>
        </w:rPr>
      </w:pPr>
      <w:r w:rsidRPr="00665928">
        <w:rPr>
          <w:rFonts w:ascii="Times New Roman" w:hAnsi="Times New Roman" w:cs="Times New Roman"/>
          <w:b/>
          <w:sz w:val="20"/>
          <w:szCs w:val="20"/>
        </w:rPr>
        <w:t>Zdroj: PHSR obcí a miest kopaničiarskeho regiónu</w:t>
      </w:r>
      <w:r>
        <w:rPr>
          <w:rFonts w:ascii="Times New Roman" w:hAnsi="Times New Roman" w:cs="Times New Roman"/>
          <w:b/>
          <w:sz w:val="20"/>
          <w:szCs w:val="20"/>
        </w:rPr>
        <w:t xml:space="preserve"> pre roky 2016 - 2020</w:t>
      </w:r>
    </w:p>
    <w:p w14:paraId="51BDEB71" w14:textId="77777777" w:rsidR="00AD28C3" w:rsidRDefault="00AD28C3" w:rsidP="00AD28C3">
      <w:pPr>
        <w:spacing w:after="0" w:line="360" w:lineRule="auto"/>
        <w:jc w:val="both"/>
        <w:rPr>
          <w:rFonts w:ascii="Times New Roman" w:hAnsi="Times New Roman" w:cs="Times New Roman"/>
          <w:sz w:val="24"/>
          <w:szCs w:val="24"/>
        </w:rPr>
      </w:pPr>
    </w:p>
    <w:p w14:paraId="7DFE287C" w14:textId="77777777" w:rsidR="005A599E" w:rsidRDefault="00AD28C3" w:rsidP="00AD28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sekundárnom sektore prevládajú subjekty venujúce sa stavebníctvu. Tých je v Kopaničiarskom regióne celkovo 361 (30 % v rámci sekundárneho sektora). Nasleduje výroba strojov a zariadení . – 334 subjektov (28 %), výroba kovov – 132 subjektov (11 %) a výroba kovových konštrukcií a kovových výrobkov okrem výroby strojov  a zariadení – 96 subjektov (8 %). Celkový prehľad podáva graf </w:t>
      </w:r>
      <w:r>
        <w:rPr>
          <w:rFonts w:ascii="Times New Roman" w:hAnsi="Times New Roman" w:cs="Times New Roman"/>
          <w:sz w:val="24"/>
          <w:szCs w:val="24"/>
        </w:rPr>
        <w:t>3.1.10</w:t>
      </w:r>
      <w:r w:rsidR="00EC62F5" w:rsidRPr="00EC62F5">
        <w:rPr>
          <w:rFonts w:ascii="Times New Roman" w:hAnsi="Times New Roman" w:cs="Times New Roman"/>
          <w:sz w:val="24"/>
          <w:szCs w:val="24"/>
        </w:rPr>
        <w:t>.</w:t>
      </w:r>
    </w:p>
    <w:p w14:paraId="1A642678" w14:textId="77777777" w:rsidR="005A599E" w:rsidRDefault="005A599E" w:rsidP="005A599E">
      <w:pPr>
        <w:rPr>
          <w:rFonts w:ascii="Times New Roman" w:hAnsi="Times New Roman" w:cs="Times New Roman"/>
          <w:sz w:val="24"/>
          <w:szCs w:val="24"/>
        </w:rPr>
      </w:pPr>
    </w:p>
    <w:p w14:paraId="0F24822B" w14:textId="77777777" w:rsidR="0023603E" w:rsidRDefault="0023603E" w:rsidP="005A599E">
      <w:pPr>
        <w:rPr>
          <w:rFonts w:ascii="Times New Roman" w:hAnsi="Times New Roman" w:cs="Times New Roman"/>
          <w:sz w:val="24"/>
          <w:szCs w:val="24"/>
        </w:rPr>
      </w:pPr>
    </w:p>
    <w:p w14:paraId="06A2646C" w14:textId="77777777" w:rsidR="0023603E" w:rsidRDefault="0023603E" w:rsidP="005A599E">
      <w:pPr>
        <w:rPr>
          <w:rFonts w:ascii="Times New Roman" w:hAnsi="Times New Roman" w:cs="Times New Roman"/>
          <w:sz w:val="24"/>
          <w:szCs w:val="24"/>
        </w:rPr>
      </w:pPr>
    </w:p>
    <w:p w14:paraId="1EF32A93" w14:textId="77777777" w:rsidR="0023603E" w:rsidRDefault="0023603E" w:rsidP="005A599E">
      <w:pPr>
        <w:rPr>
          <w:rFonts w:ascii="Times New Roman" w:hAnsi="Times New Roman" w:cs="Times New Roman"/>
          <w:sz w:val="24"/>
          <w:szCs w:val="24"/>
        </w:rPr>
      </w:pPr>
    </w:p>
    <w:p w14:paraId="71B50ABD" w14:textId="77777777" w:rsidR="0023603E" w:rsidRDefault="0023603E" w:rsidP="005A599E">
      <w:pPr>
        <w:rPr>
          <w:rFonts w:ascii="Times New Roman" w:hAnsi="Times New Roman" w:cs="Times New Roman"/>
          <w:sz w:val="24"/>
          <w:szCs w:val="24"/>
        </w:rPr>
      </w:pPr>
    </w:p>
    <w:p w14:paraId="4969DD7C" w14:textId="77777777" w:rsidR="0023603E" w:rsidRPr="005A599E" w:rsidRDefault="0023603E" w:rsidP="005A599E">
      <w:pPr>
        <w:rPr>
          <w:rFonts w:ascii="Times New Roman" w:hAnsi="Times New Roman" w:cs="Times New Roman"/>
          <w:sz w:val="24"/>
          <w:szCs w:val="24"/>
        </w:rPr>
      </w:pPr>
    </w:p>
    <w:p w14:paraId="7D62BC61" w14:textId="77777777" w:rsidR="005A599E" w:rsidRDefault="005A599E" w:rsidP="005A599E">
      <w:pPr>
        <w:rPr>
          <w:rFonts w:ascii="Times New Roman" w:hAnsi="Times New Roman" w:cs="Times New Roman"/>
          <w:sz w:val="24"/>
          <w:szCs w:val="24"/>
        </w:rPr>
      </w:pPr>
    </w:p>
    <w:p w14:paraId="4FE1C960" w14:textId="77777777" w:rsidR="005A599E" w:rsidRDefault="005A599E" w:rsidP="005A599E">
      <w:pPr>
        <w:spacing w:before="120" w:after="0" w:line="360" w:lineRule="auto"/>
        <w:jc w:val="both"/>
        <w:rPr>
          <w:rFonts w:ascii="Times New Roman" w:hAnsi="Times New Roman" w:cs="Times New Roman"/>
          <w:b/>
          <w:sz w:val="24"/>
          <w:szCs w:val="24"/>
        </w:rPr>
      </w:pPr>
    </w:p>
    <w:p w14:paraId="23F756B2" w14:textId="77777777" w:rsidR="005A599E" w:rsidRDefault="005A599E" w:rsidP="005A599E">
      <w:pPr>
        <w:spacing w:before="120" w:after="0" w:line="360" w:lineRule="auto"/>
        <w:jc w:val="both"/>
        <w:rPr>
          <w:rFonts w:ascii="Times New Roman" w:hAnsi="Times New Roman" w:cs="Times New Roman"/>
          <w:b/>
          <w:sz w:val="24"/>
          <w:szCs w:val="24"/>
        </w:rPr>
      </w:pPr>
    </w:p>
    <w:p w14:paraId="62C5B6F0" w14:textId="77777777" w:rsidR="005A599E" w:rsidRDefault="005A599E" w:rsidP="005A599E">
      <w:pPr>
        <w:spacing w:before="120" w:after="0" w:line="360" w:lineRule="auto"/>
        <w:jc w:val="both"/>
        <w:rPr>
          <w:rFonts w:ascii="Times New Roman" w:hAnsi="Times New Roman" w:cs="Times New Roman"/>
          <w:b/>
          <w:sz w:val="24"/>
          <w:szCs w:val="24"/>
        </w:rPr>
      </w:pPr>
    </w:p>
    <w:p w14:paraId="560811F1" w14:textId="77777777" w:rsidR="0023603E" w:rsidRDefault="0023603E" w:rsidP="00AD28C3">
      <w:pPr>
        <w:spacing w:after="0" w:line="360" w:lineRule="auto"/>
        <w:jc w:val="both"/>
        <w:rPr>
          <w:rFonts w:ascii="Times New Roman" w:hAnsi="Times New Roman" w:cs="Times New Roman"/>
          <w:b/>
        </w:rPr>
      </w:pPr>
    </w:p>
    <w:p w14:paraId="0EA534F4" w14:textId="77777777" w:rsidR="005A599E" w:rsidRPr="0023603E" w:rsidRDefault="005A599E" w:rsidP="00AD28C3">
      <w:pPr>
        <w:spacing w:after="0" w:line="360" w:lineRule="auto"/>
        <w:jc w:val="both"/>
        <w:rPr>
          <w:rFonts w:ascii="Times New Roman" w:hAnsi="Times New Roman" w:cs="Times New Roman"/>
          <w:b/>
        </w:rPr>
      </w:pPr>
      <w:r w:rsidRPr="0023603E">
        <w:rPr>
          <w:rFonts w:ascii="Times New Roman" w:hAnsi="Times New Roman" w:cs="Times New Roman"/>
          <w:b/>
        </w:rPr>
        <w:lastRenderedPageBreak/>
        <w:t xml:space="preserve">Graf </w:t>
      </w:r>
      <w:r w:rsidR="00AD28C3" w:rsidRPr="0023603E">
        <w:rPr>
          <w:rFonts w:ascii="Times New Roman" w:hAnsi="Times New Roman" w:cs="Times New Roman"/>
          <w:b/>
        </w:rPr>
        <w:t>3.1.10</w:t>
      </w:r>
    </w:p>
    <w:p w14:paraId="72ED256B" w14:textId="77777777" w:rsidR="005A599E" w:rsidRDefault="00134DCA" w:rsidP="00EC62F5">
      <w:pPr>
        <w:spacing w:before="120" w:after="0" w:line="360" w:lineRule="auto"/>
        <w:jc w:val="both"/>
        <w:rPr>
          <w:rFonts w:ascii="Times New Roman" w:hAnsi="Times New Roman" w:cs="Times New Roman"/>
          <w:sz w:val="24"/>
          <w:szCs w:val="24"/>
        </w:rPr>
      </w:pPr>
      <w:r>
        <w:pict w14:anchorId="5C04AAE6">
          <v:group id="_x0000_s1053" editas="canvas" style="width:470.25pt;height:316.5pt;mso-position-horizontal-relative:char;mso-position-vertical-relative:line" coordsize="9405,6330">
            <o:lock v:ext="edit" aspectratio="t"/>
            <v:shape id="_x0000_s1052" type="#_x0000_t75" style="position:absolute;width:9405;height:6330" o:preferrelative="f">
              <v:fill o:detectmouseclick="t"/>
              <v:path o:extrusionok="t" o:connecttype="none"/>
              <o:lock v:ext="edit" text="t"/>
            </v:shape>
            <v:rect id="_x0000_s1054" style="position:absolute;left:75;top:75;width:8850;height:6180" strokeweight="0"/>
            <v:shape id="_x0000_s1055" style="position:absolute;left:4215;top:1122;width:360;height:704" coordsize="360,704" path="m,330l360,r,374l,704,,330xe" fillcolor="#4d4d80" strokeweight="42e-5mm">
              <v:path arrowok="t"/>
            </v:shape>
            <v:shape id="_x0000_s1056" style="position:absolute;left:4215;top:1107;width:360;height:345" coordsize="360,345" path="m,l60,r60,l180,r75,l300,r60,15l,345,,xe" fillcolor="#99f" strokeweight="42e-5mm">
              <v:path arrowok="t"/>
            </v:shape>
            <v:shape id="_x0000_s1057" style="position:absolute;left:4260;top:1122;width:405;height:704" coordsize="405,704" path="m,330l405,r,374l,704,,330xe" fillcolor="#4d1a33" strokeweight="42e-5mm">
              <v:path arrowok="t"/>
            </v:shape>
            <v:shape id="_x0000_s1058" style="position:absolute;left:4260;top:1122;width:405;height:330" coordsize="405,330" path="m360,r30,l390,r15,l,330,360,xe" fillcolor="#936" strokeweight="42e-5mm">
              <v:path arrowok="t"/>
            </v:shape>
            <v:shape id="_x0000_s1059" style="position:absolute;left:4290;top:1137;width:525;height:689" coordsize="525,689" path="m,315l525,r,374l,689,,315xe" fillcolor="#808066" strokeweight="42e-5mm">
              <v:path arrowok="t"/>
            </v:shape>
            <v:shape id="_x0000_s1060" style="position:absolute;left:4290;top:1122;width:525;height:330" coordsize="525,330" path="m405,r45,l480,r45,15l,330,405,xe" fillcolor="#ffc" strokeweight="42e-5mm">
              <v:path arrowok="t"/>
            </v:shape>
            <v:shape id="_x0000_s1061" style="position:absolute;left:4740;top:958;width:120;height:164" coordsize="8,11" path="m8,r,5l,11e" filled="f" strokeweight="0">
              <v:path arrowok="t"/>
            </v:shape>
            <v:shape id="_x0000_s1062" style="position:absolute;left:4305;top:1167;width:585;height:674" coordsize="585,674" path="m,300l585,r,374l,674,,300xe" fillcolor="#668080" strokeweight="42e-5mm">
              <v:path arrowok="t"/>
            </v:shape>
            <v:shape id="_x0000_s1063" style="position:absolute;left:4305;top:1152;width:585;height:315" coordsize="585,315" path="m525,r15,l555,r30,l,315,525,xe" fillcolor="#cff" strokeweight="42e-5mm">
              <v:path arrowok="t"/>
            </v:shape>
            <v:shape id="_x0000_s1064" style="position:absolute;left:4845;top:928;width:150;height:224" coordsize="10,15" path="m10,l5,,,15e" filled="f" strokeweight="0">
              <v:path arrowok="t"/>
            </v:shape>
            <v:shape id="_x0000_s1065" style="position:absolute;left:4335;top:1182;width:765;height:659" coordsize="765,659" path="m,285l765,r,374l,659,,285xe" fillcolor="#303" strokeweight="42e-5mm">
              <v:path arrowok="t"/>
            </v:shape>
            <v:shape id="_x0000_s1066" style="position:absolute;left:4335;top:1152;width:765;height:315" coordsize="765,315" path="m585,r45,l645,15r45,l705,15r45,15l765,30,,315,585,xe" fillcolor="#606" strokeweight="42e-5mm">
              <v:path arrowok="t"/>
            </v:shape>
            <v:shape id="_x0000_s1067" style="position:absolute;left:5010;top:973;width:240;height:194" coordsize="16,13" path="m16,l11,,,13e" filled="f" strokeweight="0">
              <v:path arrowok="t"/>
            </v:shape>
            <v:shape id="_x0000_s1068" style="position:absolute;left:4440;top:1422;width:1290;height:449" coordsize="1290,449" path="m,74l1290,r,374l,449,,74xe" fillcolor="#804040" strokeweight="42e-5mm">
              <v:path arrowok="t"/>
            </v:shape>
            <v:shape id="_x0000_s1069" style="position:absolute;left:4440;top:1212;width:1290;height:284" coordsize="1290,284" path="m765,r30,l855,15r30,15l930,30r30,15l1005,60r30,l1065,75r45,15l1125,105r30,l1170,120r30,15l1230,150r15,15l1260,165r15,15l1290,195,,284,765,xe" fillcolor="#ff8080" strokeweight="42e-5mm">
              <v:path arrowok="t"/>
            </v:shape>
            <v:shape id="_x0000_s1070" style="position:absolute;left:5775;top:1541;width:60;height:464" coordsize="60,464" path="m60,r,15l45,30r,15l30,60,15,75,,90,,464,15,449,30,434,45,419r,-15l60,389r,-15l60,xe" fillcolor="#036" strokeweight="42e-5mm">
              <v:path arrowok="t"/>
            </v:shape>
            <v:shape id="_x0000_s1071" style="position:absolute;left:4500;top:1541;width:1275;height:464" coordsize="1275,464" path="m,l1275,90r,374l,374,,xe" fillcolor="#036" strokeweight="42e-5mm">
              <v:path arrowok="t"/>
            </v:shape>
            <v:shape id="_x0000_s1072" style="position:absolute;left:4500;top:1452;width:1335;height:179" coordsize="1335,179" path="m1290,r15,15l1320,29r,15l1335,59r,15l1335,89r,15l1320,119r,15l1305,149r-15,15l1275,179,,89,1290,xe" fillcolor="#06c" strokeweight="42e-5mm">
              <v:path arrowok="t"/>
            </v:shape>
            <v:shape id="_x0000_s1073" style="position:absolute;left:2565;top:1496;width:90;height:494" coordsize="90,494" path="m90,120r-15,l60,90r-15,l30,75,15,60,,45,,30,,15,,,,375r,15l,404r,15l15,434r15,15l45,464r15,l75,494r15,l90,120xe" fillcolor="#004040" strokeweight="42e-5mm">
              <v:path arrowok="t"/>
            </v:shape>
            <v:shape id="_x0000_s1074" style="position:absolute;left:2670;top:1496;width:1230;height:494" coordsize="1230,494" path="m1230,l,120,,494,1230,375,1230,xe" fillcolor="#004040" strokeweight="42e-5mm">
              <v:path arrowok="t"/>
            </v:shape>
            <v:shape id="_x0000_s1075" style="position:absolute;left:2565;top:1152;width:1335;height:464" coordsize="1335,464" path="m90,464l75,449,60,434,30,419,15,404r,-15l,374,,359,,344,,329,,315,,300,15,285,30,270,45,255,60,240,90,225r15,-15l135,195r30,-15l180,165r45,-15l270,135r30,-15l345,105,390,90r30,l480,75,525,60r45,l630,45r60,l720,30r75,l855,15r45,l960,15,1035,r45,l1140,r75,l1260,r75,l1335,344,90,464xe" fillcolor="teal" strokeweight="42e-5mm">
              <v:path arrowok="t"/>
            </v:shape>
            <v:shape id="_x0000_s1076" style="position:absolute;left:2625;top:1706;width:60;height:419" coordsize="60,419" path="m60,45l45,30,15,15,,,,374r15,15l45,404r15,15l60,45xe" fillcolor="#400000" strokeweight="42e-5mm">
              <v:path arrowok="t"/>
            </v:shape>
            <v:shape id="_x0000_s1077" style="position:absolute;left:2700;top:1586;width:1170;height:539" coordsize="1170,539" path="m1170,l,165,,539,1170,374,1170,xe" fillcolor="#400000" strokeweight="42e-5mm">
              <v:path arrowok="t"/>
            </v:shape>
            <v:shape id="_x0000_s1078" style="position:absolute;left:2625;top:1586;width:1245;height:165" coordsize="1245,165" path="m60,165l45,150,15,135,,120,1245,,60,165xe" fillcolor="maroon" strokeweight="42e-5mm">
              <v:path arrowok="t"/>
            </v:shape>
            <v:shape id="_x0000_s1079" style="position:absolute;left:2700;top:1751;width:15;height:374" coordsize="15,374" path="m15,r,l,,,,,374r,l15,374r,l15,xe" fillcolor="#400040" strokeweight="42e-5mm">
              <v:path arrowok="t"/>
            </v:shape>
            <v:shape id="_x0000_s1080" style="position:absolute;left:2715;top:1586;width:1170;height:539" coordsize="1170,539" path="m1170,l,165,,539,1170,374,1170,xe" fillcolor="#400040" strokeweight="42e-5mm">
              <v:path arrowok="t"/>
            </v:shape>
            <v:shape id="_x0000_s1081" style="position:absolute;left:2700;top:1586;width:1185;height:165" coordsize="1185,165" path="m15,165r,l,165r,l1185,,15,165xe" fillcolor="purple" strokeweight="42e-5mm">
              <v:path arrowok="t"/>
            </v:shape>
            <v:shape id="_x0000_s1082" style="position:absolute;left:2745;top:1766;width:360;height:479" coordsize="360,479" path="m360,105l315,90r-45,l225,75,180,60r-30,l105,45,60,30,30,15,,,,374r30,15l60,404r45,15l150,434r30,l225,449r45,15l315,464r45,15l360,105xe" fillcolor="teal" strokeweight="42e-5mm">
              <v:path arrowok="t"/>
            </v:shape>
            <v:shape id="_x0000_s1083" style="position:absolute;left:3120;top:1601;width:795;height:644" coordsize="795,644" path="m795,l,270,,644,795,374,795,xe" fillcolor="teal" strokeweight="42e-5mm">
              <v:path arrowok="t"/>
            </v:shape>
            <v:shape id="_x0000_s1084" style="position:absolute;left:2745;top:1601;width:1170;height:270" coordsize="1170,270" path="m360,270l315,255r-45,l225,240,180,225r-30,l105,210,60,195,30,180,,165,1170,,360,270xe" fillcolor="aqua" strokeweight="42e-5mm">
              <v:path arrowok="t"/>
            </v:shape>
            <v:shape id="_x0000_s1085" style="position:absolute;left:2760;top:2200;width:150;height:75" coordsize="10,5" path="m,5l,,10,e" filled="f" strokeweight="0">
              <v:path arrowok="t"/>
            </v:shape>
            <v:shape id="_x0000_s1086" style="position:absolute;left:3165;top:1886;width:45;height:389" coordsize="45,389" path="m45,14l15,r,l,,,374r15,l15,374r30,15l45,14xe" fillcolor="olive" strokeweight="42e-5mm">
              <v:path arrowok="t"/>
            </v:shape>
            <v:shape id="_x0000_s1087" style="position:absolute;left:3210;top:1616;width:765;height:659" coordsize="765,659" path="m765,l,284,,659,765,374,765,xe" fillcolor="olive" strokeweight="42e-5mm">
              <v:path arrowok="t"/>
            </v:shape>
            <v:shape id="_x0000_s1088" style="position:absolute;left:3165;top:1616;width:810;height:284" coordsize="810,284" path="m45,284l15,270r,l,270,810,,45,284xe" fillcolor="yellow" strokeweight="42e-5mm">
              <v:path arrowok="t"/>
            </v:shape>
            <v:shape id="_x0000_s1089" style="position:absolute;left:3060;top:2275;width:135;height:329" coordsize="9,22" path="m,22r5,l9,e" filled="f" strokeweight="0">
              <v:path arrowok="t"/>
            </v:shape>
            <v:shape id="_x0000_s1090" style="position:absolute;left:3225;top:1900;width:30;height:375" coordsize="30,375" path="m30,l15,r,l,,,375r15,l15,375r15,l30,xe" fillcolor="purple" strokeweight="42e-5mm">
              <v:path arrowok="t"/>
            </v:shape>
            <v:shape id="_x0000_s1091" style="position:absolute;left:3270;top:1616;width:720;height:659" coordsize="720,659" path="m720,l,284,,659,720,374,720,xe" fillcolor="purple" strokeweight="42e-5mm">
              <v:path arrowok="t"/>
            </v:shape>
            <v:shape id="_x0000_s1092" style="position:absolute;left:3225;top:1616;width:765;height:284" coordsize="765,284" path="m30,284r-15,l15,284,,284,765,,30,284xe" fillcolor="fuchsia" strokeweight="42e-5mm">
              <v:path arrowok="t"/>
            </v:shape>
            <v:shape id="_x0000_s1093" style="position:absolute;left:3270;top:1900;width:90;height:390" coordsize="90,390" path="m90,15r-30,l30,,,,,375r30,l60,390r30,l90,15xe" fillcolor="#000040" strokeweight="42e-5mm">
              <v:path arrowok="t"/>
            </v:shape>
            <v:shape id="_x0000_s1094" style="position:absolute;left:3360;top:1616;width:645;height:674" coordsize="645,674" path="m645,l,299,,674,645,374,645,xe" fillcolor="#000040" strokeweight="42e-5mm">
              <v:path arrowok="t"/>
            </v:shape>
            <v:shape id="_x0000_s1095" style="position:absolute;left:3270;top:1616;width:735;height:299" coordsize="735,299" path="m90,299r-30,l30,284,,284,735,,90,299xe" fillcolor="navy" strokeweight="42e-5mm">
              <v:path arrowok="t"/>
            </v:shape>
            <v:shape id="_x0000_s1096" style="position:absolute;left:3660;top:1721;width:1920;height:628" coordsize="1920,628" path="m1920,r-15,15l1890,30r-30,15l1830,60r-15,15l1770,90r-15,15l1710,120r-45,15l1635,135r-45,15l1530,165r-30,l1440,179r-45,15l1350,194r-60,15l1230,209r-45,15l1125,224r-45,l1005,239r-60,l900,239r-75,15l765,254r-60,l645,254r-75,l525,254r-75,l390,239r-45,l270,239r-45,l165,224r-60,l60,209,,209,,584r60,l105,599r60,l225,613r45,l345,613r45,l450,628r75,l570,628r75,l705,628r60,l825,628r75,-15l945,613r60,l1080,599r45,l1185,599r45,-15l1290,584r60,-15l1395,569r45,-15l1500,539r30,l1590,524r45,-15l1665,509r45,-15l1755,479r15,-15l1815,449r15,-15l1860,419r30,-15l1905,389r15,-15l1920,xe" fillcolor="#666680" strokeweight="42e-5mm">
              <v:path arrowok="t"/>
            </v:shape>
            <v:shape id="_x0000_s1097" style="position:absolute;left:3660;top:1631;width:1920;height:344" coordsize="1920,344" path="m1920,90r-15,15l1890,120r-30,15l1830,150r-15,15l1770,180r-15,15l1710,210r-45,15l1635,225r-45,15l1530,255r-30,l1440,269r-45,15l1350,284r-60,15l1230,299r-45,15l1125,314r-45,l1005,329r-60,l900,329r-75,15l765,344r-60,l645,344r-75,l525,344r-75,l390,329r-45,l270,329r-45,l165,314r-60,l60,299,,299,645,,1920,90xe" fillcolor="#ccf" strokeweight="42e-5mm">
              <v:path arrowok="t"/>
            </v:shape>
            <v:rect id="_x0000_s1098" style="position:absolute;left:1335;top:224;width:5924;height:412;mso-wrap-style:none" filled="f" stroked="f">
              <v:textbox style="mso-next-textbox:#_x0000_s1098;mso-fit-shape-to-text:t" inset="0,0,0,0">
                <w:txbxContent>
                  <w:p w14:paraId="20E2C7C3" w14:textId="77777777" w:rsidR="00134DCA" w:rsidRDefault="00134DCA">
                    <w:r>
                      <w:rPr>
                        <w:rFonts w:ascii="Arial" w:hAnsi="Arial" w:cs="Arial"/>
                        <w:b/>
                        <w:bCs/>
                        <w:i/>
                        <w:iCs/>
                        <w:color w:val="000000"/>
                        <w:sz w:val="16"/>
                        <w:szCs w:val="16"/>
                        <w:lang w:val="en-US"/>
                      </w:rPr>
                      <w:t xml:space="preserve">Podiel jednotlivých činností subjektov sekundárneho sektora hospodárstva v </w:t>
                    </w:r>
                  </w:p>
                </w:txbxContent>
              </v:textbox>
            </v:rect>
            <v:rect id="_x0000_s1099" style="position:absolute;left:2985;top:434;width:2931;height:412" filled="f" stroked="f">
              <v:textbox style="mso-next-textbox:#_x0000_s1099;mso-fit-shape-to-text:t" inset="0,0,0,0">
                <w:txbxContent>
                  <w:p w14:paraId="6F2BD85B" w14:textId="77777777" w:rsidR="00134DCA" w:rsidRDefault="00134DCA">
                    <w:r>
                      <w:rPr>
                        <w:rFonts w:ascii="Arial" w:hAnsi="Arial" w:cs="Arial"/>
                        <w:b/>
                        <w:bCs/>
                        <w:i/>
                        <w:iCs/>
                        <w:color w:val="000000"/>
                        <w:sz w:val="16"/>
                        <w:szCs w:val="16"/>
                        <w:lang w:val="en-US"/>
                      </w:rPr>
                      <w:t>Kopaničiarskom regióne k 31.12.2014</w:t>
                    </w:r>
                  </w:p>
                </w:txbxContent>
              </v:textbox>
            </v:rect>
            <v:rect id="_x0000_s1100" style="position:absolute;left:5595;top:1092;width:321;height:412;mso-wrap-style:none" filled="f" stroked="f">
              <v:textbox style="mso-next-textbox:#_x0000_s1100;mso-fit-shape-to-text:t" inset="0,0,0,0">
                <w:txbxContent>
                  <w:p w14:paraId="36119F93" w14:textId="77777777" w:rsidR="00134DCA" w:rsidRDefault="00134DCA">
                    <w:r>
                      <w:rPr>
                        <w:rFonts w:ascii="Arial" w:hAnsi="Arial" w:cs="Arial"/>
                        <w:b/>
                        <w:bCs/>
                        <w:color w:val="000000"/>
                        <w:sz w:val="16"/>
                        <w:szCs w:val="16"/>
                        <w:lang w:val="en-US"/>
                      </w:rPr>
                      <w:t>11%</w:t>
                    </w:r>
                  </w:p>
                </w:txbxContent>
              </v:textbox>
            </v:rect>
            <v:rect id="_x0000_s1101" style="position:absolute;left:5910;top:1811;width:232;height:412;mso-wrap-style:none" filled="f" stroked="f">
              <v:textbox style="mso-next-textbox:#_x0000_s1101;mso-fit-shape-to-text:t" inset="0,0,0,0">
                <w:txbxContent>
                  <w:p w14:paraId="3BC5594E" w14:textId="77777777" w:rsidR="00134DCA" w:rsidRDefault="00134DCA">
                    <w:r>
                      <w:rPr>
                        <w:rFonts w:ascii="Arial" w:hAnsi="Arial" w:cs="Arial"/>
                        <w:b/>
                        <w:bCs/>
                        <w:color w:val="000000"/>
                        <w:sz w:val="16"/>
                        <w:szCs w:val="16"/>
                        <w:lang w:val="en-US"/>
                      </w:rPr>
                      <w:t>8%</w:t>
                    </w:r>
                  </w:p>
                </w:txbxContent>
              </v:textbox>
            </v:rect>
            <v:rect id="_x0000_s1102" style="position:absolute;left:4875;top:2379;width:321;height:412;mso-wrap-style:none" filled="f" stroked="f">
              <v:textbox style="mso-next-textbox:#_x0000_s1102;mso-fit-shape-to-text:t" inset="0,0,0,0">
                <w:txbxContent>
                  <w:p w14:paraId="20C82003" w14:textId="77777777" w:rsidR="00134DCA" w:rsidRDefault="00134DCA">
                    <w:r>
                      <w:rPr>
                        <w:rFonts w:ascii="Arial" w:hAnsi="Arial" w:cs="Arial"/>
                        <w:b/>
                        <w:bCs/>
                        <w:color w:val="000000"/>
                        <w:sz w:val="16"/>
                        <w:szCs w:val="16"/>
                        <w:lang w:val="en-US"/>
                      </w:rPr>
                      <w:t>28%</w:t>
                    </w:r>
                  </w:p>
                </w:txbxContent>
              </v:textbox>
            </v:rect>
            <v:rect id="_x0000_s1103" style="position:absolute;left:2430;top:2110;width:232;height:412;mso-wrap-style:none" filled="f" stroked="f">
              <v:textbox style="mso-next-textbox:#_x0000_s1103;mso-fit-shape-to-text:t" inset="0,0,0,0">
                <w:txbxContent>
                  <w:p w14:paraId="4070CD49" w14:textId="77777777" w:rsidR="00134DCA" w:rsidRDefault="00134DCA">
                    <w:r>
                      <w:rPr>
                        <w:rFonts w:ascii="Arial" w:hAnsi="Arial" w:cs="Arial"/>
                        <w:b/>
                        <w:bCs/>
                        <w:color w:val="000000"/>
                        <w:sz w:val="16"/>
                        <w:szCs w:val="16"/>
                        <w:lang w:val="en-US"/>
                      </w:rPr>
                      <w:t>0%</w:t>
                    </w:r>
                  </w:p>
                </w:txbxContent>
              </v:textbox>
            </v:rect>
            <v:rect id="_x0000_s1104" style="position:absolute;left:2415;top:1092;width:321;height:412;mso-wrap-style:none" filled="f" stroked="f">
              <v:textbox style="mso-next-textbox:#_x0000_s1104;mso-fit-shape-to-text:t" inset="0,0,0,0">
                <w:txbxContent>
                  <w:p w14:paraId="4E7108E9" w14:textId="77777777" w:rsidR="00134DCA" w:rsidRDefault="00134DCA">
                    <w:r>
                      <w:rPr>
                        <w:rFonts w:ascii="Arial" w:hAnsi="Arial" w:cs="Arial"/>
                        <w:b/>
                        <w:bCs/>
                        <w:color w:val="000000"/>
                        <w:sz w:val="16"/>
                        <w:szCs w:val="16"/>
                        <w:lang w:val="en-US"/>
                      </w:rPr>
                      <w:t>30%</w:t>
                    </w:r>
                  </w:p>
                </w:txbxContent>
              </v:textbox>
            </v:rect>
            <v:rect id="_x0000_s1105" style="position:absolute;left:3105;top:2409;width:232;height:412;mso-wrap-style:none" filled="f" stroked="f">
              <v:textbox style="mso-next-textbox:#_x0000_s1105;mso-fit-shape-to-text:t" inset="0,0,0,0">
                <w:txbxContent>
                  <w:p w14:paraId="164CAACC" w14:textId="77777777" w:rsidR="00134DCA" w:rsidRDefault="00134DCA">
                    <w:r>
                      <w:rPr>
                        <w:rFonts w:ascii="Arial" w:hAnsi="Arial" w:cs="Arial"/>
                        <w:b/>
                        <w:bCs/>
                        <w:color w:val="000000"/>
                        <w:sz w:val="16"/>
                        <w:szCs w:val="16"/>
                        <w:lang w:val="en-US"/>
                      </w:rPr>
                      <w:t>1%</w:t>
                    </w:r>
                  </w:p>
                </w:txbxContent>
              </v:textbox>
            </v:rect>
            <v:rect id="_x0000_s1106" style="position:absolute;left:2820;top:2499;width:232;height:412;mso-wrap-style:none" filled="f" stroked="f">
              <v:textbox style="mso-next-textbox:#_x0000_s1106;mso-fit-shape-to-text:t" inset="0,0,0,0">
                <w:txbxContent>
                  <w:p w14:paraId="58766F88" w14:textId="77777777" w:rsidR="00134DCA" w:rsidRDefault="00134DCA">
                    <w:r>
                      <w:rPr>
                        <w:rFonts w:ascii="Arial" w:hAnsi="Arial" w:cs="Arial"/>
                        <w:b/>
                        <w:bCs/>
                        <w:color w:val="000000"/>
                        <w:sz w:val="16"/>
                        <w:szCs w:val="16"/>
                        <w:lang w:val="en-US"/>
                      </w:rPr>
                      <w:t>1%</w:t>
                    </w:r>
                  </w:p>
                </w:txbxContent>
              </v:textbox>
            </v:rect>
            <v:rect id="_x0000_s1107" style="position:absolute;left:2655;top:2320;width:232;height:412;mso-wrap-style:none" filled="f" stroked="f">
              <v:textbox style="mso-next-textbox:#_x0000_s1107;mso-fit-shape-to-text:t" inset="0,0,0,0">
                <w:txbxContent>
                  <w:p w14:paraId="1E980D7F" w14:textId="77777777" w:rsidR="00134DCA" w:rsidRDefault="00134DCA">
                    <w:r>
                      <w:rPr>
                        <w:rFonts w:ascii="Arial" w:hAnsi="Arial" w:cs="Arial"/>
                        <w:b/>
                        <w:bCs/>
                        <w:color w:val="000000"/>
                        <w:sz w:val="16"/>
                        <w:szCs w:val="16"/>
                        <w:lang w:val="en-US"/>
                      </w:rPr>
                      <w:t>7%</w:t>
                    </w:r>
                  </w:p>
                </w:txbxContent>
              </v:textbox>
            </v:rect>
            <v:rect id="_x0000_s1108" style="position:absolute;left:2310;top:1900;width:232;height:412;mso-wrap-style:none" filled="f" stroked="f">
              <v:textbox style="mso-next-textbox:#_x0000_s1108;mso-fit-shape-to-text:t" inset="0,0,0,0">
                <w:txbxContent>
                  <w:p w14:paraId="26A78E5B" w14:textId="77777777" w:rsidR="00134DCA" w:rsidRDefault="00134DCA">
                    <w:r>
                      <w:rPr>
                        <w:rFonts w:ascii="Arial" w:hAnsi="Arial" w:cs="Arial"/>
                        <w:b/>
                        <w:bCs/>
                        <w:color w:val="000000"/>
                        <w:sz w:val="16"/>
                        <w:szCs w:val="16"/>
                        <w:lang w:val="en-US"/>
                      </w:rPr>
                      <w:t>2%</w:t>
                    </w:r>
                  </w:p>
                </w:txbxContent>
              </v:textbox>
            </v:rect>
            <v:rect id="_x0000_s1109" style="position:absolute;left:3315;top:2394;width:232;height:412;mso-wrap-style:none" filled="f" stroked="f">
              <v:textbox style="mso-next-textbox:#_x0000_s1109;mso-fit-shape-to-text:t" inset="0,0,0,0">
                <w:txbxContent>
                  <w:p w14:paraId="5C39F12C" w14:textId="77777777" w:rsidR="00134DCA" w:rsidRDefault="00134DCA">
                    <w:r>
                      <w:rPr>
                        <w:rFonts w:ascii="Arial" w:hAnsi="Arial" w:cs="Arial"/>
                        <w:b/>
                        <w:bCs/>
                        <w:color w:val="000000"/>
                        <w:sz w:val="16"/>
                        <w:szCs w:val="16"/>
                        <w:lang w:val="en-US"/>
                      </w:rPr>
                      <w:t>1%</w:t>
                    </w:r>
                  </w:p>
                </w:txbxContent>
              </v:textbox>
            </v:rect>
            <v:rect id="_x0000_s1110" style="position:absolute;left:5025;top:823;width:232;height:412;mso-wrap-style:none" filled="f" stroked="f">
              <v:textbox style="mso-next-textbox:#_x0000_s1110;mso-fit-shape-to-text:t" inset="0,0,0,0">
                <w:txbxContent>
                  <w:p w14:paraId="55FA38F7" w14:textId="77777777" w:rsidR="00134DCA" w:rsidRDefault="00134DCA">
                    <w:r>
                      <w:rPr>
                        <w:rFonts w:ascii="Arial" w:hAnsi="Arial" w:cs="Arial"/>
                        <w:b/>
                        <w:bCs/>
                        <w:color w:val="000000"/>
                        <w:sz w:val="16"/>
                        <w:szCs w:val="16"/>
                        <w:lang w:val="en-US"/>
                      </w:rPr>
                      <w:t>1%</w:t>
                    </w:r>
                  </w:p>
                </w:txbxContent>
              </v:textbox>
            </v:rect>
            <v:rect id="_x0000_s1111" style="position:absolute;left:5280;top:868;width:232;height:412;mso-wrap-style:none" filled="f" stroked="f">
              <v:textbox style="mso-next-textbox:#_x0000_s1111;mso-fit-shape-to-text:t" inset="0,0,0,0">
                <w:txbxContent>
                  <w:p w14:paraId="6B542BBF" w14:textId="77777777" w:rsidR="00134DCA" w:rsidRDefault="00134DCA">
                    <w:r>
                      <w:rPr>
                        <w:rFonts w:ascii="Arial" w:hAnsi="Arial" w:cs="Arial"/>
                        <w:b/>
                        <w:bCs/>
                        <w:color w:val="000000"/>
                        <w:sz w:val="16"/>
                        <w:szCs w:val="16"/>
                        <w:lang w:val="en-US"/>
                      </w:rPr>
                      <w:t>3%</w:t>
                    </w:r>
                  </w:p>
                </w:txbxContent>
              </v:textbox>
            </v:rect>
            <v:rect id="_x0000_s1112" style="position:absolute;left:4575;top:793;width:232;height:412;mso-wrap-style:none" filled="f" stroked="f">
              <v:textbox style="mso-next-textbox:#_x0000_s1112;mso-fit-shape-to-text:t" inset="0,0,0,0">
                <w:txbxContent>
                  <w:p w14:paraId="2386060E" w14:textId="77777777" w:rsidR="00134DCA" w:rsidRDefault="00134DCA">
                    <w:r>
                      <w:rPr>
                        <w:rFonts w:ascii="Arial" w:hAnsi="Arial" w:cs="Arial"/>
                        <w:b/>
                        <w:bCs/>
                        <w:color w:val="000000"/>
                        <w:sz w:val="16"/>
                        <w:szCs w:val="16"/>
                        <w:lang w:val="en-US"/>
                      </w:rPr>
                      <w:t>1%</w:t>
                    </w:r>
                  </w:p>
                </w:txbxContent>
              </v:textbox>
            </v:rect>
            <v:rect id="_x0000_s1113" style="position:absolute;left:4755;top:703;width:232;height:412;mso-wrap-style:none" filled="f" stroked="f">
              <v:textbox style="mso-next-textbox:#_x0000_s1113;mso-fit-shape-to-text:t" inset="0,0,0,0">
                <w:txbxContent>
                  <w:p w14:paraId="746A4159" w14:textId="77777777" w:rsidR="00134DCA" w:rsidRDefault="00134DCA">
                    <w:r>
                      <w:rPr>
                        <w:rFonts w:ascii="Arial" w:hAnsi="Arial" w:cs="Arial"/>
                        <w:b/>
                        <w:bCs/>
                        <w:color w:val="000000"/>
                        <w:sz w:val="16"/>
                        <w:szCs w:val="16"/>
                        <w:lang w:val="en-US"/>
                      </w:rPr>
                      <w:t>1%</w:t>
                    </w:r>
                  </w:p>
                </w:txbxContent>
              </v:textbox>
            </v:rect>
            <v:rect id="_x0000_s1114" style="position:absolute;left:4170;top:823;width:232;height:412;mso-wrap-style:none" filled="f" stroked="f">
              <v:textbox style="mso-next-textbox:#_x0000_s1114;mso-fit-shape-to-text:t" inset="0,0,0,0">
                <w:txbxContent>
                  <w:p w14:paraId="35F773E6" w14:textId="77777777" w:rsidR="00134DCA" w:rsidRDefault="00134DCA">
                    <w:r>
                      <w:rPr>
                        <w:rFonts w:ascii="Arial" w:hAnsi="Arial" w:cs="Arial"/>
                        <w:b/>
                        <w:bCs/>
                        <w:color w:val="000000"/>
                        <w:sz w:val="16"/>
                        <w:szCs w:val="16"/>
                        <w:lang w:val="en-US"/>
                      </w:rPr>
                      <w:t>5%</w:t>
                    </w:r>
                  </w:p>
                </w:txbxContent>
              </v:textbox>
            </v:rect>
            <v:rect id="_x0000_s1115" style="position:absolute;left:75;top:2828;width:8835;height:3352" strokeweight="0"/>
            <v:rect id="_x0000_s1116" style="position:absolute;left:135;top:2903;width:105;height:105" fillcolor="#99f" strokeweight="42e-5mm"/>
            <v:rect id="_x0000_s1117" style="position:absolute;left:285;top:2843;width:1920;height:412;mso-wrap-style:none" filled="f" stroked="f">
              <v:textbox style="mso-next-textbox:#_x0000_s1117;mso-fit-shape-to-text:t" inset="0,0,0,0">
                <w:txbxContent>
                  <w:p w14:paraId="5B0768F1" w14:textId="77777777" w:rsidR="00134DCA" w:rsidRDefault="00134DCA">
                    <w:r>
                      <w:rPr>
                        <w:rFonts w:ascii="Times New Roman" w:hAnsi="Times New Roman" w:cs="Times New Roman"/>
                        <w:color w:val="000000"/>
                        <w:sz w:val="16"/>
                        <w:szCs w:val="16"/>
                        <w:lang w:val="en-US"/>
                      </w:rPr>
                      <w:t>15 Výroba potravín a nápojov</w:t>
                    </w:r>
                  </w:p>
                </w:txbxContent>
              </v:textbox>
            </v:rect>
            <v:rect id="_x0000_s1118" style="position:absolute;left:135;top:3128;width:105;height:104" fillcolor="#936" strokeweight="42e-5mm"/>
            <v:rect id="_x0000_s1119" style="position:absolute;left:285;top:3068;width:7954;height:412;mso-wrap-style:none" filled="f" stroked="f">
              <v:textbox style="mso-next-textbox:#_x0000_s1119;mso-fit-shape-to-text:t" inset="0,0,0,0">
                <w:txbxContent>
                  <w:p w14:paraId="4D5B40A2" w14:textId="77777777" w:rsidR="00134DCA" w:rsidRDefault="00134DCA">
                    <w:r>
                      <w:rPr>
                        <w:rFonts w:ascii="Times New Roman" w:hAnsi="Times New Roman" w:cs="Times New Roman"/>
                        <w:color w:val="000000"/>
                        <w:sz w:val="16"/>
                        <w:szCs w:val="16"/>
                        <w:lang w:val="en-US"/>
                      </w:rPr>
                      <w:t>20 Spracúvanie dreva a výroba výrobkov z dreva a korku okrem výroby nábytku; výroba výrobkov zo slamy, z prútia a pod.</w:t>
                    </w:r>
                  </w:p>
                </w:txbxContent>
              </v:textbox>
            </v:rect>
            <v:rect id="_x0000_s1120" style="position:absolute;left:135;top:3337;width:105;height:105" fillcolor="#ffc" strokeweight="42e-5mm"/>
            <v:rect id="_x0000_s1121" style="position:absolute;left:285;top:3277;width:4188;height:412;mso-wrap-style:none" filled="f" stroked="f">
              <v:textbox style="mso-next-textbox:#_x0000_s1121;mso-fit-shape-to-text:t" inset="0,0,0,0">
                <w:txbxContent>
                  <w:p w14:paraId="54354463" w14:textId="77777777" w:rsidR="00134DCA" w:rsidRDefault="00134DCA">
                    <w:r>
                      <w:rPr>
                        <w:rFonts w:ascii="Times New Roman" w:hAnsi="Times New Roman" w:cs="Times New Roman"/>
                        <w:color w:val="000000"/>
                        <w:sz w:val="16"/>
                        <w:szCs w:val="16"/>
                        <w:lang w:val="en-US"/>
                      </w:rPr>
                      <w:t>22 Vydavateľstvo, tlač a reprodukcia nahratých nosičov záznamu</w:t>
                    </w:r>
                  </w:p>
                </w:txbxContent>
              </v:textbox>
            </v:rect>
            <v:rect id="_x0000_s1122" style="position:absolute;left:135;top:3562;width:105;height:104" fillcolor="#cff" strokeweight="42e-5mm"/>
            <v:rect id="_x0000_s1123" style="position:absolute;left:285;top:3502;width:2973;height:412;mso-wrap-style:none" filled="f" stroked="f">
              <v:textbox style="mso-next-textbox:#_x0000_s1123;mso-fit-shape-to-text:t" inset="0,0,0,0">
                <w:txbxContent>
                  <w:p w14:paraId="3EF55398" w14:textId="77777777" w:rsidR="00134DCA" w:rsidRDefault="00134DCA">
                    <w:r>
                      <w:rPr>
                        <w:rFonts w:ascii="Times New Roman" w:hAnsi="Times New Roman" w:cs="Times New Roman"/>
                        <w:color w:val="000000"/>
                        <w:sz w:val="16"/>
                        <w:szCs w:val="16"/>
                        <w:lang w:val="en-US"/>
                      </w:rPr>
                      <w:t>24 Výroba chemikálií a chemických výrobkov</w:t>
                    </w:r>
                  </w:p>
                </w:txbxContent>
              </v:textbox>
            </v:rect>
            <v:rect id="_x0000_s1124" style="position:absolute;left:135;top:3786;width:105;height:105" fillcolor="#606" strokeweight="42e-5mm"/>
            <v:rect id="_x0000_s1125" style="position:absolute;left:285;top:3726;width:2462;height:412;mso-wrap-style:none" filled="f" stroked="f">
              <v:textbox style="mso-next-textbox:#_x0000_s1125;mso-fit-shape-to-text:t" inset="0,0,0,0">
                <w:txbxContent>
                  <w:p w14:paraId="379B5DDA" w14:textId="77777777" w:rsidR="00134DCA" w:rsidRDefault="00134DCA">
                    <w:r>
                      <w:rPr>
                        <w:rFonts w:ascii="Times New Roman" w:hAnsi="Times New Roman" w:cs="Times New Roman"/>
                        <w:color w:val="000000"/>
                        <w:sz w:val="16"/>
                        <w:szCs w:val="16"/>
                        <w:lang w:val="en-US"/>
                      </w:rPr>
                      <w:t>25 Výroba výrobkov z gumy a plastov</w:t>
                    </w:r>
                  </w:p>
                </w:txbxContent>
              </v:textbox>
            </v:rect>
            <v:rect id="_x0000_s1126" style="position:absolute;left:135;top:3996;width:105;height:104" fillcolor="#ff8080" strokeweight="42e-5mm"/>
            <v:rect id="_x0000_s1127" style="position:absolute;left:285;top:3936;width:1120;height:412;mso-wrap-style:none" filled="f" stroked="f">
              <v:textbox style="mso-next-textbox:#_x0000_s1127;mso-fit-shape-to-text:t" inset="0,0,0,0">
                <w:txbxContent>
                  <w:p w14:paraId="7914E24E" w14:textId="77777777" w:rsidR="00134DCA" w:rsidRDefault="00134DCA">
                    <w:r>
                      <w:rPr>
                        <w:rFonts w:ascii="Times New Roman" w:hAnsi="Times New Roman" w:cs="Times New Roman"/>
                        <w:color w:val="000000"/>
                        <w:sz w:val="16"/>
                        <w:szCs w:val="16"/>
                        <w:lang w:val="en-US"/>
                      </w:rPr>
                      <w:t>27 Výroba kovov</w:t>
                    </w:r>
                  </w:p>
                </w:txbxContent>
              </v:textbox>
            </v:rect>
            <v:rect id="_x0000_s1128" style="position:absolute;left:135;top:4220;width:105;height:105" fillcolor="#06c" strokeweight="42e-5mm"/>
            <v:rect id="_x0000_s1129" style="position:absolute;left:285;top:4160;width:6950;height:412;mso-wrap-style:none" filled="f" stroked="f">
              <v:textbox style="mso-next-textbox:#_x0000_s1129;mso-fit-shape-to-text:t" inset="0,0,0,0">
                <w:txbxContent>
                  <w:p w14:paraId="35C3F58A" w14:textId="77777777" w:rsidR="00134DCA" w:rsidRDefault="00134DCA">
                    <w:r>
                      <w:rPr>
                        <w:rFonts w:ascii="Times New Roman" w:hAnsi="Times New Roman" w:cs="Times New Roman"/>
                        <w:color w:val="000000"/>
                        <w:sz w:val="16"/>
                        <w:szCs w:val="16"/>
                        <w:lang w:val="en-US"/>
                      </w:rPr>
                      <w:t>28 Výroba kovových konštrukcií a kovových výrobkov okrem výroby strojov                                a zariadení</w:t>
                    </w:r>
                  </w:p>
                </w:txbxContent>
              </v:textbox>
            </v:rect>
            <v:rect id="_x0000_s1130" style="position:absolute;left:135;top:4444;width:105;height:105" fillcolor="#ccf" strokeweight="42e-5mm"/>
            <v:rect id="_x0000_s1131" style="position:absolute;left:285;top:4385;width:2147;height:412;mso-wrap-style:none" filled="f" stroked="f">
              <v:textbox style="mso-next-textbox:#_x0000_s1131;mso-fit-shape-to-text:t" inset="0,0,0,0">
                <w:txbxContent>
                  <w:p w14:paraId="1B43CB5E" w14:textId="77777777" w:rsidR="00134DCA" w:rsidRDefault="00134DCA">
                    <w:r>
                      <w:rPr>
                        <w:rFonts w:ascii="Times New Roman" w:hAnsi="Times New Roman" w:cs="Times New Roman"/>
                        <w:color w:val="000000"/>
                        <w:sz w:val="16"/>
                        <w:szCs w:val="16"/>
                        <w:lang w:val="en-US"/>
                      </w:rPr>
                      <w:t>29 Výroba strojov a zariadení i.n.</w:t>
                    </w:r>
                  </w:p>
                </w:txbxContent>
              </v:textbox>
            </v:rect>
            <v:rect id="_x0000_s1132" style="position:absolute;left:135;top:4654;width:105;height:105" fillcolor="navy" strokeweight="42e-5mm"/>
            <v:rect id="_x0000_s1133" style="position:absolute;left:285;top:4594;width:3013;height:412;mso-wrap-style:none" filled="f" stroked="f">
              <v:textbox style="mso-next-textbox:#_x0000_s1133;mso-fit-shape-to-text:t" inset="0,0,0,0">
                <w:txbxContent>
                  <w:p w14:paraId="5B3BEC5A" w14:textId="77777777" w:rsidR="00134DCA" w:rsidRDefault="00134DCA">
                    <w:r>
                      <w:rPr>
                        <w:rFonts w:ascii="Times New Roman" w:hAnsi="Times New Roman" w:cs="Times New Roman"/>
                        <w:color w:val="000000"/>
                        <w:sz w:val="16"/>
                        <w:szCs w:val="16"/>
                        <w:lang w:val="en-US"/>
                      </w:rPr>
                      <w:t>31 Výroba elektrických strojov a prístrojov i.n.</w:t>
                    </w:r>
                  </w:p>
                </w:txbxContent>
              </v:textbox>
            </v:rect>
            <v:rect id="_x0000_s1134" style="position:absolute;left:135;top:4878;width:105;height:105" fillcolor="fuchsia" strokeweight="42e-5mm"/>
            <v:rect id="_x0000_s1135" style="position:absolute;left:285;top:4819;width:4964;height:412;mso-wrap-style:none" filled="f" stroked="f">
              <v:textbox style="mso-next-textbox:#_x0000_s1135;mso-fit-shape-to-text:t" inset="0,0,0,0">
                <w:txbxContent>
                  <w:p w14:paraId="51097491" w14:textId="77777777" w:rsidR="00134DCA" w:rsidRDefault="00134DCA">
                    <w:r>
                      <w:rPr>
                        <w:rFonts w:ascii="Times New Roman" w:hAnsi="Times New Roman" w:cs="Times New Roman"/>
                        <w:color w:val="000000"/>
                        <w:sz w:val="16"/>
                        <w:szCs w:val="16"/>
                        <w:lang w:val="en-US"/>
                      </w:rPr>
                      <w:t>33 Výroba zdravotníckych, presných a optických prístrojov, hodín a hodiniek</w:t>
                    </w:r>
                  </w:p>
                </w:txbxContent>
              </v:textbox>
            </v:rect>
            <v:rect id="_x0000_s1136" style="position:absolute;left:135;top:5088;width:105;height:105" fillcolor="yellow" strokeweight="42e-5mm"/>
            <v:rect id="_x0000_s1137" style="position:absolute;left:285;top:5028;width:3355;height:412;mso-wrap-style:none" filled="f" stroked="f">
              <v:textbox style="mso-next-textbox:#_x0000_s1137;mso-fit-shape-to-text:t" inset="0,0,0,0">
                <w:txbxContent>
                  <w:p w14:paraId="435EA798" w14:textId="77777777" w:rsidR="00134DCA" w:rsidRDefault="00134DCA">
                    <w:r>
                      <w:rPr>
                        <w:rFonts w:ascii="Times New Roman" w:hAnsi="Times New Roman" w:cs="Times New Roman"/>
                        <w:color w:val="000000"/>
                        <w:sz w:val="16"/>
                        <w:szCs w:val="16"/>
                        <w:lang w:val="en-US"/>
                      </w:rPr>
                      <w:t>34 Výroba motorových vozidiel, prívesov a návesov</w:t>
                    </w:r>
                  </w:p>
                </w:txbxContent>
              </v:textbox>
            </v:rect>
            <v:rect id="_x0000_s1138" style="position:absolute;left:135;top:5312;width:105;height:105" fillcolor="aqua" strokeweight="42e-5mm"/>
            <v:rect id="_x0000_s1139" style="position:absolute;left:285;top:5253;width:2049;height:412;mso-wrap-style:none" filled="f" stroked="f">
              <v:textbox style="mso-next-textbox:#_x0000_s1139;mso-fit-shape-to-text:t" inset="0,0,0,0">
                <w:txbxContent>
                  <w:p w14:paraId="20F5A7F3" w14:textId="77777777" w:rsidR="00134DCA" w:rsidRDefault="00134DCA">
                    <w:r>
                      <w:rPr>
                        <w:rFonts w:ascii="Times New Roman" w:hAnsi="Times New Roman" w:cs="Times New Roman"/>
                        <w:color w:val="000000"/>
                        <w:sz w:val="16"/>
                        <w:szCs w:val="16"/>
                        <w:lang w:val="en-US"/>
                      </w:rPr>
                      <w:t>36 Výroba nábytku; výroba i. n.</w:t>
                    </w:r>
                  </w:p>
                </w:txbxContent>
              </v:textbox>
            </v:rect>
            <v:rect id="_x0000_s1140" style="position:absolute;left:135;top:5537;width:105;height:105" fillcolor="purple" strokeweight="42e-5mm"/>
            <v:rect id="_x0000_s1141" style="position:absolute;left:285;top:5477;width:1080;height:412;mso-wrap-style:none" filled="f" stroked="f">
              <v:textbox style="mso-next-textbox:#_x0000_s1141;mso-fit-shape-to-text:t" inset="0,0,0,0">
                <w:txbxContent>
                  <w:p w14:paraId="2073F802" w14:textId="77777777" w:rsidR="00134DCA" w:rsidRDefault="00134DCA">
                    <w:r>
                      <w:rPr>
                        <w:rFonts w:ascii="Times New Roman" w:hAnsi="Times New Roman" w:cs="Times New Roman"/>
                        <w:color w:val="000000"/>
                        <w:sz w:val="16"/>
                        <w:szCs w:val="16"/>
                        <w:lang w:val="en-US"/>
                      </w:rPr>
                      <w:t>37 Recyklovanie</w:t>
                    </w:r>
                  </w:p>
                </w:txbxContent>
              </v:textbox>
            </v:rect>
            <v:rect id="_x0000_s1142" style="position:absolute;left:135;top:5746;width:105;height:105" fillcolor="maroon" strokeweight="42e-5mm"/>
            <v:rect id="_x0000_s1143" style="position:absolute;left:285;top:5687;width:3559;height:412;mso-wrap-style:none" filled="f" stroked="f">
              <v:textbox style="mso-next-textbox:#_x0000_s1143;mso-fit-shape-to-text:t" inset="0,0,0,0">
                <w:txbxContent>
                  <w:p w14:paraId="7DB9D725" w14:textId="77777777" w:rsidR="00134DCA" w:rsidRDefault="00134DCA">
                    <w:r>
                      <w:rPr>
                        <w:rFonts w:ascii="Times New Roman" w:hAnsi="Times New Roman" w:cs="Times New Roman"/>
                        <w:color w:val="000000"/>
                        <w:sz w:val="16"/>
                        <w:szCs w:val="16"/>
                        <w:lang w:val="en-US"/>
                      </w:rPr>
                      <w:t>40 Výroba a rozvod elektriny, plynu, pary a teplej vody</w:t>
                    </w:r>
                  </w:p>
                </w:txbxContent>
              </v:textbox>
            </v:rect>
            <v:rect id="_x0000_s1144" style="position:absolute;left:135;top:5971;width:105;height:105" fillcolor="teal" strokeweight="42e-5mm"/>
            <v:rect id="_x0000_s1145" style="position:absolute;left:285;top:5911;width:1036;height:412;mso-wrap-style:none" filled="f" stroked="f">
              <v:textbox style="mso-next-textbox:#_x0000_s1145;mso-fit-shape-to-text:t" inset="0,0,0,0">
                <w:txbxContent>
                  <w:p w14:paraId="05F210A4" w14:textId="77777777" w:rsidR="00134DCA" w:rsidRDefault="00134DCA">
                    <w:r>
                      <w:rPr>
                        <w:rFonts w:ascii="Times New Roman" w:hAnsi="Times New Roman" w:cs="Times New Roman"/>
                        <w:color w:val="000000"/>
                        <w:sz w:val="16"/>
                        <w:szCs w:val="16"/>
                        <w:lang w:val="en-US"/>
                      </w:rPr>
                      <w:t>45 Stavebníctvo</w:t>
                    </w:r>
                  </w:p>
                </w:txbxContent>
              </v:textbox>
            </v:rect>
            <v:rect id="_x0000_s1146" style="position:absolute;left:75;top:75;width:8850;height:6180" filled="f" strokeweight="0"/>
            <w10:anchorlock/>
          </v:group>
        </w:pict>
      </w:r>
    </w:p>
    <w:p w14:paraId="0EC15D3B" w14:textId="77777777" w:rsidR="00EC62F5" w:rsidRPr="00EC62F5" w:rsidRDefault="00AD28C3" w:rsidP="00EC62F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rámci terciárneho sektora, v ktorom pôsobí 2260 subjektov, sa najviac subjektov zaoberá činnosťou maloobchod okrem motorových vozidiel a motocyklov; oprava tovaru osobnej potreby a potrieb pre domácnosť – 975 subjektov (čo predstavuje 42 % v rámci terciárneho sektora).  Ďalšie činnosti sú už zastúpené v menšej miere, avšak z nich majú najväčší podiel ostatné služby - 223 subjektov (9 %), iné obchodné služby – 170 subjektov (7 %) a predaj, údržba a oprava motorových vozidiel a motocyklov; maloobchodný predaj pohonných látok – 145 subjektov (6 %). Ostatné činnosti, tak ako je to možno vidieť </w:t>
      </w:r>
      <w:r w:rsidR="00EC62F5" w:rsidRPr="009663F2">
        <w:rPr>
          <w:rFonts w:ascii="Times New Roman" w:hAnsi="Times New Roman" w:cs="Times New Roman"/>
          <w:sz w:val="24"/>
          <w:szCs w:val="24"/>
        </w:rPr>
        <w:t xml:space="preserve">v grafe </w:t>
      </w:r>
      <w:r>
        <w:rPr>
          <w:rFonts w:ascii="Times New Roman" w:hAnsi="Times New Roman" w:cs="Times New Roman"/>
          <w:sz w:val="24"/>
          <w:szCs w:val="24"/>
        </w:rPr>
        <w:t>3.1.11</w:t>
      </w:r>
      <w:r w:rsidR="00EC62F5" w:rsidRPr="009663F2">
        <w:rPr>
          <w:rFonts w:ascii="Times New Roman" w:hAnsi="Times New Roman" w:cs="Times New Roman"/>
          <w:sz w:val="24"/>
          <w:szCs w:val="24"/>
        </w:rPr>
        <w:t>,</w:t>
      </w:r>
      <w:r w:rsidR="00EC62F5" w:rsidRPr="00EC62F5">
        <w:rPr>
          <w:rFonts w:ascii="Times New Roman" w:hAnsi="Times New Roman" w:cs="Times New Roman"/>
          <w:sz w:val="24"/>
          <w:szCs w:val="24"/>
        </w:rPr>
        <w:t xml:space="preserve"> nedosahujú podiel viac ako 5 %. </w:t>
      </w:r>
    </w:p>
    <w:p w14:paraId="2B224E84" w14:textId="77777777" w:rsidR="002C2EB4" w:rsidRDefault="00362E8C" w:rsidP="0023603E">
      <w:pPr>
        <w:spacing w:before="120" w:after="0" w:line="360" w:lineRule="auto"/>
        <w:jc w:val="both"/>
        <w:rPr>
          <w:rFonts w:ascii="Times New Roman" w:hAnsi="Times New Roman" w:cs="Times New Roman"/>
          <w:sz w:val="24"/>
          <w:szCs w:val="24"/>
        </w:rPr>
      </w:pPr>
      <w:r>
        <w:rPr>
          <w:rFonts w:ascii="Times New Roman" w:hAnsi="Times New Roman" w:cs="Times New Roman"/>
          <w:b/>
          <w:noProof/>
          <w:sz w:val="20"/>
          <w:szCs w:val="20"/>
          <w:lang w:eastAsia="sk-SK"/>
        </w:rPr>
        <w:lastRenderedPageBreak/>
        <w:drawing>
          <wp:anchor distT="0" distB="0" distL="114300" distR="114300" simplePos="0" relativeHeight="251658752" behindDoc="0" locked="0" layoutInCell="1" allowOverlap="1" wp14:anchorId="3A1D1B1D" wp14:editId="09A5EE0C">
            <wp:simplePos x="0" y="0"/>
            <wp:positionH relativeFrom="column">
              <wp:posOffset>-3810</wp:posOffset>
            </wp:positionH>
            <wp:positionV relativeFrom="paragraph">
              <wp:posOffset>438150</wp:posOffset>
            </wp:positionV>
            <wp:extent cx="5779770" cy="3968115"/>
            <wp:effectExtent l="0" t="0" r="11430" b="13335"/>
            <wp:wrapSquare wrapText="bothSides"/>
            <wp:docPr id="12" name="Graf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EC62F5" w:rsidRPr="0023603E">
        <w:rPr>
          <w:rFonts w:ascii="Times New Roman" w:hAnsi="Times New Roman" w:cs="Times New Roman"/>
          <w:b/>
          <w:sz w:val="20"/>
          <w:szCs w:val="20"/>
        </w:rPr>
        <w:t xml:space="preserve">Graf </w:t>
      </w:r>
      <w:r w:rsidR="00AD28C3" w:rsidRPr="0023603E">
        <w:rPr>
          <w:rFonts w:ascii="Times New Roman" w:hAnsi="Times New Roman" w:cs="Times New Roman"/>
          <w:b/>
          <w:sz w:val="20"/>
          <w:szCs w:val="20"/>
        </w:rPr>
        <w:t>3.1.11</w:t>
      </w:r>
      <w:r w:rsidR="00EC62F5" w:rsidRPr="0023603E">
        <w:rPr>
          <w:rFonts w:ascii="Times New Roman" w:hAnsi="Times New Roman" w:cs="Times New Roman"/>
          <w:b/>
          <w:sz w:val="20"/>
          <w:szCs w:val="20"/>
        </w:rPr>
        <w:t xml:space="preserve"> </w:t>
      </w:r>
    </w:p>
    <w:p w14:paraId="5E2AECA0" w14:textId="77777777" w:rsidR="00EC62F5" w:rsidRPr="00EC62F5" w:rsidRDefault="002C2EB4" w:rsidP="002C2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Najviac podnikateľských subjektov je logicky evidovaných v najväčších sídlach regiónu, teda v meste Myjava a v Starej Turej , ktoré okrem funkcie zamestnávateľskej, plnia aj funkciu obslužnú. Najmenej podnikateľských subjektov pôsobí v Podkylave a vo Višňovom. Celkovo v regióne pôsobí 3 </w:t>
      </w:r>
      <w:r w:rsidR="005A599E">
        <w:rPr>
          <w:rFonts w:ascii="Times New Roman" w:hAnsi="Times New Roman" w:cs="Times New Roman"/>
          <w:sz w:val="24"/>
          <w:szCs w:val="24"/>
        </w:rPr>
        <w:t>8</w:t>
      </w:r>
      <w:r w:rsidR="00CA519E">
        <w:rPr>
          <w:rFonts w:ascii="Times New Roman" w:hAnsi="Times New Roman" w:cs="Times New Roman"/>
          <w:sz w:val="24"/>
          <w:szCs w:val="24"/>
        </w:rPr>
        <w:t>37</w:t>
      </w:r>
      <w:r w:rsidR="00EC62F5" w:rsidRPr="00EC62F5">
        <w:rPr>
          <w:rFonts w:ascii="Times New Roman" w:hAnsi="Times New Roman" w:cs="Times New Roman"/>
          <w:sz w:val="24"/>
          <w:szCs w:val="24"/>
        </w:rPr>
        <w:t xml:space="preserve"> podnikateľských subjektov, z toho </w:t>
      </w:r>
      <w:r w:rsidR="00CA519E">
        <w:rPr>
          <w:rFonts w:ascii="Times New Roman" w:hAnsi="Times New Roman" w:cs="Times New Roman"/>
          <w:sz w:val="24"/>
          <w:szCs w:val="24"/>
        </w:rPr>
        <w:t>935</w:t>
      </w:r>
      <w:r w:rsidR="00EC62F5" w:rsidRPr="00EC62F5">
        <w:rPr>
          <w:rFonts w:ascii="Times New Roman" w:hAnsi="Times New Roman" w:cs="Times New Roman"/>
          <w:sz w:val="24"/>
          <w:szCs w:val="24"/>
        </w:rPr>
        <w:t xml:space="preserve"> ako právnických osôb a zvyšných </w:t>
      </w:r>
      <w:r w:rsidR="00CA519E">
        <w:rPr>
          <w:rFonts w:ascii="Times New Roman" w:hAnsi="Times New Roman" w:cs="Times New Roman"/>
          <w:sz w:val="24"/>
          <w:szCs w:val="24"/>
        </w:rPr>
        <w:t>2 902</w:t>
      </w:r>
      <w:r w:rsidR="00EC62F5" w:rsidRPr="00EC62F5">
        <w:rPr>
          <w:rFonts w:ascii="Times New Roman" w:hAnsi="Times New Roman" w:cs="Times New Roman"/>
          <w:sz w:val="24"/>
          <w:szCs w:val="24"/>
        </w:rPr>
        <w:t xml:space="preserve"> ako fyzických osôb. Najviac, až 1 </w:t>
      </w:r>
      <w:r w:rsidR="00CA519E">
        <w:rPr>
          <w:rFonts w:ascii="Times New Roman" w:hAnsi="Times New Roman" w:cs="Times New Roman"/>
          <w:sz w:val="24"/>
          <w:szCs w:val="24"/>
        </w:rPr>
        <w:t>448</w:t>
      </w:r>
      <w:r w:rsidR="00EC62F5" w:rsidRPr="00EC62F5">
        <w:rPr>
          <w:rFonts w:ascii="Times New Roman" w:hAnsi="Times New Roman" w:cs="Times New Roman"/>
          <w:sz w:val="24"/>
          <w:szCs w:val="24"/>
        </w:rPr>
        <w:t xml:space="preserve"> ich pôsobí v odvetví veľkoobchod, maloobchod, hotely, reštaurácie, doprava, skladovanie, spoje.   </w:t>
      </w:r>
    </w:p>
    <w:p w14:paraId="2FC4ABB0" w14:textId="77777777" w:rsidR="00EC62F5" w:rsidRPr="009663F2" w:rsidRDefault="002C2EB4" w:rsidP="002C2E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Bližšie rozdelenie podnikateľských subjektov, ako aj fyzických osôb </w:t>
      </w:r>
      <w:r w:rsidR="00EC62F5" w:rsidRPr="009663F2">
        <w:rPr>
          <w:rFonts w:ascii="Times New Roman" w:hAnsi="Times New Roman" w:cs="Times New Roman"/>
          <w:sz w:val="24"/>
          <w:szCs w:val="24"/>
        </w:rPr>
        <w:t>je možné sledovať v tabuľk</w:t>
      </w:r>
      <w:r w:rsidR="00CA519E">
        <w:rPr>
          <w:rFonts w:ascii="Times New Roman" w:hAnsi="Times New Roman" w:cs="Times New Roman"/>
          <w:sz w:val="24"/>
          <w:szCs w:val="24"/>
        </w:rPr>
        <w:t>e</w:t>
      </w:r>
      <w:r w:rsidR="00EC62F5" w:rsidRPr="009663F2">
        <w:rPr>
          <w:rFonts w:ascii="Times New Roman" w:hAnsi="Times New Roman" w:cs="Times New Roman"/>
          <w:sz w:val="24"/>
          <w:szCs w:val="24"/>
        </w:rPr>
        <w:t xml:space="preserve"> </w:t>
      </w:r>
      <w:r w:rsidR="00CA519E">
        <w:rPr>
          <w:rFonts w:ascii="Times New Roman" w:hAnsi="Times New Roman" w:cs="Times New Roman"/>
          <w:sz w:val="24"/>
          <w:szCs w:val="24"/>
        </w:rPr>
        <w:t>3.1.25</w:t>
      </w:r>
      <w:r w:rsidR="00EC62F5" w:rsidRPr="009663F2">
        <w:rPr>
          <w:rFonts w:ascii="Times New Roman" w:hAnsi="Times New Roman" w:cs="Times New Roman"/>
          <w:sz w:val="24"/>
          <w:szCs w:val="24"/>
        </w:rPr>
        <w:t xml:space="preserve">. Tu sú rozdelené jednotlivé subjekty aj podľa Odvetvovej klasifikácie ekonomických činností (OKEČ). </w:t>
      </w:r>
    </w:p>
    <w:p w14:paraId="26FB588E" w14:textId="77777777" w:rsidR="0023603E" w:rsidRDefault="0023603E" w:rsidP="00EC62F5">
      <w:pPr>
        <w:spacing w:before="120" w:after="0" w:line="360" w:lineRule="auto"/>
        <w:jc w:val="both"/>
        <w:rPr>
          <w:rFonts w:ascii="Times New Roman" w:hAnsi="Times New Roman" w:cs="Times New Roman"/>
          <w:sz w:val="20"/>
          <w:szCs w:val="20"/>
        </w:rPr>
      </w:pPr>
    </w:p>
    <w:p w14:paraId="1380FC5B" w14:textId="77777777" w:rsidR="0023603E" w:rsidRDefault="0023603E" w:rsidP="00EC62F5">
      <w:pPr>
        <w:spacing w:before="120" w:after="0" w:line="360" w:lineRule="auto"/>
        <w:jc w:val="both"/>
        <w:rPr>
          <w:rFonts w:ascii="Times New Roman" w:hAnsi="Times New Roman" w:cs="Times New Roman"/>
          <w:sz w:val="20"/>
          <w:szCs w:val="20"/>
        </w:rPr>
      </w:pPr>
    </w:p>
    <w:p w14:paraId="565DEE72" w14:textId="77777777" w:rsidR="0023603E" w:rsidRDefault="0023603E" w:rsidP="00EC62F5">
      <w:pPr>
        <w:spacing w:before="120" w:after="0" w:line="360" w:lineRule="auto"/>
        <w:jc w:val="both"/>
        <w:rPr>
          <w:rFonts w:ascii="Times New Roman" w:hAnsi="Times New Roman" w:cs="Times New Roman"/>
          <w:sz w:val="20"/>
          <w:szCs w:val="20"/>
        </w:rPr>
      </w:pPr>
    </w:p>
    <w:p w14:paraId="6C917EE0" w14:textId="77777777" w:rsidR="0023603E" w:rsidRDefault="0023603E" w:rsidP="00EC62F5">
      <w:pPr>
        <w:spacing w:before="120" w:after="0" w:line="360" w:lineRule="auto"/>
        <w:jc w:val="both"/>
        <w:rPr>
          <w:rFonts w:ascii="Times New Roman" w:hAnsi="Times New Roman" w:cs="Times New Roman"/>
          <w:sz w:val="20"/>
          <w:szCs w:val="20"/>
        </w:rPr>
      </w:pPr>
    </w:p>
    <w:p w14:paraId="24BD540F" w14:textId="77777777" w:rsidR="0023603E" w:rsidRDefault="0023603E" w:rsidP="00EC62F5">
      <w:pPr>
        <w:spacing w:before="120" w:after="0" w:line="360" w:lineRule="auto"/>
        <w:jc w:val="both"/>
        <w:rPr>
          <w:rFonts w:ascii="Times New Roman" w:hAnsi="Times New Roman" w:cs="Times New Roman"/>
          <w:sz w:val="20"/>
          <w:szCs w:val="20"/>
        </w:rPr>
      </w:pPr>
    </w:p>
    <w:p w14:paraId="0E4E8085" w14:textId="77777777" w:rsidR="0023603E" w:rsidRDefault="0023603E" w:rsidP="00EC62F5">
      <w:pPr>
        <w:spacing w:before="120" w:after="0" w:line="360" w:lineRule="auto"/>
        <w:jc w:val="both"/>
        <w:rPr>
          <w:rFonts w:ascii="Times New Roman" w:hAnsi="Times New Roman" w:cs="Times New Roman"/>
          <w:sz w:val="20"/>
          <w:szCs w:val="20"/>
        </w:rPr>
      </w:pPr>
    </w:p>
    <w:p w14:paraId="74A52337" w14:textId="77777777" w:rsidR="00EC62F5" w:rsidRPr="00F560B2" w:rsidRDefault="00EC62F5" w:rsidP="00EC62F5">
      <w:pPr>
        <w:spacing w:before="120" w:after="0" w:line="360" w:lineRule="auto"/>
        <w:jc w:val="both"/>
        <w:rPr>
          <w:rFonts w:ascii="Times New Roman" w:hAnsi="Times New Roman" w:cs="Times New Roman"/>
          <w:b/>
          <w:sz w:val="20"/>
          <w:szCs w:val="20"/>
        </w:rPr>
      </w:pPr>
      <w:r w:rsidRPr="00F560B2">
        <w:rPr>
          <w:rFonts w:ascii="Times New Roman" w:hAnsi="Times New Roman" w:cs="Times New Roman"/>
          <w:b/>
          <w:sz w:val="20"/>
          <w:szCs w:val="20"/>
        </w:rPr>
        <w:lastRenderedPageBreak/>
        <w:t>Tabuľka</w:t>
      </w:r>
      <w:r w:rsidR="009663F2" w:rsidRPr="00F560B2">
        <w:rPr>
          <w:rFonts w:ascii="Times New Roman" w:hAnsi="Times New Roman" w:cs="Times New Roman"/>
          <w:b/>
          <w:sz w:val="20"/>
          <w:szCs w:val="20"/>
        </w:rPr>
        <w:t xml:space="preserve"> </w:t>
      </w:r>
      <w:r w:rsidR="00CA519E" w:rsidRPr="00F560B2">
        <w:rPr>
          <w:rFonts w:ascii="Times New Roman" w:hAnsi="Times New Roman" w:cs="Times New Roman"/>
          <w:b/>
          <w:sz w:val="20"/>
          <w:szCs w:val="20"/>
        </w:rPr>
        <w:t>3.1.25</w:t>
      </w:r>
      <w:r w:rsidRPr="00F560B2">
        <w:rPr>
          <w:rFonts w:ascii="Times New Roman" w:hAnsi="Times New Roman" w:cs="Times New Roman"/>
          <w:b/>
          <w:sz w:val="20"/>
          <w:szCs w:val="20"/>
        </w:rPr>
        <w:t xml:space="preserve"> Štruktúra podnikateľských subjektov v Kopaničiarskom regióne podľa OKEČ v roku 20</w:t>
      </w:r>
      <w:r w:rsidR="00CA519E" w:rsidRPr="00F560B2">
        <w:rPr>
          <w:rFonts w:ascii="Times New Roman" w:hAnsi="Times New Roman" w:cs="Times New Roman"/>
          <w:b/>
          <w:sz w:val="20"/>
          <w:szCs w:val="20"/>
        </w:rPr>
        <w:t>14</w:t>
      </w:r>
    </w:p>
    <w:tbl>
      <w:tblPr>
        <w:tblW w:w="9100" w:type="dxa"/>
        <w:tblInd w:w="55" w:type="dxa"/>
        <w:tblCellMar>
          <w:left w:w="70" w:type="dxa"/>
          <w:right w:w="70" w:type="dxa"/>
        </w:tblCellMar>
        <w:tblLook w:val="0000" w:firstRow="0" w:lastRow="0" w:firstColumn="0" w:lastColumn="0" w:noHBand="0" w:noVBand="0"/>
      </w:tblPr>
      <w:tblGrid>
        <w:gridCol w:w="1358"/>
        <w:gridCol w:w="992"/>
        <w:gridCol w:w="770"/>
        <w:gridCol w:w="582"/>
        <w:gridCol w:w="838"/>
        <w:gridCol w:w="608"/>
        <w:gridCol w:w="506"/>
        <w:gridCol w:w="611"/>
        <w:gridCol w:w="709"/>
        <w:gridCol w:w="1134"/>
        <w:gridCol w:w="992"/>
      </w:tblGrid>
      <w:tr w:rsidR="002C2EB4" w14:paraId="5ED6D833" w14:textId="77777777" w:rsidTr="00CA519E">
        <w:trPr>
          <w:trHeight w:val="259"/>
        </w:trPr>
        <w:tc>
          <w:tcPr>
            <w:tcW w:w="1358"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E44D7F5" w14:textId="77777777" w:rsidR="002C2EB4" w:rsidRPr="00CE1F34" w:rsidRDefault="002C2EB4" w:rsidP="003F3F1F">
            <w:pPr>
              <w:jc w:val="center"/>
              <w:rPr>
                <w:sz w:val="16"/>
                <w:szCs w:val="16"/>
              </w:rPr>
            </w:pPr>
            <w:r>
              <w:rPr>
                <w:sz w:val="16"/>
                <w:szCs w:val="16"/>
              </w:rPr>
              <w:t>MAS</w:t>
            </w:r>
          </w:p>
        </w:tc>
        <w:tc>
          <w:tcPr>
            <w:tcW w:w="2344" w:type="dxa"/>
            <w:gridSpan w:val="3"/>
            <w:tcBorders>
              <w:top w:val="single" w:sz="8" w:space="0" w:color="auto"/>
              <w:left w:val="single" w:sz="8" w:space="0" w:color="auto"/>
              <w:bottom w:val="nil"/>
              <w:right w:val="single" w:sz="8" w:space="0" w:color="auto"/>
            </w:tcBorders>
            <w:shd w:val="clear" w:color="auto" w:fill="D9D9D9"/>
            <w:noWrap/>
            <w:vAlign w:val="bottom"/>
          </w:tcPr>
          <w:p w14:paraId="321DD042" w14:textId="77777777" w:rsidR="002C2EB4" w:rsidRPr="00CE1F34" w:rsidRDefault="002C2EB4" w:rsidP="003F3F1F">
            <w:pPr>
              <w:jc w:val="center"/>
              <w:rPr>
                <w:b/>
                <w:bCs/>
                <w:sz w:val="16"/>
                <w:szCs w:val="16"/>
              </w:rPr>
            </w:pPr>
            <w:r w:rsidRPr="00CE1F34">
              <w:rPr>
                <w:b/>
                <w:bCs/>
                <w:sz w:val="16"/>
                <w:szCs w:val="16"/>
              </w:rPr>
              <w:t>Štruktúra právnych subjektov vedených</w:t>
            </w:r>
          </w:p>
        </w:tc>
        <w:tc>
          <w:tcPr>
            <w:tcW w:w="5398" w:type="dxa"/>
            <w:gridSpan w:val="7"/>
            <w:tcBorders>
              <w:top w:val="single" w:sz="8" w:space="0" w:color="auto"/>
              <w:left w:val="single" w:sz="8" w:space="0" w:color="auto"/>
              <w:bottom w:val="nil"/>
              <w:right w:val="single" w:sz="8" w:space="0" w:color="auto"/>
            </w:tcBorders>
            <w:shd w:val="clear" w:color="auto" w:fill="D9D9D9"/>
            <w:noWrap/>
            <w:vAlign w:val="bottom"/>
          </w:tcPr>
          <w:p w14:paraId="3CCB505D" w14:textId="77777777" w:rsidR="002C2EB4" w:rsidRPr="00CE1F34" w:rsidRDefault="002C2EB4" w:rsidP="003F3F1F">
            <w:pPr>
              <w:jc w:val="center"/>
              <w:rPr>
                <w:b/>
                <w:bCs/>
                <w:sz w:val="16"/>
                <w:szCs w:val="16"/>
              </w:rPr>
            </w:pPr>
            <w:r w:rsidRPr="00CE1F34">
              <w:rPr>
                <w:b/>
                <w:bCs/>
                <w:sz w:val="16"/>
                <w:szCs w:val="16"/>
              </w:rPr>
              <w:t>Odvetvová štruktúra hospodárstva</w:t>
            </w:r>
          </w:p>
        </w:tc>
      </w:tr>
      <w:tr w:rsidR="002C2EB4" w14:paraId="05611E0F" w14:textId="77777777" w:rsidTr="00CA519E">
        <w:trPr>
          <w:trHeight w:val="259"/>
        </w:trPr>
        <w:tc>
          <w:tcPr>
            <w:tcW w:w="1358"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3310340" w14:textId="77777777" w:rsidR="002C2EB4" w:rsidRPr="00CE1F34" w:rsidRDefault="002C2EB4" w:rsidP="003F3F1F">
            <w:pPr>
              <w:rPr>
                <w:sz w:val="16"/>
                <w:szCs w:val="16"/>
              </w:rPr>
            </w:pPr>
          </w:p>
        </w:tc>
        <w:tc>
          <w:tcPr>
            <w:tcW w:w="2344" w:type="dxa"/>
            <w:gridSpan w:val="3"/>
            <w:tcBorders>
              <w:top w:val="nil"/>
              <w:left w:val="single" w:sz="8" w:space="0" w:color="auto"/>
              <w:bottom w:val="nil"/>
              <w:right w:val="single" w:sz="8" w:space="0" w:color="auto"/>
            </w:tcBorders>
            <w:shd w:val="clear" w:color="auto" w:fill="D9D9D9"/>
            <w:noWrap/>
            <w:vAlign w:val="bottom"/>
          </w:tcPr>
          <w:p w14:paraId="3A56AF94" w14:textId="77777777" w:rsidR="002C2EB4" w:rsidRPr="00CE1F34" w:rsidRDefault="002C2EB4" w:rsidP="003F3F1F">
            <w:pPr>
              <w:jc w:val="center"/>
              <w:rPr>
                <w:b/>
                <w:bCs/>
                <w:sz w:val="16"/>
                <w:szCs w:val="16"/>
              </w:rPr>
            </w:pPr>
            <w:r w:rsidRPr="00CE1F34">
              <w:rPr>
                <w:b/>
                <w:bCs/>
                <w:sz w:val="16"/>
                <w:szCs w:val="16"/>
              </w:rPr>
              <w:t>v Registri štatistických jednotiek</w:t>
            </w:r>
          </w:p>
        </w:tc>
        <w:tc>
          <w:tcPr>
            <w:tcW w:w="5398" w:type="dxa"/>
            <w:gridSpan w:val="7"/>
            <w:tcBorders>
              <w:top w:val="nil"/>
              <w:left w:val="single" w:sz="8" w:space="0" w:color="auto"/>
              <w:bottom w:val="nil"/>
              <w:right w:val="single" w:sz="8" w:space="0" w:color="auto"/>
            </w:tcBorders>
            <w:shd w:val="clear" w:color="auto" w:fill="D9D9D9"/>
            <w:noWrap/>
            <w:vAlign w:val="bottom"/>
          </w:tcPr>
          <w:p w14:paraId="2A9A8806" w14:textId="77777777" w:rsidR="002C2EB4" w:rsidRPr="00CE1F34" w:rsidRDefault="002C2EB4" w:rsidP="003F3F1F">
            <w:pPr>
              <w:jc w:val="center"/>
              <w:rPr>
                <w:sz w:val="16"/>
                <w:szCs w:val="16"/>
              </w:rPr>
            </w:pPr>
            <w:r w:rsidRPr="00CE1F34">
              <w:rPr>
                <w:sz w:val="16"/>
                <w:szCs w:val="16"/>
              </w:rPr>
              <w:t>(pozri vysvetlivky OKEČ)</w:t>
            </w:r>
          </w:p>
        </w:tc>
      </w:tr>
      <w:tr w:rsidR="002C2EB4" w14:paraId="255019C8" w14:textId="77777777" w:rsidTr="00CA519E">
        <w:trPr>
          <w:trHeight w:val="259"/>
        </w:trPr>
        <w:tc>
          <w:tcPr>
            <w:tcW w:w="1358"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9CACAAF" w14:textId="77777777" w:rsidR="002C2EB4" w:rsidRPr="00CE1F34" w:rsidRDefault="002C2EB4" w:rsidP="003F3F1F">
            <w:pPr>
              <w:rPr>
                <w:sz w:val="16"/>
                <w:szCs w:val="16"/>
              </w:rPr>
            </w:pPr>
          </w:p>
        </w:tc>
        <w:tc>
          <w:tcPr>
            <w:tcW w:w="2344" w:type="dxa"/>
            <w:gridSpan w:val="3"/>
            <w:tcBorders>
              <w:top w:val="nil"/>
              <w:left w:val="single" w:sz="8" w:space="0" w:color="auto"/>
              <w:bottom w:val="single" w:sz="4" w:space="0" w:color="auto"/>
              <w:right w:val="single" w:sz="8" w:space="0" w:color="auto"/>
            </w:tcBorders>
            <w:shd w:val="clear" w:color="auto" w:fill="D9D9D9"/>
            <w:noWrap/>
            <w:vAlign w:val="bottom"/>
          </w:tcPr>
          <w:p w14:paraId="73CEA657" w14:textId="77777777" w:rsidR="002C2EB4" w:rsidRPr="00CE1F34" w:rsidRDefault="002C2EB4" w:rsidP="003F3F1F">
            <w:pPr>
              <w:jc w:val="center"/>
              <w:rPr>
                <w:b/>
                <w:bCs/>
                <w:sz w:val="16"/>
                <w:szCs w:val="16"/>
              </w:rPr>
            </w:pPr>
            <w:r>
              <w:rPr>
                <w:b/>
                <w:bCs/>
                <w:sz w:val="16"/>
                <w:szCs w:val="16"/>
              </w:rPr>
              <w:t>k 31. 12. 2014</w:t>
            </w:r>
          </w:p>
        </w:tc>
        <w:tc>
          <w:tcPr>
            <w:tcW w:w="5398" w:type="dxa"/>
            <w:gridSpan w:val="7"/>
            <w:tcBorders>
              <w:top w:val="single" w:sz="4" w:space="0" w:color="auto"/>
              <w:left w:val="single" w:sz="8" w:space="0" w:color="auto"/>
              <w:bottom w:val="single" w:sz="4" w:space="0" w:color="auto"/>
              <w:right w:val="single" w:sz="8" w:space="0" w:color="auto"/>
            </w:tcBorders>
            <w:shd w:val="clear" w:color="auto" w:fill="D9D9D9"/>
            <w:noWrap/>
            <w:vAlign w:val="bottom"/>
          </w:tcPr>
          <w:p w14:paraId="59D040BB" w14:textId="77777777" w:rsidR="002C2EB4" w:rsidRPr="00CE1F34" w:rsidRDefault="002C2EB4" w:rsidP="003F3F1F">
            <w:pPr>
              <w:jc w:val="center"/>
              <w:rPr>
                <w:sz w:val="16"/>
                <w:szCs w:val="16"/>
              </w:rPr>
            </w:pPr>
            <w:r w:rsidRPr="00CE1F34">
              <w:rPr>
                <w:sz w:val="16"/>
                <w:szCs w:val="16"/>
              </w:rPr>
              <w:t>z toho</w:t>
            </w:r>
          </w:p>
        </w:tc>
      </w:tr>
      <w:tr w:rsidR="002C2EB4" w14:paraId="7AB3EC36" w14:textId="77777777" w:rsidTr="00CA519E">
        <w:trPr>
          <w:trHeight w:val="259"/>
        </w:trPr>
        <w:tc>
          <w:tcPr>
            <w:tcW w:w="1358"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CF9CAF3" w14:textId="77777777" w:rsidR="002C2EB4" w:rsidRPr="00CE1F34" w:rsidRDefault="002C2EB4" w:rsidP="003F3F1F">
            <w:pPr>
              <w:rPr>
                <w:sz w:val="16"/>
                <w:szCs w:val="16"/>
              </w:rPr>
            </w:pPr>
          </w:p>
        </w:tc>
        <w:tc>
          <w:tcPr>
            <w:tcW w:w="992" w:type="dxa"/>
            <w:tcBorders>
              <w:top w:val="nil"/>
              <w:left w:val="single" w:sz="8" w:space="0" w:color="auto"/>
              <w:bottom w:val="nil"/>
              <w:right w:val="single" w:sz="8" w:space="0" w:color="auto"/>
            </w:tcBorders>
            <w:shd w:val="clear" w:color="auto" w:fill="D9D9D9"/>
            <w:noWrap/>
            <w:vAlign w:val="bottom"/>
          </w:tcPr>
          <w:p w14:paraId="65EB9614" w14:textId="77777777" w:rsidR="002C2EB4" w:rsidRPr="00CE1F34" w:rsidRDefault="002C2EB4" w:rsidP="003F3F1F">
            <w:pPr>
              <w:jc w:val="center"/>
              <w:rPr>
                <w:sz w:val="16"/>
                <w:szCs w:val="16"/>
              </w:rPr>
            </w:pPr>
            <w:r w:rsidRPr="00CE1F34">
              <w:rPr>
                <w:sz w:val="16"/>
                <w:szCs w:val="16"/>
              </w:rPr>
              <w:t>počet</w:t>
            </w:r>
          </w:p>
        </w:tc>
        <w:tc>
          <w:tcPr>
            <w:tcW w:w="1352" w:type="dxa"/>
            <w:gridSpan w:val="2"/>
            <w:tcBorders>
              <w:top w:val="single" w:sz="4" w:space="0" w:color="auto"/>
              <w:left w:val="single" w:sz="8" w:space="0" w:color="auto"/>
              <w:bottom w:val="nil"/>
              <w:right w:val="single" w:sz="8" w:space="0" w:color="auto"/>
            </w:tcBorders>
            <w:shd w:val="clear" w:color="auto" w:fill="D9D9D9"/>
            <w:noWrap/>
            <w:vAlign w:val="bottom"/>
          </w:tcPr>
          <w:p w14:paraId="19E97A40" w14:textId="77777777" w:rsidR="002C2EB4" w:rsidRPr="00CE1F34" w:rsidRDefault="002C2EB4" w:rsidP="003F3F1F">
            <w:pPr>
              <w:jc w:val="center"/>
              <w:rPr>
                <w:sz w:val="16"/>
                <w:szCs w:val="16"/>
              </w:rPr>
            </w:pPr>
            <w:r w:rsidRPr="00CE1F34">
              <w:rPr>
                <w:sz w:val="16"/>
                <w:szCs w:val="16"/>
              </w:rPr>
              <w:t>v tom</w:t>
            </w:r>
          </w:p>
        </w:tc>
        <w:tc>
          <w:tcPr>
            <w:tcW w:w="838" w:type="dxa"/>
            <w:vMerge w:val="restart"/>
            <w:tcBorders>
              <w:top w:val="nil"/>
              <w:left w:val="single" w:sz="8" w:space="0" w:color="auto"/>
              <w:bottom w:val="single" w:sz="8" w:space="0" w:color="000000"/>
              <w:right w:val="single" w:sz="8" w:space="0" w:color="auto"/>
            </w:tcBorders>
            <w:shd w:val="clear" w:color="auto" w:fill="D9D9D9"/>
            <w:vAlign w:val="center"/>
          </w:tcPr>
          <w:p w14:paraId="2D039BD4" w14:textId="77777777" w:rsidR="002C2EB4" w:rsidRPr="00CE1F34" w:rsidRDefault="002C2EB4" w:rsidP="003F3F1F">
            <w:pPr>
              <w:jc w:val="center"/>
              <w:rPr>
                <w:sz w:val="16"/>
                <w:szCs w:val="16"/>
              </w:rPr>
            </w:pPr>
            <w:r w:rsidRPr="00CE1F34">
              <w:rPr>
                <w:sz w:val="16"/>
                <w:szCs w:val="16"/>
              </w:rPr>
              <w:t xml:space="preserve">OKEČ                              01, </w:t>
            </w:r>
            <w:smartTag w:uri="urn:schemas-microsoft-com:office:smarttags" w:element="metricconverter">
              <w:smartTagPr>
                <w:attr w:name="ProductID" w:val="02 a"/>
              </w:smartTagPr>
              <w:r w:rsidRPr="00CE1F34">
                <w:rPr>
                  <w:sz w:val="16"/>
                  <w:szCs w:val="16"/>
                </w:rPr>
                <w:t>02 a</w:t>
              </w:r>
            </w:smartTag>
            <w:r w:rsidRPr="00CE1F34">
              <w:rPr>
                <w:sz w:val="16"/>
                <w:szCs w:val="16"/>
              </w:rPr>
              <w:t xml:space="preserve"> 05</w:t>
            </w:r>
          </w:p>
        </w:tc>
        <w:tc>
          <w:tcPr>
            <w:tcW w:w="608" w:type="dxa"/>
            <w:vMerge w:val="restart"/>
            <w:tcBorders>
              <w:top w:val="nil"/>
              <w:left w:val="single" w:sz="8" w:space="0" w:color="auto"/>
              <w:bottom w:val="single" w:sz="8" w:space="0" w:color="000000"/>
              <w:right w:val="single" w:sz="8" w:space="0" w:color="auto"/>
            </w:tcBorders>
            <w:shd w:val="clear" w:color="auto" w:fill="D9D9D9"/>
            <w:vAlign w:val="center"/>
          </w:tcPr>
          <w:p w14:paraId="7E7DDECA" w14:textId="77777777" w:rsidR="002C2EB4" w:rsidRPr="00CE1F34" w:rsidRDefault="002C2EB4" w:rsidP="003F3F1F">
            <w:pPr>
              <w:jc w:val="center"/>
              <w:rPr>
                <w:sz w:val="16"/>
                <w:szCs w:val="16"/>
              </w:rPr>
            </w:pPr>
            <w:r w:rsidRPr="00CE1F34">
              <w:rPr>
                <w:sz w:val="16"/>
                <w:szCs w:val="16"/>
              </w:rPr>
              <w:t>OKEČ                  10 - 41</w:t>
            </w:r>
          </w:p>
        </w:tc>
        <w:tc>
          <w:tcPr>
            <w:tcW w:w="506" w:type="dxa"/>
            <w:vMerge w:val="restart"/>
            <w:tcBorders>
              <w:top w:val="nil"/>
              <w:left w:val="single" w:sz="8" w:space="0" w:color="auto"/>
              <w:bottom w:val="single" w:sz="8" w:space="0" w:color="000000"/>
              <w:right w:val="single" w:sz="8" w:space="0" w:color="auto"/>
            </w:tcBorders>
            <w:shd w:val="clear" w:color="auto" w:fill="D9D9D9"/>
            <w:vAlign w:val="center"/>
          </w:tcPr>
          <w:p w14:paraId="3DD8F63A" w14:textId="77777777" w:rsidR="002C2EB4" w:rsidRPr="00CE1F34" w:rsidRDefault="002C2EB4" w:rsidP="003F3F1F">
            <w:pPr>
              <w:jc w:val="center"/>
              <w:rPr>
                <w:sz w:val="16"/>
                <w:szCs w:val="16"/>
              </w:rPr>
            </w:pPr>
            <w:r w:rsidRPr="00CE1F34">
              <w:rPr>
                <w:sz w:val="16"/>
                <w:szCs w:val="16"/>
              </w:rPr>
              <w:t>OKEČ                                      45</w:t>
            </w:r>
          </w:p>
        </w:tc>
        <w:tc>
          <w:tcPr>
            <w:tcW w:w="611" w:type="dxa"/>
            <w:vMerge w:val="restart"/>
            <w:tcBorders>
              <w:top w:val="nil"/>
              <w:left w:val="single" w:sz="8" w:space="0" w:color="auto"/>
              <w:bottom w:val="single" w:sz="8" w:space="0" w:color="000000"/>
              <w:right w:val="single" w:sz="8" w:space="0" w:color="auto"/>
            </w:tcBorders>
            <w:shd w:val="clear" w:color="auto" w:fill="D9D9D9"/>
            <w:vAlign w:val="center"/>
          </w:tcPr>
          <w:p w14:paraId="476AD8E0" w14:textId="77777777" w:rsidR="002C2EB4" w:rsidRPr="00CE1F34" w:rsidRDefault="002C2EB4" w:rsidP="003F3F1F">
            <w:pPr>
              <w:jc w:val="center"/>
              <w:rPr>
                <w:sz w:val="16"/>
                <w:szCs w:val="16"/>
              </w:rPr>
            </w:pPr>
            <w:r w:rsidRPr="00CE1F34">
              <w:rPr>
                <w:sz w:val="16"/>
                <w:szCs w:val="16"/>
              </w:rPr>
              <w:t>OKEČ                                   50 - 95</w:t>
            </w:r>
          </w:p>
        </w:tc>
        <w:tc>
          <w:tcPr>
            <w:tcW w:w="2835" w:type="dxa"/>
            <w:gridSpan w:val="3"/>
            <w:tcBorders>
              <w:top w:val="single" w:sz="4" w:space="0" w:color="auto"/>
              <w:left w:val="single" w:sz="8" w:space="0" w:color="auto"/>
              <w:bottom w:val="single" w:sz="4" w:space="0" w:color="auto"/>
              <w:right w:val="single" w:sz="8" w:space="0" w:color="auto"/>
            </w:tcBorders>
            <w:shd w:val="clear" w:color="auto" w:fill="D9D9D9"/>
            <w:vAlign w:val="center"/>
          </w:tcPr>
          <w:p w14:paraId="690EDFFD" w14:textId="77777777" w:rsidR="002C2EB4" w:rsidRPr="00CE1F34" w:rsidRDefault="002C2EB4" w:rsidP="003F3F1F">
            <w:pPr>
              <w:jc w:val="center"/>
              <w:rPr>
                <w:sz w:val="16"/>
                <w:szCs w:val="16"/>
              </w:rPr>
            </w:pPr>
            <w:r w:rsidRPr="00CE1F34">
              <w:rPr>
                <w:sz w:val="16"/>
                <w:szCs w:val="16"/>
              </w:rPr>
              <w:t xml:space="preserve">v tom                                                                                               </w:t>
            </w:r>
          </w:p>
        </w:tc>
      </w:tr>
      <w:tr w:rsidR="002C2EB4" w14:paraId="77B6043C" w14:textId="77777777" w:rsidTr="00CA519E">
        <w:trPr>
          <w:trHeight w:val="259"/>
        </w:trPr>
        <w:tc>
          <w:tcPr>
            <w:tcW w:w="1358" w:type="dxa"/>
            <w:vMerge/>
            <w:tcBorders>
              <w:top w:val="single" w:sz="8" w:space="0" w:color="auto"/>
              <w:left w:val="single" w:sz="8" w:space="0" w:color="auto"/>
              <w:bottom w:val="single" w:sz="8" w:space="0" w:color="auto"/>
              <w:right w:val="single" w:sz="8" w:space="0" w:color="auto"/>
            </w:tcBorders>
            <w:shd w:val="clear" w:color="auto" w:fill="D9D9D9"/>
            <w:vAlign w:val="center"/>
          </w:tcPr>
          <w:p w14:paraId="6379C4C2" w14:textId="77777777" w:rsidR="002C2EB4" w:rsidRPr="00CE1F34" w:rsidRDefault="002C2EB4" w:rsidP="003F3F1F">
            <w:pPr>
              <w:rPr>
                <w:sz w:val="16"/>
                <w:szCs w:val="16"/>
              </w:rPr>
            </w:pPr>
          </w:p>
        </w:tc>
        <w:tc>
          <w:tcPr>
            <w:tcW w:w="992" w:type="dxa"/>
            <w:tcBorders>
              <w:top w:val="nil"/>
              <w:left w:val="single" w:sz="8" w:space="0" w:color="auto"/>
              <w:bottom w:val="single" w:sz="8" w:space="0" w:color="auto"/>
              <w:right w:val="single" w:sz="8" w:space="0" w:color="auto"/>
            </w:tcBorders>
            <w:shd w:val="clear" w:color="auto" w:fill="D9D9D9"/>
            <w:noWrap/>
            <w:vAlign w:val="bottom"/>
          </w:tcPr>
          <w:p w14:paraId="517E2B1B" w14:textId="77777777" w:rsidR="002C2EB4" w:rsidRPr="00CE1F34" w:rsidRDefault="002C2EB4" w:rsidP="003F3F1F">
            <w:pPr>
              <w:jc w:val="center"/>
              <w:rPr>
                <w:sz w:val="16"/>
                <w:szCs w:val="16"/>
              </w:rPr>
            </w:pPr>
            <w:r w:rsidRPr="00CE1F34">
              <w:rPr>
                <w:sz w:val="16"/>
                <w:szCs w:val="16"/>
              </w:rPr>
              <w:t>subjektov spolu</w:t>
            </w:r>
          </w:p>
        </w:tc>
        <w:tc>
          <w:tcPr>
            <w:tcW w:w="770" w:type="dxa"/>
            <w:tcBorders>
              <w:top w:val="single" w:sz="4" w:space="0" w:color="auto"/>
              <w:left w:val="single" w:sz="8" w:space="0" w:color="auto"/>
              <w:bottom w:val="single" w:sz="8" w:space="0" w:color="auto"/>
              <w:right w:val="single" w:sz="8" w:space="0" w:color="auto"/>
            </w:tcBorders>
            <w:shd w:val="clear" w:color="auto" w:fill="D9D9D9"/>
            <w:noWrap/>
            <w:vAlign w:val="center"/>
          </w:tcPr>
          <w:p w14:paraId="70488279" w14:textId="77777777" w:rsidR="002C2EB4" w:rsidRPr="00CE1F34" w:rsidRDefault="002C2EB4" w:rsidP="003F3F1F">
            <w:pPr>
              <w:jc w:val="center"/>
              <w:rPr>
                <w:sz w:val="16"/>
                <w:szCs w:val="16"/>
              </w:rPr>
            </w:pPr>
            <w:r w:rsidRPr="00CE1F34">
              <w:rPr>
                <w:sz w:val="16"/>
                <w:szCs w:val="16"/>
              </w:rPr>
              <w:t>právnické</w:t>
            </w:r>
          </w:p>
        </w:tc>
        <w:tc>
          <w:tcPr>
            <w:tcW w:w="582" w:type="dxa"/>
            <w:tcBorders>
              <w:top w:val="single" w:sz="4" w:space="0" w:color="auto"/>
              <w:left w:val="single" w:sz="8" w:space="0" w:color="auto"/>
              <w:bottom w:val="single" w:sz="8" w:space="0" w:color="auto"/>
              <w:right w:val="single" w:sz="8" w:space="0" w:color="auto"/>
            </w:tcBorders>
            <w:shd w:val="clear" w:color="auto" w:fill="D9D9D9"/>
            <w:noWrap/>
            <w:vAlign w:val="center"/>
          </w:tcPr>
          <w:p w14:paraId="28C249BB" w14:textId="77777777" w:rsidR="002C2EB4" w:rsidRPr="00CE1F34" w:rsidRDefault="002C2EB4" w:rsidP="003F3F1F">
            <w:pPr>
              <w:jc w:val="center"/>
              <w:rPr>
                <w:sz w:val="16"/>
                <w:szCs w:val="16"/>
              </w:rPr>
            </w:pPr>
            <w:r w:rsidRPr="00CE1F34">
              <w:rPr>
                <w:sz w:val="16"/>
                <w:szCs w:val="16"/>
              </w:rPr>
              <w:t>fyzické</w:t>
            </w:r>
          </w:p>
        </w:tc>
        <w:tc>
          <w:tcPr>
            <w:tcW w:w="838" w:type="dxa"/>
            <w:vMerge/>
            <w:tcBorders>
              <w:top w:val="nil"/>
              <w:left w:val="single" w:sz="8" w:space="0" w:color="auto"/>
              <w:bottom w:val="single" w:sz="8" w:space="0" w:color="auto"/>
              <w:right w:val="single" w:sz="8" w:space="0" w:color="auto"/>
            </w:tcBorders>
            <w:shd w:val="clear" w:color="auto" w:fill="D9D9D9"/>
            <w:vAlign w:val="center"/>
          </w:tcPr>
          <w:p w14:paraId="40934275" w14:textId="77777777" w:rsidR="002C2EB4" w:rsidRPr="00CE1F34" w:rsidRDefault="002C2EB4" w:rsidP="003F3F1F">
            <w:pPr>
              <w:rPr>
                <w:sz w:val="16"/>
                <w:szCs w:val="16"/>
              </w:rPr>
            </w:pPr>
          </w:p>
        </w:tc>
        <w:tc>
          <w:tcPr>
            <w:tcW w:w="608" w:type="dxa"/>
            <w:vMerge/>
            <w:tcBorders>
              <w:top w:val="nil"/>
              <w:left w:val="single" w:sz="8" w:space="0" w:color="auto"/>
              <w:bottom w:val="single" w:sz="8" w:space="0" w:color="auto"/>
              <w:right w:val="single" w:sz="8" w:space="0" w:color="auto"/>
            </w:tcBorders>
            <w:shd w:val="clear" w:color="auto" w:fill="D9D9D9"/>
            <w:vAlign w:val="center"/>
          </w:tcPr>
          <w:p w14:paraId="6C694CD5" w14:textId="77777777" w:rsidR="002C2EB4" w:rsidRPr="00CE1F34" w:rsidRDefault="002C2EB4" w:rsidP="003F3F1F">
            <w:pPr>
              <w:rPr>
                <w:sz w:val="16"/>
                <w:szCs w:val="16"/>
              </w:rPr>
            </w:pPr>
          </w:p>
        </w:tc>
        <w:tc>
          <w:tcPr>
            <w:tcW w:w="506" w:type="dxa"/>
            <w:vMerge/>
            <w:tcBorders>
              <w:top w:val="nil"/>
              <w:left w:val="single" w:sz="8" w:space="0" w:color="auto"/>
              <w:bottom w:val="single" w:sz="8" w:space="0" w:color="auto"/>
              <w:right w:val="single" w:sz="8" w:space="0" w:color="auto"/>
            </w:tcBorders>
            <w:shd w:val="clear" w:color="auto" w:fill="D9D9D9"/>
            <w:vAlign w:val="center"/>
          </w:tcPr>
          <w:p w14:paraId="1EB5686A" w14:textId="77777777" w:rsidR="002C2EB4" w:rsidRPr="00CE1F34" w:rsidRDefault="002C2EB4" w:rsidP="003F3F1F">
            <w:pPr>
              <w:rPr>
                <w:sz w:val="16"/>
                <w:szCs w:val="16"/>
              </w:rPr>
            </w:pPr>
          </w:p>
        </w:tc>
        <w:tc>
          <w:tcPr>
            <w:tcW w:w="611" w:type="dxa"/>
            <w:vMerge/>
            <w:tcBorders>
              <w:top w:val="nil"/>
              <w:left w:val="single" w:sz="8" w:space="0" w:color="auto"/>
              <w:bottom w:val="single" w:sz="8" w:space="0" w:color="auto"/>
              <w:right w:val="single" w:sz="8" w:space="0" w:color="auto"/>
            </w:tcBorders>
            <w:shd w:val="clear" w:color="auto" w:fill="D9D9D9"/>
            <w:vAlign w:val="center"/>
          </w:tcPr>
          <w:p w14:paraId="307366AD" w14:textId="77777777" w:rsidR="002C2EB4" w:rsidRPr="00CE1F34" w:rsidRDefault="002C2EB4" w:rsidP="003F3F1F">
            <w:pPr>
              <w:rPr>
                <w:sz w:val="16"/>
                <w:szCs w:val="16"/>
              </w:rPr>
            </w:pPr>
          </w:p>
        </w:tc>
        <w:tc>
          <w:tcPr>
            <w:tcW w:w="709" w:type="dxa"/>
            <w:vMerge w:val="restart"/>
            <w:tcBorders>
              <w:top w:val="nil"/>
              <w:left w:val="single" w:sz="8" w:space="0" w:color="auto"/>
              <w:bottom w:val="single" w:sz="8" w:space="0" w:color="auto"/>
              <w:right w:val="single" w:sz="8" w:space="0" w:color="auto"/>
            </w:tcBorders>
            <w:shd w:val="clear" w:color="auto" w:fill="D9D9D9"/>
            <w:vAlign w:val="center"/>
          </w:tcPr>
          <w:p w14:paraId="5636CF37" w14:textId="77777777" w:rsidR="002C2EB4" w:rsidRPr="00CE1F34" w:rsidRDefault="002C2EB4" w:rsidP="003F3F1F">
            <w:pPr>
              <w:jc w:val="center"/>
              <w:rPr>
                <w:sz w:val="16"/>
                <w:szCs w:val="16"/>
              </w:rPr>
            </w:pPr>
            <w:r w:rsidRPr="00CE1F34">
              <w:rPr>
                <w:sz w:val="16"/>
                <w:szCs w:val="16"/>
              </w:rPr>
              <w:t>OKEČ                      50 - 64</w:t>
            </w:r>
          </w:p>
        </w:tc>
        <w:tc>
          <w:tcPr>
            <w:tcW w:w="1134" w:type="dxa"/>
            <w:vMerge w:val="restart"/>
            <w:tcBorders>
              <w:top w:val="nil"/>
              <w:left w:val="single" w:sz="8" w:space="0" w:color="auto"/>
              <w:bottom w:val="single" w:sz="8" w:space="0" w:color="auto"/>
              <w:right w:val="single" w:sz="8" w:space="0" w:color="auto"/>
            </w:tcBorders>
            <w:shd w:val="clear" w:color="auto" w:fill="D9D9D9"/>
            <w:vAlign w:val="center"/>
          </w:tcPr>
          <w:p w14:paraId="0FB85F0E" w14:textId="77777777" w:rsidR="002C2EB4" w:rsidRPr="00CE1F34" w:rsidRDefault="002C2EB4" w:rsidP="002C2EB4">
            <w:pPr>
              <w:ind w:left="4" w:hanging="4"/>
              <w:jc w:val="center"/>
              <w:rPr>
                <w:sz w:val="16"/>
                <w:szCs w:val="16"/>
              </w:rPr>
            </w:pPr>
            <w:r w:rsidRPr="00CE1F34">
              <w:rPr>
                <w:sz w:val="16"/>
                <w:szCs w:val="16"/>
              </w:rPr>
              <w:t>OKEČ                     65 - 74</w:t>
            </w:r>
          </w:p>
        </w:tc>
        <w:tc>
          <w:tcPr>
            <w:tcW w:w="992" w:type="dxa"/>
            <w:vMerge w:val="restart"/>
            <w:tcBorders>
              <w:top w:val="nil"/>
              <w:left w:val="single" w:sz="8" w:space="0" w:color="auto"/>
              <w:bottom w:val="single" w:sz="8" w:space="0" w:color="auto"/>
              <w:right w:val="single" w:sz="8" w:space="0" w:color="auto"/>
            </w:tcBorders>
            <w:shd w:val="clear" w:color="auto" w:fill="D9D9D9"/>
            <w:vAlign w:val="center"/>
          </w:tcPr>
          <w:p w14:paraId="2F23490B" w14:textId="77777777" w:rsidR="002C2EB4" w:rsidRPr="00CE1F34" w:rsidRDefault="002C2EB4" w:rsidP="003F3F1F">
            <w:pPr>
              <w:jc w:val="center"/>
              <w:rPr>
                <w:sz w:val="16"/>
                <w:szCs w:val="16"/>
              </w:rPr>
            </w:pPr>
            <w:r w:rsidRPr="00CE1F34">
              <w:rPr>
                <w:sz w:val="16"/>
                <w:szCs w:val="16"/>
              </w:rPr>
              <w:t>OKEČ               75 - 95</w:t>
            </w:r>
          </w:p>
        </w:tc>
      </w:tr>
      <w:tr w:rsidR="002C2EB4" w14:paraId="6A02951A" w14:textId="77777777" w:rsidTr="00CA519E">
        <w:trPr>
          <w:trHeight w:val="259"/>
        </w:trPr>
        <w:tc>
          <w:tcPr>
            <w:tcW w:w="1358" w:type="dxa"/>
            <w:vMerge/>
            <w:tcBorders>
              <w:top w:val="single" w:sz="8" w:space="0" w:color="auto"/>
              <w:left w:val="single" w:sz="8" w:space="0" w:color="auto"/>
              <w:bottom w:val="single" w:sz="8" w:space="0" w:color="000000"/>
              <w:right w:val="single" w:sz="8" w:space="0" w:color="auto"/>
            </w:tcBorders>
            <w:vAlign w:val="center"/>
          </w:tcPr>
          <w:p w14:paraId="1CCD5873" w14:textId="77777777" w:rsidR="002C2EB4" w:rsidRPr="00CE1F34" w:rsidRDefault="002C2EB4" w:rsidP="003F3F1F">
            <w:pPr>
              <w:rPr>
                <w:sz w:val="16"/>
                <w:szCs w:val="16"/>
              </w:rPr>
            </w:pPr>
          </w:p>
        </w:tc>
        <w:tc>
          <w:tcPr>
            <w:tcW w:w="992" w:type="dxa"/>
            <w:tcBorders>
              <w:top w:val="single" w:sz="8" w:space="0" w:color="auto"/>
              <w:left w:val="nil"/>
              <w:bottom w:val="single" w:sz="8" w:space="0" w:color="auto"/>
              <w:right w:val="single" w:sz="8" w:space="0" w:color="auto"/>
            </w:tcBorders>
            <w:shd w:val="clear" w:color="auto" w:fill="D9D9D9"/>
            <w:noWrap/>
            <w:vAlign w:val="bottom"/>
          </w:tcPr>
          <w:p w14:paraId="0CC707ED" w14:textId="77777777" w:rsidR="002C2EB4" w:rsidRPr="00CE1F34" w:rsidRDefault="002C2EB4" w:rsidP="003F3F1F">
            <w:pPr>
              <w:jc w:val="center"/>
              <w:rPr>
                <w:sz w:val="16"/>
                <w:szCs w:val="16"/>
              </w:rPr>
            </w:pPr>
            <w:r w:rsidRPr="00CE1F34">
              <w:rPr>
                <w:sz w:val="16"/>
                <w:szCs w:val="16"/>
              </w:rPr>
              <w:t>OKEČ 01 - 99</w:t>
            </w:r>
          </w:p>
        </w:tc>
        <w:tc>
          <w:tcPr>
            <w:tcW w:w="770"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4A87C1E6" w14:textId="77777777" w:rsidR="002C2EB4" w:rsidRPr="00CE1F34" w:rsidRDefault="002C2EB4" w:rsidP="003F3F1F">
            <w:pPr>
              <w:jc w:val="center"/>
              <w:rPr>
                <w:sz w:val="16"/>
                <w:szCs w:val="16"/>
              </w:rPr>
            </w:pPr>
            <w:r w:rsidRPr="00CE1F34">
              <w:rPr>
                <w:sz w:val="16"/>
                <w:szCs w:val="16"/>
              </w:rPr>
              <w:t>osoby</w:t>
            </w:r>
          </w:p>
        </w:tc>
        <w:tc>
          <w:tcPr>
            <w:tcW w:w="58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5526743D" w14:textId="77777777" w:rsidR="002C2EB4" w:rsidRPr="00CE1F34" w:rsidRDefault="002C2EB4" w:rsidP="003F3F1F">
            <w:pPr>
              <w:jc w:val="center"/>
              <w:rPr>
                <w:sz w:val="16"/>
                <w:szCs w:val="16"/>
              </w:rPr>
            </w:pPr>
            <w:r w:rsidRPr="00CE1F34">
              <w:rPr>
                <w:sz w:val="16"/>
                <w:szCs w:val="16"/>
              </w:rPr>
              <w:t>osoby</w:t>
            </w:r>
          </w:p>
        </w:tc>
        <w:tc>
          <w:tcPr>
            <w:tcW w:w="838" w:type="dxa"/>
            <w:vMerge/>
            <w:tcBorders>
              <w:top w:val="single" w:sz="8" w:space="0" w:color="auto"/>
              <w:left w:val="nil"/>
              <w:bottom w:val="single" w:sz="8" w:space="0" w:color="000000"/>
              <w:right w:val="nil"/>
            </w:tcBorders>
            <w:vAlign w:val="center"/>
          </w:tcPr>
          <w:p w14:paraId="3F462047" w14:textId="77777777" w:rsidR="002C2EB4" w:rsidRPr="00CE1F34" w:rsidRDefault="002C2EB4" w:rsidP="003F3F1F">
            <w:pPr>
              <w:rPr>
                <w:sz w:val="16"/>
                <w:szCs w:val="16"/>
              </w:rPr>
            </w:pPr>
          </w:p>
        </w:tc>
        <w:tc>
          <w:tcPr>
            <w:tcW w:w="608" w:type="dxa"/>
            <w:vMerge/>
            <w:tcBorders>
              <w:top w:val="single" w:sz="8" w:space="0" w:color="auto"/>
              <w:left w:val="single" w:sz="4" w:space="0" w:color="auto"/>
              <w:bottom w:val="single" w:sz="8" w:space="0" w:color="000000"/>
              <w:right w:val="nil"/>
            </w:tcBorders>
            <w:vAlign w:val="center"/>
          </w:tcPr>
          <w:p w14:paraId="00510EA7" w14:textId="77777777" w:rsidR="002C2EB4" w:rsidRPr="00CE1F34" w:rsidRDefault="002C2EB4" w:rsidP="003F3F1F">
            <w:pPr>
              <w:rPr>
                <w:sz w:val="16"/>
                <w:szCs w:val="16"/>
              </w:rPr>
            </w:pPr>
          </w:p>
        </w:tc>
        <w:tc>
          <w:tcPr>
            <w:tcW w:w="506" w:type="dxa"/>
            <w:vMerge/>
            <w:tcBorders>
              <w:top w:val="single" w:sz="8" w:space="0" w:color="auto"/>
              <w:left w:val="single" w:sz="4" w:space="0" w:color="auto"/>
              <w:bottom w:val="single" w:sz="8" w:space="0" w:color="000000"/>
              <w:right w:val="nil"/>
            </w:tcBorders>
            <w:vAlign w:val="center"/>
          </w:tcPr>
          <w:p w14:paraId="40ABBB64" w14:textId="77777777" w:rsidR="002C2EB4" w:rsidRPr="00CE1F34" w:rsidRDefault="002C2EB4" w:rsidP="003F3F1F">
            <w:pPr>
              <w:rPr>
                <w:sz w:val="16"/>
                <w:szCs w:val="16"/>
              </w:rPr>
            </w:pPr>
          </w:p>
        </w:tc>
        <w:tc>
          <w:tcPr>
            <w:tcW w:w="611" w:type="dxa"/>
            <w:vMerge/>
            <w:tcBorders>
              <w:top w:val="single" w:sz="8" w:space="0" w:color="auto"/>
              <w:left w:val="single" w:sz="4" w:space="0" w:color="auto"/>
              <w:bottom w:val="single" w:sz="8" w:space="0" w:color="000000"/>
              <w:right w:val="nil"/>
            </w:tcBorders>
            <w:vAlign w:val="center"/>
          </w:tcPr>
          <w:p w14:paraId="1740B0F1" w14:textId="77777777" w:rsidR="002C2EB4" w:rsidRPr="00CE1F34" w:rsidRDefault="002C2EB4" w:rsidP="003F3F1F">
            <w:pPr>
              <w:rPr>
                <w:sz w:val="16"/>
                <w:szCs w:val="16"/>
              </w:rPr>
            </w:pPr>
          </w:p>
        </w:tc>
        <w:tc>
          <w:tcPr>
            <w:tcW w:w="709" w:type="dxa"/>
            <w:vMerge/>
            <w:tcBorders>
              <w:top w:val="single" w:sz="8" w:space="0" w:color="auto"/>
              <w:left w:val="single" w:sz="4" w:space="0" w:color="auto"/>
              <w:bottom w:val="single" w:sz="8" w:space="0" w:color="000000"/>
              <w:right w:val="single" w:sz="4" w:space="0" w:color="auto"/>
            </w:tcBorders>
            <w:vAlign w:val="center"/>
          </w:tcPr>
          <w:p w14:paraId="27D0C599" w14:textId="77777777" w:rsidR="002C2EB4" w:rsidRPr="00CE1F34" w:rsidRDefault="002C2EB4" w:rsidP="003F3F1F">
            <w:pPr>
              <w:rPr>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tcPr>
          <w:p w14:paraId="0F395354" w14:textId="77777777" w:rsidR="002C2EB4" w:rsidRPr="00CE1F34" w:rsidRDefault="002C2EB4" w:rsidP="003F3F1F">
            <w:pPr>
              <w:rPr>
                <w:sz w:val="16"/>
                <w:szCs w:val="16"/>
              </w:rPr>
            </w:pPr>
          </w:p>
        </w:tc>
        <w:tc>
          <w:tcPr>
            <w:tcW w:w="992" w:type="dxa"/>
            <w:vMerge/>
            <w:tcBorders>
              <w:top w:val="single" w:sz="8" w:space="0" w:color="auto"/>
              <w:left w:val="single" w:sz="4" w:space="0" w:color="auto"/>
              <w:bottom w:val="single" w:sz="8" w:space="0" w:color="000000"/>
              <w:right w:val="single" w:sz="8" w:space="0" w:color="auto"/>
            </w:tcBorders>
            <w:vAlign w:val="center"/>
          </w:tcPr>
          <w:p w14:paraId="253E81B4" w14:textId="77777777" w:rsidR="002C2EB4" w:rsidRPr="00CE1F34" w:rsidRDefault="002C2EB4" w:rsidP="003F3F1F">
            <w:pPr>
              <w:rPr>
                <w:sz w:val="16"/>
                <w:szCs w:val="16"/>
              </w:rPr>
            </w:pPr>
          </w:p>
        </w:tc>
      </w:tr>
      <w:tr w:rsidR="002C2EB4" w14:paraId="221B69A9" w14:textId="77777777" w:rsidTr="00CA519E">
        <w:trPr>
          <w:trHeight w:val="259"/>
        </w:trPr>
        <w:tc>
          <w:tcPr>
            <w:tcW w:w="1358" w:type="dxa"/>
            <w:tcBorders>
              <w:top w:val="single" w:sz="8" w:space="0" w:color="000000"/>
              <w:left w:val="single" w:sz="4" w:space="0" w:color="auto"/>
              <w:bottom w:val="single" w:sz="4" w:space="0" w:color="auto"/>
              <w:right w:val="single" w:sz="8" w:space="0" w:color="auto"/>
            </w:tcBorders>
            <w:shd w:val="clear" w:color="auto" w:fill="D9D9D9"/>
            <w:noWrap/>
            <w:vAlign w:val="bottom"/>
          </w:tcPr>
          <w:p w14:paraId="001F07ED" w14:textId="77777777" w:rsidR="002C2EB4" w:rsidRPr="00CE1F34" w:rsidRDefault="002C2EB4" w:rsidP="003F3F1F">
            <w:pPr>
              <w:rPr>
                <w:b/>
                <w:bCs/>
                <w:sz w:val="16"/>
                <w:szCs w:val="16"/>
              </w:rPr>
            </w:pPr>
            <w:r w:rsidRPr="00CE1F34">
              <w:rPr>
                <w:b/>
                <w:bCs/>
                <w:sz w:val="16"/>
                <w:szCs w:val="16"/>
              </w:rPr>
              <w:t>Kopaničiarsky región</w:t>
            </w:r>
          </w:p>
        </w:tc>
        <w:tc>
          <w:tcPr>
            <w:tcW w:w="992" w:type="dxa"/>
            <w:tcBorders>
              <w:top w:val="single" w:sz="8" w:space="0" w:color="auto"/>
              <w:left w:val="nil"/>
              <w:bottom w:val="nil"/>
              <w:right w:val="single" w:sz="4" w:space="0" w:color="auto"/>
            </w:tcBorders>
            <w:shd w:val="clear" w:color="auto" w:fill="auto"/>
            <w:noWrap/>
            <w:vAlign w:val="bottom"/>
          </w:tcPr>
          <w:p w14:paraId="417FBDC7" w14:textId="77777777" w:rsidR="002C2EB4" w:rsidRPr="00CE1F34" w:rsidRDefault="007724AE" w:rsidP="003F3F1F">
            <w:pPr>
              <w:jc w:val="right"/>
              <w:rPr>
                <w:b/>
                <w:bCs/>
                <w:sz w:val="16"/>
                <w:szCs w:val="16"/>
              </w:rPr>
            </w:pPr>
            <w:r>
              <w:rPr>
                <w:b/>
                <w:bCs/>
                <w:sz w:val="16"/>
                <w:szCs w:val="16"/>
              </w:rPr>
              <w:t>3837</w:t>
            </w:r>
          </w:p>
        </w:tc>
        <w:tc>
          <w:tcPr>
            <w:tcW w:w="770" w:type="dxa"/>
            <w:tcBorders>
              <w:top w:val="single" w:sz="8" w:space="0" w:color="auto"/>
              <w:left w:val="nil"/>
              <w:bottom w:val="nil"/>
              <w:right w:val="single" w:sz="4" w:space="0" w:color="auto"/>
            </w:tcBorders>
            <w:shd w:val="clear" w:color="auto" w:fill="auto"/>
            <w:noWrap/>
            <w:vAlign w:val="bottom"/>
          </w:tcPr>
          <w:p w14:paraId="5CA05B5A" w14:textId="77777777" w:rsidR="002C2EB4" w:rsidRPr="00CE1F34" w:rsidRDefault="002C2EB4" w:rsidP="007724AE">
            <w:pPr>
              <w:jc w:val="right"/>
              <w:rPr>
                <w:b/>
                <w:bCs/>
                <w:sz w:val="16"/>
                <w:szCs w:val="16"/>
              </w:rPr>
            </w:pPr>
            <w:r>
              <w:rPr>
                <w:b/>
                <w:bCs/>
                <w:sz w:val="16"/>
                <w:szCs w:val="16"/>
              </w:rPr>
              <w:t>9</w:t>
            </w:r>
            <w:r w:rsidR="007724AE">
              <w:rPr>
                <w:b/>
                <w:bCs/>
                <w:sz w:val="16"/>
                <w:szCs w:val="16"/>
              </w:rPr>
              <w:t>35</w:t>
            </w:r>
          </w:p>
        </w:tc>
        <w:tc>
          <w:tcPr>
            <w:tcW w:w="582" w:type="dxa"/>
            <w:tcBorders>
              <w:top w:val="single" w:sz="8" w:space="0" w:color="auto"/>
              <w:left w:val="nil"/>
              <w:bottom w:val="nil"/>
              <w:right w:val="single" w:sz="8" w:space="0" w:color="auto"/>
            </w:tcBorders>
            <w:shd w:val="clear" w:color="auto" w:fill="auto"/>
            <w:noWrap/>
            <w:vAlign w:val="bottom"/>
          </w:tcPr>
          <w:p w14:paraId="0EDD6EAE" w14:textId="77777777" w:rsidR="002C2EB4" w:rsidRPr="00CE1F34" w:rsidRDefault="002C2EB4" w:rsidP="007724AE">
            <w:pPr>
              <w:jc w:val="right"/>
              <w:rPr>
                <w:b/>
                <w:bCs/>
                <w:sz w:val="16"/>
                <w:szCs w:val="16"/>
              </w:rPr>
            </w:pPr>
            <w:r>
              <w:rPr>
                <w:b/>
                <w:bCs/>
                <w:sz w:val="16"/>
                <w:szCs w:val="16"/>
              </w:rPr>
              <w:t xml:space="preserve">2 </w:t>
            </w:r>
            <w:r w:rsidR="007724AE">
              <w:rPr>
                <w:b/>
                <w:bCs/>
                <w:sz w:val="16"/>
                <w:szCs w:val="16"/>
              </w:rPr>
              <w:t>902</w:t>
            </w:r>
          </w:p>
        </w:tc>
        <w:tc>
          <w:tcPr>
            <w:tcW w:w="838" w:type="dxa"/>
            <w:tcBorders>
              <w:top w:val="nil"/>
              <w:left w:val="nil"/>
              <w:bottom w:val="nil"/>
              <w:right w:val="single" w:sz="4" w:space="0" w:color="auto"/>
            </w:tcBorders>
            <w:shd w:val="clear" w:color="auto" w:fill="auto"/>
            <w:noWrap/>
            <w:vAlign w:val="bottom"/>
          </w:tcPr>
          <w:p w14:paraId="5FEBBAA9" w14:textId="77777777" w:rsidR="002C2EB4" w:rsidRPr="00CE1F34" w:rsidRDefault="007724AE" w:rsidP="003F3F1F">
            <w:pPr>
              <w:jc w:val="right"/>
              <w:rPr>
                <w:b/>
                <w:bCs/>
                <w:sz w:val="16"/>
                <w:szCs w:val="16"/>
              </w:rPr>
            </w:pPr>
            <w:r>
              <w:rPr>
                <w:b/>
                <w:bCs/>
                <w:sz w:val="16"/>
                <w:szCs w:val="16"/>
              </w:rPr>
              <w:t>216</w:t>
            </w:r>
          </w:p>
        </w:tc>
        <w:tc>
          <w:tcPr>
            <w:tcW w:w="608" w:type="dxa"/>
            <w:tcBorders>
              <w:top w:val="nil"/>
              <w:left w:val="nil"/>
              <w:bottom w:val="nil"/>
              <w:right w:val="single" w:sz="4" w:space="0" w:color="auto"/>
            </w:tcBorders>
            <w:shd w:val="clear" w:color="auto" w:fill="auto"/>
            <w:noWrap/>
            <w:vAlign w:val="bottom"/>
          </w:tcPr>
          <w:p w14:paraId="7164E119" w14:textId="77777777" w:rsidR="002C2EB4" w:rsidRPr="00CE1F34" w:rsidRDefault="004C2887" w:rsidP="003F3F1F">
            <w:pPr>
              <w:jc w:val="right"/>
              <w:rPr>
                <w:b/>
                <w:bCs/>
                <w:sz w:val="16"/>
                <w:szCs w:val="16"/>
              </w:rPr>
            </w:pPr>
            <w:r>
              <w:rPr>
                <w:b/>
                <w:bCs/>
                <w:sz w:val="16"/>
                <w:szCs w:val="16"/>
              </w:rPr>
              <w:t>845</w:t>
            </w:r>
          </w:p>
        </w:tc>
        <w:tc>
          <w:tcPr>
            <w:tcW w:w="506" w:type="dxa"/>
            <w:tcBorders>
              <w:top w:val="nil"/>
              <w:left w:val="nil"/>
              <w:bottom w:val="nil"/>
              <w:right w:val="single" w:sz="4" w:space="0" w:color="auto"/>
            </w:tcBorders>
            <w:shd w:val="clear" w:color="auto" w:fill="auto"/>
            <w:noWrap/>
            <w:vAlign w:val="bottom"/>
          </w:tcPr>
          <w:p w14:paraId="461C7803" w14:textId="77777777" w:rsidR="002C2EB4" w:rsidRPr="00CE1F34" w:rsidRDefault="007724AE" w:rsidP="007724AE">
            <w:pPr>
              <w:jc w:val="right"/>
              <w:rPr>
                <w:b/>
                <w:bCs/>
                <w:sz w:val="16"/>
                <w:szCs w:val="16"/>
              </w:rPr>
            </w:pPr>
            <w:r>
              <w:rPr>
                <w:b/>
                <w:bCs/>
                <w:sz w:val="16"/>
                <w:szCs w:val="16"/>
              </w:rPr>
              <w:t>418</w:t>
            </w:r>
          </w:p>
        </w:tc>
        <w:tc>
          <w:tcPr>
            <w:tcW w:w="611" w:type="dxa"/>
            <w:tcBorders>
              <w:top w:val="nil"/>
              <w:left w:val="nil"/>
              <w:bottom w:val="nil"/>
              <w:right w:val="single" w:sz="4" w:space="0" w:color="auto"/>
            </w:tcBorders>
            <w:shd w:val="clear" w:color="auto" w:fill="auto"/>
            <w:noWrap/>
            <w:vAlign w:val="bottom"/>
          </w:tcPr>
          <w:p w14:paraId="4D34F5B6" w14:textId="77777777" w:rsidR="002C2EB4" w:rsidRPr="00CE1F34" w:rsidRDefault="004C2887" w:rsidP="007724AE">
            <w:pPr>
              <w:jc w:val="right"/>
              <w:rPr>
                <w:b/>
                <w:bCs/>
                <w:sz w:val="16"/>
                <w:szCs w:val="16"/>
              </w:rPr>
            </w:pPr>
            <w:r>
              <w:rPr>
                <w:b/>
                <w:bCs/>
                <w:sz w:val="16"/>
                <w:szCs w:val="16"/>
              </w:rPr>
              <w:t>2 3</w:t>
            </w:r>
            <w:r w:rsidR="007724AE">
              <w:rPr>
                <w:b/>
                <w:bCs/>
                <w:sz w:val="16"/>
                <w:szCs w:val="16"/>
              </w:rPr>
              <w:t>58</w:t>
            </w:r>
          </w:p>
        </w:tc>
        <w:tc>
          <w:tcPr>
            <w:tcW w:w="709" w:type="dxa"/>
            <w:tcBorders>
              <w:top w:val="nil"/>
              <w:left w:val="nil"/>
              <w:bottom w:val="nil"/>
              <w:right w:val="single" w:sz="4" w:space="0" w:color="auto"/>
            </w:tcBorders>
            <w:shd w:val="clear" w:color="auto" w:fill="auto"/>
            <w:noWrap/>
            <w:vAlign w:val="bottom"/>
          </w:tcPr>
          <w:p w14:paraId="03C3332B" w14:textId="77777777" w:rsidR="002C2EB4" w:rsidRPr="00CE1F34" w:rsidRDefault="004C2887" w:rsidP="00812C47">
            <w:pPr>
              <w:jc w:val="right"/>
              <w:rPr>
                <w:b/>
                <w:bCs/>
                <w:sz w:val="16"/>
                <w:szCs w:val="16"/>
              </w:rPr>
            </w:pPr>
            <w:r>
              <w:rPr>
                <w:b/>
                <w:bCs/>
                <w:sz w:val="16"/>
                <w:szCs w:val="16"/>
              </w:rPr>
              <w:t xml:space="preserve">1 </w:t>
            </w:r>
            <w:r w:rsidR="00812C47">
              <w:rPr>
                <w:b/>
                <w:bCs/>
                <w:sz w:val="16"/>
                <w:szCs w:val="16"/>
              </w:rPr>
              <w:t>448</w:t>
            </w:r>
          </w:p>
        </w:tc>
        <w:tc>
          <w:tcPr>
            <w:tcW w:w="1134" w:type="dxa"/>
            <w:tcBorders>
              <w:top w:val="nil"/>
              <w:left w:val="nil"/>
              <w:bottom w:val="nil"/>
              <w:right w:val="single" w:sz="4" w:space="0" w:color="auto"/>
            </w:tcBorders>
            <w:shd w:val="clear" w:color="auto" w:fill="auto"/>
            <w:noWrap/>
            <w:vAlign w:val="bottom"/>
          </w:tcPr>
          <w:p w14:paraId="728EA93F" w14:textId="77777777" w:rsidR="002C2EB4" w:rsidRPr="00CE1F34" w:rsidRDefault="004C2887" w:rsidP="007724AE">
            <w:pPr>
              <w:jc w:val="right"/>
              <w:rPr>
                <w:b/>
                <w:bCs/>
                <w:sz w:val="16"/>
                <w:szCs w:val="16"/>
              </w:rPr>
            </w:pPr>
            <w:r>
              <w:rPr>
                <w:b/>
                <w:bCs/>
                <w:sz w:val="16"/>
                <w:szCs w:val="16"/>
              </w:rPr>
              <w:t>44</w:t>
            </w:r>
            <w:r w:rsidR="007724AE">
              <w:rPr>
                <w:b/>
                <w:bCs/>
                <w:sz w:val="16"/>
                <w:szCs w:val="16"/>
              </w:rPr>
              <w:t>9</w:t>
            </w:r>
          </w:p>
        </w:tc>
        <w:tc>
          <w:tcPr>
            <w:tcW w:w="992" w:type="dxa"/>
            <w:tcBorders>
              <w:top w:val="nil"/>
              <w:left w:val="nil"/>
              <w:bottom w:val="nil"/>
              <w:right w:val="single" w:sz="8" w:space="0" w:color="auto"/>
            </w:tcBorders>
            <w:shd w:val="clear" w:color="auto" w:fill="auto"/>
            <w:noWrap/>
            <w:vAlign w:val="bottom"/>
          </w:tcPr>
          <w:p w14:paraId="65FFD1AB" w14:textId="77777777" w:rsidR="002C2EB4" w:rsidRPr="00CE1F34" w:rsidRDefault="007724AE" w:rsidP="003F3F1F">
            <w:pPr>
              <w:jc w:val="right"/>
              <w:rPr>
                <w:b/>
                <w:bCs/>
                <w:sz w:val="16"/>
                <w:szCs w:val="16"/>
              </w:rPr>
            </w:pPr>
            <w:r>
              <w:rPr>
                <w:b/>
                <w:bCs/>
                <w:sz w:val="16"/>
                <w:szCs w:val="16"/>
              </w:rPr>
              <w:t>461</w:t>
            </w:r>
          </w:p>
        </w:tc>
      </w:tr>
      <w:tr w:rsidR="002C2EB4" w14:paraId="6FA40BDC" w14:textId="77777777" w:rsidTr="00CA519E">
        <w:trPr>
          <w:trHeight w:val="259"/>
        </w:trPr>
        <w:tc>
          <w:tcPr>
            <w:tcW w:w="1358" w:type="dxa"/>
            <w:tcBorders>
              <w:top w:val="single" w:sz="4" w:space="0" w:color="auto"/>
              <w:left w:val="single" w:sz="4" w:space="0" w:color="auto"/>
              <w:bottom w:val="single" w:sz="8" w:space="0" w:color="auto"/>
              <w:right w:val="single" w:sz="8" w:space="0" w:color="auto"/>
            </w:tcBorders>
            <w:shd w:val="clear" w:color="auto" w:fill="D9D9D9"/>
            <w:noWrap/>
            <w:vAlign w:val="center"/>
          </w:tcPr>
          <w:p w14:paraId="10B13863" w14:textId="77777777" w:rsidR="002C2EB4" w:rsidRPr="00CE1F34" w:rsidRDefault="002C2EB4" w:rsidP="003F3F1F">
            <w:pPr>
              <w:jc w:val="center"/>
              <w:rPr>
                <w:b/>
                <w:bCs/>
                <w:sz w:val="16"/>
                <w:szCs w:val="16"/>
              </w:rPr>
            </w:pPr>
            <w:r w:rsidRPr="00CE1F34">
              <w:rPr>
                <w:b/>
                <w:bCs/>
                <w:sz w:val="16"/>
                <w:szCs w:val="16"/>
              </w:rPr>
              <w:t>%</w:t>
            </w:r>
          </w:p>
        </w:tc>
        <w:tc>
          <w:tcPr>
            <w:tcW w:w="992" w:type="dxa"/>
            <w:tcBorders>
              <w:top w:val="single" w:sz="8" w:space="0" w:color="auto"/>
              <w:left w:val="nil"/>
              <w:bottom w:val="single" w:sz="8" w:space="0" w:color="auto"/>
              <w:right w:val="single" w:sz="4" w:space="0" w:color="auto"/>
            </w:tcBorders>
            <w:shd w:val="clear" w:color="auto" w:fill="auto"/>
            <w:noWrap/>
            <w:vAlign w:val="bottom"/>
          </w:tcPr>
          <w:p w14:paraId="79CCE615" w14:textId="77777777" w:rsidR="002C2EB4" w:rsidRPr="00CE1F34" w:rsidRDefault="002C2EB4" w:rsidP="003F3F1F">
            <w:pPr>
              <w:jc w:val="right"/>
              <w:rPr>
                <w:b/>
                <w:bCs/>
                <w:sz w:val="16"/>
                <w:szCs w:val="16"/>
              </w:rPr>
            </w:pPr>
            <w:r w:rsidRPr="00CE1F34">
              <w:rPr>
                <w:b/>
                <w:bCs/>
                <w:sz w:val="16"/>
                <w:szCs w:val="16"/>
              </w:rPr>
              <w:t>100,0</w:t>
            </w:r>
          </w:p>
        </w:tc>
        <w:tc>
          <w:tcPr>
            <w:tcW w:w="770" w:type="dxa"/>
            <w:tcBorders>
              <w:top w:val="single" w:sz="8" w:space="0" w:color="auto"/>
              <w:left w:val="nil"/>
              <w:bottom w:val="single" w:sz="8" w:space="0" w:color="auto"/>
              <w:right w:val="single" w:sz="4" w:space="0" w:color="auto"/>
            </w:tcBorders>
            <w:shd w:val="clear" w:color="auto" w:fill="auto"/>
            <w:noWrap/>
            <w:vAlign w:val="bottom"/>
          </w:tcPr>
          <w:p w14:paraId="44A3B5B4" w14:textId="77777777" w:rsidR="002C2EB4" w:rsidRPr="00CE1F34" w:rsidRDefault="004C2887" w:rsidP="003F3F1F">
            <w:pPr>
              <w:jc w:val="right"/>
              <w:rPr>
                <w:b/>
                <w:bCs/>
                <w:sz w:val="16"/>
                <w:szCs w:val="16"/>
              </w:rPr>
            </w:pPr>
            <w:r>
              <w:rPr>
                <w:b/>
                <w:bCs/>
                <w:sz w:val="16"/>
                <w:szCs w:val="16"/>
              </w:rPr>
              <w:t>24,</w:t>
            </w:r>
            <w:r w:rsidR="007724AE">
              <w:rPr>
                <w:b/>
                <w:bCs/>
                <w:sz w:val="16"/>
                <w:szCs w:val="16"/>
              </w:rPr>
              <w:t>37</w:t>
            </w:r>
          </w:p>
        </w:tc>
        <w:tc>
          <w:tcPr>
            <w:tcW w:w="582" w:type="dxa"/>
            <w:tcBorders>
              <w:top w:val="single" w:sz="8" w:space="0" w:color="auto"/>
              <w:left w:val="nil"/>
              <w:bottom w:val="single" w:sz="8" w:space="0" w:color="auto"/>
              <w:right w:val="single" w:sz="8" w:space="0" w:color="auto"/>
            </w:tcBorders>
            <w:shd w:val="clear" w:color="auto" w:fill="auto"/>
            <w:noWrap/>
            <w:vAlign w:val="bottom"/>
          </w:tcPr>
          <w:p w14:paraId="577EA0D1" w14:textId="77777777" w:rsidR="002C2EB4" w:rsidRPr="00CE1F34" w:rsidRDefault="007724AE" w:rsidP="004C2887">
            <w:pPr>
              <w:jc w:val="right"/>
              <w:rPr>
                <w:b/>
                <w:bCs/>
                <w:sz w:val="16"/>
                <w:szCs w:val="16"/>
              </w:rPr>
            </w:pPr>
            <w:r>
              <w:rPr>
                <w:b/>
                <w:bCs/>
                <w:sz w:val="16"/>
                <w:szCs w:val="16"/>
              </w:rPr>
              <w:t>75,63</w:t>
            </w:r>
          </w:p>
        </w:tc>
        <w:tc>
          <w:tcPr>
            <w:tcW w:w="838" w:type="dxa"/>
            <w:tcBorders>
              <w:top w:val="single" w:sz="8" w:space="0" w:color="auto"/>
              <w:left w:val="nil"/>
              <w:bottom w:val="single" w:sz="8" w:space="0" w:color="auto"/>
              <w:right w:val="single" w:sz="4" w:space="0" w:color="auto"/>
            </w:tcBorders>
            <w:shd w:val="clear" w:color="auto" w:fill="auto"/>
            <w:noWrap/>
            <w:vAlign w:val="bottom"/>
          </w:tcPr>
          <w:p w14:paraId="2FEC5761" w14:textId="77777777" w:rsidR="002C2EB4" w:rsidRPr="00CE1F34" w:rsidRDefault="007724AE" w:rsidP="003F3F1F">
            <w:pPr>
              <w:jc w:val="right"/>
              <w:rPr>
                <w:b/>
                <w:bCs/>
                <w:sz w:val="16"/>
                <w:szCs w:val="16"/>
              </w:rPr>
            </w:pPr>
            <w:r>
              <w:rPr>
                <w:b/>
                <w:bCs/>
                <w:sz w:val="16"/>
                <w:szCs w:val="16"/>
              </w:rPr>
              <w:t>5,63</w:t>
            </w:r>
          </w:p>
        </w:tc>
        <w:tc>
          <w:tcPr>
            <w:tcW w:w="608" w:type="dxa"/>
            <w:tcBorders>
              <w:top w:val="single" w:sz="8" w:space="0" w:color="auto"/>
              <w:left w:val="nil"/>
              <w:bottom w:val="single" w:sz="8" w:space="0" w:color="auto"/>
              <w:right w:val="single" w:sz="4" w:space="0" w:color="auto"/>
            </w:tcBorders>
            <w:shd w:val="clear" w:color="auto" w:fill="auto"/>
            <w:noWrap/>
            <w:vAlign w:val="bottom"/>
          </w:tcPr>
          <w:p w14:paraId="18E0FBD5" w14:textId="77777777" w:rsidR="002C2EB4" w:rsidRPr="00CE1F34" w:rsidRDefault="007724AE" w:rsidP="003F3F1F">
            <w:pPr>
              <w:jc w:val="right"/>
              <w:rPr>
                <w:b/>
                <w:bCs/>
                <w:sz w:val="16"/>
                <w:szCs w:val="16"/>
              </w:rPr>
            </w:pPr>
            <w:r>
              <w:rPr>
                <w:b/>
                <w:bCs/>
                <w:sz w:val="16"/>
                <w:szCs w:val="16"/>
              </w:rPr>
              <w:t>22,02</w:t>
            </w:r>
          </w:p>
        </w:tc>
        <w:tc>
          <w:tcPr>
            <w:tcW w:w="506" w:type="dxa"/>
            <w:tcBorders>
              <w:top w:val="single" w:sz="8" w:space="0" w:color="auto"/>
              <w:left w:val="nil"/>
              <w:bottom w:val="single" w:sz="8" w:space="0" w:color="auto"/>
              <w:right w:val="single" w:sz="4" w:space="0" w:color="auto"/>
            </w:tcBorders>
            <w:shd w:val="clear" w:color="auto" w:fill="auto"/>
            <w:noWrap/>
            <w:vAlign w:val="bottom"/>
          </w:tcPr>
          <w:p w14:paraId="0A29DAD2" w14:textId="77777777" w:rsidR="002C2EB4" w:rsidRPr="00CE1F34" w:rsidRDefault="007724AE" w:rsidP="003F3F1F">
            <w:pPr>
              <w:jc w:val="right"/>
              <w:rPr>
                <w:b/>
                <w:bCs/>
                <w:sz w:val="16"/>
                <w:szCs w:val="16"/>
              </w:rPr>
            </w:pPr>
            <w:r>
              <w:rPr>
                <w:b/>
                <w:bCs/>
                <w:sz w:val="16"/>
                <w:szCs w:val="16"/>
              </w:rPr>
              <w:t>10,90</w:t>
            </w:r>
          </w:p>
        </w:tc>
        <w:tc>
          <w:tcPr>
            <w:tcW w:w="611" w:type="dxa"/>
            <w:tcBorders>
              <w:top w:val="single" w:sz="8" w:space="0" w:color="auto"/>
              <w:left w:val="nil"/>
              <w:bottom w:val="single" w:sz="8" w:space="0" w:color="auto"/>
              <w:right w:val="single" w:sz="4" w:space="0" w:color="auto"/>
            </w:tcBorders>
            <w:shd w:val="clear" w:color="auto" w:fill="auto"/>
            <w:noWrap/>
            <w:vAlign w:val="bottom"/>
          </w:tcPr>
          <w:p w14:paraId="02BC65DC" w14:textId="77777777" w:rsidR="002C2EB4" w:rsidRPr="00CE1F34" w:rsidRDefault="007724AE" w:rsidP="003F3F1F">
            <w:pPr>
              <w:jc w:val="right"/>
              <w:rPr>
                <w:b/>
                <w:bCs/>
                <w:sz w:val="16"/>
                <w:szCs w:val="16"/>
              </w:rPr>
            </w:pPr>
            <w:r>
              <w:rPr>
                <w:b/>
                <w:bCs/>
                <w:sz w:val="16"/>
                <w:szCs w:val="16"/>
              </w:rPr>
              <w:t>61,45</w:t>
            </w:r>
          </w:p>
        </w:tc>
        <w:tc>
          <w:tcPr>
            <w:tcW w:w="709" w:type="dxa"/>
            <w:tcBorders>
              <w:top w:val="single" w:sz="8" w:space="0" w:color="auto"/>
              <w:left w:val="nil"/>
              <w:bottom w:val="single" w:sz="8" w:space="0" w:color="auto"/>
              <w:right w:val="single" w:sz="4" w:space="0" w:color="auto"/>
            </w:tcBorders>
            <w:shd w:val="clear" w:color="auto" w:fill="auto"/>
            <w:noWrap/>
            <w:vAlign w:val="bottom"/>
          </w:tcPr>
          <w:p w14:paraId="109C6BE9" w14:textId="77777777" w:rsidR="002C2EB4" w:rsidRPr="00CE1F34" w:rsidRDefault="007724AE" w:rsidP="003F3F1F">
            <w:pPr>
              <w:jc w:val="right"/>
              <w:rPr>
                <w:b/>
                <w:bCs/>
                <w:sz w:val="16"/>
                <w:szCs w:val="16"/>
              </w:rPr>
            </w:pPr>
            <w:r>
              <w:rPr>
                <w:b/>
                <w:bCs/>
                <w:sz w:val="16"/>
                <w:szCs w:val="16"/>
              </w:rPr>
              <w:t>37,74</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5BE48BF5" w14:textId="77777777" w:rsidR="002C2EB4" w:rsidRPr="00CE1F34" w:rsidRDefault="007724AE" w:rsidP="003F3F1F">
            <w:pPr>
              <w:jc w:val="right"/>
              <w:rPr>
                <w:b/>
                <w:bCs/>
                <w:sz w:val="16"/>
                <w:szCs w:val="16"/>
              </w:rPr>
            </w:pPr>
            <w:r>
              <w:rPr>
                <w:b/>
                <w:bCs/>
                <w:sz w:val="16"/>
                <w:szCs w:val="16"/>
              </w:rPr>
              <w:t>11,70</w:t>
            </w:r>
          </w:p>
        </w:tc>
        <w:tc>
          <w:tcPr>
            <w:tcW w:w="992" w:type="dxa"/>
            <w:tcBorders>
              <w:top w:val="single" w:sz="8" w:space="0" w:color="auto"/>
              <w:left w:val="nil"/>
              <w:bottom w:val="single" w:sz="8" w:space="0" w:color="auto"/>
              <w:right w:val="single" w:sz="8" w:space="0" w:color="auto"/>
            </w:tcBorders>
            <w:shd w:val="clear" w:color="auto" w:fill="auto"/>
            <w:noWrap/>
            <w:vAlign w:val="bottom"/>
          </w:tcPr>
          <w:p w14:paraId="69DA1D54" w14:textId="77777777" w:rsidR="002C2EB4" w:rsidRPr="00CE1F34" w:rsidRDefault="007724AE" w:rsidP="003F3F1F">
            <w:pPr>
              <w:jc w:val="right"/>
              <w:rPr>
                <w:b/>
                <w:bCs/>
                <w:sz w:val="16"/>
                <w:szCs w:val="16"/>
              </w:rPr>
            </w:pPr>
            <w:r>
              <w:rPr>
                <w:b/>
                <w:bCs/>
                <w:sz w:val="16"/>
                <w:szCs w:val="16"/>
              </w:rPr>
              <w:t>12,01</w:t>
            </w:r>
          </w:p>
        </w:tc>
      </w:tr>
    </w:tbl>
    <w:p w14:paraId="0367E9CA" w14:textId="77777777" w:rsidR="00CA519E" w:rsidRDefault="00CA519E" w:rsidP="00CA519E">
      <w:pPr>
        <w:pStyle w:val="Zarkazkladnhotextu2"/>
        <w:spacing w:before="120" w:line="240" w:lineRule="auto"/>
        <w:ind w:left="0"/>
        <w:rPr>
          <w:bCs/>
          <w:color w:val="000000"/>
        </w:rPr>
      </w:pPr>
      <w:r>
        <w:rPr>
          <w:bCs/>
          <w:color w:val="000000"/>
        </w:rPr>
        <w:t>Vysvetlivky</w:t>
      </w:r>
    </w:p>
    <w:p w14:paraId="4480AF64" w14:textId="77777777" w:rsidR="00CA519E" w:rsidRPr="00B300DB" w:rsidRDefault="00CA519E" w:rsidP="00CA519E">
      <w:pPr>
        <w:pStyle w:val="Zarkazkladnhotextu2"/>
        <w:spacing w:after="0" w:line="360" w:lineRule="auto"/>
        <w:ind w:left="0"/>
        <w:rPr>
          <w:sz w:val="20"/>
          <w:szCs w:val="20"/>
        </w:rPr>
      </w:pPr>
      <w:r>
        <w:rPr>
          <w:sz w:val="20"/>
          <w:szCs w:val="20"/>
        </w:rPr>
        <w:t xml:space="preserve">OKEČ 01, 02, 05       </w:t>
      </w:r>
      <w:r w:rsidRPr="00B300DB">
        <w:rPr>
          <w:sz w:val="20"/>
          <w:szCs w:val="20"/>
        </w:rPr>
        <w:t>Poľnohospodárstvo, lesníctvo, rybolov</w:t>
      </w:r>
    </w:p>
    <w:p w14:paraId="17D57456" w14:textId="77777777" w:rsidR="00CA519E" w:rsidRPr="00B300DB" w:rsidRDefault="00CA519E" w:rsidP="00CA519E">
      <w:pPr>
        <w:pStyle w:val="Zarkazkladnhotextu2"/>
        <w:spacing w:after="0" w:line="360" w:lineRule="auto"/>
        <w:ind w:left="2160" w:hanging="2160"/>
        <w:rPr>
          <w:sz w:val="20"/>
          <w:szCs w:val="20"/>
        </w:rPr>
      </w:pPr>
      <w:r w:rsidRPr="00B300DB">
        <w:rPr>
          <w:sz w:val="20"/>
          <w:szCs w:val="20"/>
        </w:rPr>
        <w:t>OKEČ 10 – 41           Ťažba nerastných surovín, priemysel, výroba a rozvod elektriny, plynu a vody</w:t>
      </w:r>
    </w:p>
    <w:p w14:paraId="72DCB505" w14:textId="77777777" w:rsidR="00CA519E" w:rsidRPr="00B300DB" w:rsidRDefault="00CA519E" w:rsidP="00CA519E">
      <w:pPr>
        <w:pStyle w:val="Zarkazkladnhotextu2"/>
        <w:tabs>
          <w:tab w:val="left" w:pos="1800"/>
        </w:tabs>
        <w:spacing w:after="0" w:line="360" w:lineRule="auto"/>
        <w:ind w:left="1800" w:hanging="1800"/>
        <w:rPr>
          <w:sz w:val="20"/>
          <w:szCs w:val="20"/>
        </w:rPr>
      </w:pPr>
      <w:r>
        <w:rPr>
          <w:sz w:val="20"/>
          <w:szCs w:val="20"/>
        </w:rPr>
        <w:t xml:space="preserve">OKEČ 45 </w:t>
      </w:r>
      <w:r>
        <w:rPr>
          <w:sz w:val="20"/>
          <w:szCs w:val="20"/>
        </w:rPr>
        <w:tab/>
      </w:r>
      <w:r w:rsidRPr="00B300DB">
        <w:rPr>
          <w:sz w:val="20"/>
          <w:szCs w:val="20"/>
        </w:rPr>
        <w:t>Stavebníctvo</w:t>
      </w:r>
    </w:p>
    <w:p w14:paraId="18198059" w14:textId="77777777" w:rsidR="00CA519E" w:rsidRPr="00B300DB" w:rsidRDefault="00CA519E" w:rsidP="00CA519E">
      <w:pPr>
        <w:pStyle w:val="Zarkazkladnhotextu2"/>
        <w:spacing w:after="0" w:line="360" w:lineRule="auto"/>
        <w:ind w:left="1800" w:hanging="1800"/>
        <w:rPr>
          <w:sz w:val="20"/>
          <w:szCs w:val="20"/>
        </w:rPr>
      </w:pPr>
      <w:r w:rsidRPr="00B300DB">
        <w:rPr>
          <w:sz w:val="20"/>
          <w:szCs w:val="20"/>
        </w:rPr>
        <w:t>OKEČ 50 – 64</w:t>
      </w:r>
      <w:r w:rsidRPr="00B300DB">
        <w:rPr>
          <w:sz w:val="20"/>
          <w:szCs w:val="20"/>
        </w:rPr>
        <w:tab/>
        <w:t>Veľkoobchod, maloobchod, hotely, reštaurácie, doprava, skladovanie, spoje</w:t>
      </w:r>
    </w:p>
    <w:p w14:paraId="255D8FCE" w14:textId="77777777" w:rsidR="00CA519E" w:rsidRPr="00B300DB" w:rsidRDefault="00CA519E" w:rsidP="00CA519E">
      <w:pPr>
        <w:pStyle w:val="Zarkazkladnhotextu2"/>
        <w:spacing w:after="0" w:line="360" w:lineRule="auto"/>
        <w:ind w:left="1800" w:hanging="1800"/>
        <w:rPr>
          <w:sz w:val="20"/>
          <w:szCs w:val="20"/>
        </w:rPr>
      </w:pPr>
      <w:r w:rsidRPr="00B300DB">
        <w:rPr>
          <w:sz w:val="20"/>
          <w:szCs w:val="20"/>
        </w:rPr>
        <w:t>OKEČ 65 – 74</w:t>
      </w:r>
      <w:r w:rsidRPr="00B300DB">
        <w:rPr>
          <w:sz w:val="20"/>
          <w:szCs w:val="20"/>
        </w:rPr>
        <w:tab/>
        <w:t>Peňažníctvo a poisťovníctvo, nehnuteľnosti, prenajímanie a obchodné služby, výskum a vývoj</w:t>
      </w:r>
    </w:p>
    <w:p w14:paraId="11629187" w14:textId="77777777" w:rsidR="00CA519E" w:rsidRPr="00B300DB" w:rsidRDefault="00CA519E" w:rsidP="00CA519E">
      <w:pPr>
        <w:pStyle w:val="Zarkazkladnhotextu2"/>
        <w:tabs>
          <w:tab w:val="left" w:pos="1800"/>
        </w:tabs>
        <w:spacing w:line="360" w:lineRule="auto"/>
        <w:ind w:left="1800" w:hanging="1800"/>
        <w:rPr>
          <w:sz w:val="20"/>
          <w:szCs w:val="20"/>
        </w:rPr>
      </w:pPr>
      <w:r w:rsidRPr="00B300DB">
        <w:rPr>
          <w:sz w:val="20"/>
          <w:szCs w:val="20"/>
        </w:rPr>
        <w:t>OKEČ 75 – 95</w:t>
      </w:r>
      <w:r w:rsidRPr="00B300DB">
        <w:rPr>
          <w:sz w:val="20"/>
          <w:szCs w:val="20"/>
        </w:rPr>
        <w:tab/>
        <w:t xml:space="preserve">Verejná správa a obrana, povinné sociálne zabezpečenie, školstvo, zdravotníctvo a sociálna </w:t>
      </w:r>
      <w:r>
        <w:rPr>
          <w:sz w:val="20"/>
          <w:szCs w:val="20"/>
        </w:rPr>
        <w:t xml:space="preserve"> </w:t>
      </w:r>
      <w:r w:rsidRPr="00B300DB">
        <w:rPr>
          <w:sz w:val="20"/>
          <w:szCs w:val="20"/>
        </w:rPr>
        <w:t>starostlivosť</w:t>
      </w:r>
    </w:p>
    <w:p w14:paraId="0D75AAA8" w14:textId="77777777" w:rsidR="002D7DC8" w:rsidRDefault="002D7DC8" w:rsidP="00EC62F5">
      <w:pPr>
        <w:spacing w:before="120" w:after="0" w:line="360" w:lineRule="auto"/>
        <w:jc w:val="both"/>
        <w:rPr>
          <w:rFonts w:ascii="Times New Roman" w:hAnsi="Times New Roman" w:cs="Times New Roman"/>
          <w:sz w:val="24"/>
          <w:szCs w:val="24"/>
        </w:rPr>
      </w:pPr>
    </w:p>
    <w:p w14:paraId="7620B4DD" w14:textId="77777777" w:rsidR="00EC62F5" w:rsidRPr="00EC62F5" w:rsidRDefault="00CA519E"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Situácia v podnikateľskej sfére podľa sektorov, odvetví – počet aj schopnosť tvoriť zamestnanosť, rozdelená na PO a FO a podľa veľkosti v súlade s legislatívou EÚ (mikropodniky, malé, stredné a veľké podniky), schopnosť investovať, expandovať a</w:t>
      </w:r>
      <w:r>
        <w:rPr>
          <w:rFonts w:ascii="Times New Roman" w:hAnsi="Times New Roman" w:cs="Times New Roman"/>
          <w:sz w:val="24"/>
          <w:szCs w:val="24"/>
        </w:rPr>
        <w:t> </w:t>
      </w:r>
      <w:r w:rsidR="00EC62F5" w:rsidRPr="00EC62F5">
        <w:rPr>
          <w:rFonts w:ascii="Times New Roman" w:hAnsi="Times New Roman" w:cs="Times New Roman"/>
          <w:sz w:val="24"/>
          <w:szCs w:val="24"/>
        </w:rPr>
        <w:t>diverzifikovať</w:t>
      </w:r>
      <w:r>
        <w:rPr>
          <w:rFonts w:ascii="Times New Roman" w:hAnsi="Times New Roman" w:cs="Times New Roman"/>
          <w:sz w:val="24"/>
          <w:szCs w:val="24"/>
        </w:rPr>
        <w:t>.</w:t>
      </w:r>
    </w:p>
    <w:p w14:paraId="5FC76736" w14:textId="77777777" w:rsidR="00EC62F5" w:rsidRPr="00EC62F5" w:rsidRDefault="00CA519E" w:rsidP="00CA51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Kopaničiarskom regióne z celkového počtu </w:t>
      </w:r>
      <w:r w:rsidRPr="00EC62F5">
        <w:rPr>
          <w:rFonts w:ascii="Times New Roman" w:hAnsi="Times New Roman" w:cs="Times New Roman"/>
          <w:sz w:val="24"/>
          <w:szCs w:val="24"/>
        </w:rPr>
        <w:t>3</w:t>
      </w:r>
      <w:r>
        <w:rPr>
          <w:rFonts w:ascii="Times New Roman" w:hAnsi="Times New Roman" w:cs="Times New Roman"/>
          <w:sz w:val="24"/>
          <w:szCs w:val="24"/>
        </w:rPr>
        <w:t>837</w:t>
      </w:r>
      <w:r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podnikateľských subjektov (k 31.12.20</w:t>
      </w:r>
      <w:r>
        <w:rPr>
          <w:rFonts w:ascii="Times New Roman" w:hAnsi="Times New Roman" w:cs="Times New Roman"/>
          <w:sz w:val="24"/>
          <w:szCs w:val="24"/>
        </w:rPr>
        <w:t>14</w:t>
      </w:r>
      <w:r w:rsidR="00EC62F5" w:rsidRPr="00EC62F5">
        <w:rPr>
          <w:rFonts w:ascii="Times New Roman" w:hAnsi="Times New Roman" w:cs="Times New Roman"/>
          <w:sz w:val="24"/>
          <w:szCs w:val="24"/>
        </w:rPr>
        <w:t xml:space="preserve">) najviac patrí do kategórie mikropodnikov, a to </w:t>
      </w:r>
      <w:r>
        <w:rPr>
          <w:rFonts w:ascii="Times New Roman" w:hAnsi="Times New Roman" w:cs="Times New Roman"/>
          <w:sz w:val="24"/>
          <w:szCs w:val="24"/>
        </w:rPr>
        <w:t>3401</w:t>
      </w:r>
      <w:r w:rsidR="00EC62F5" w:rsidRPr="00EC62F5">
        <w:rPr>
          <w:rFonts w:ascii="Times New Roman" w:hAnsi="Times New Roman" w:cs="Times New Roman"/>
          <w:sz w:val="24"/>
          <w:szCs w:val="24"/>
        </w:rPr>
        <w:t>, čo činí 88</w:t>
      </w:r>
      <w:r>
        <w:rPr>
          <w:rFonts w:ascii="Times New Roman" w:hAnsi="Times New Roman" w:cs="Times New Roman"/>
          <w:sz w:val="24"/>
          <w:szCs w:val="24"/>
        </w:rPr>
        <w:t>,64</w:t>
      </w:r>
      <w:r w:rsidR="00EC62F5" w:rsidRPr="00EC62F5">
        <w:rPr>
          <w:rFonts w:ascii="Times New Roman" w:hAnsi="Times New Roman" w:cs="Times New Roman"/>
          <w:sz w:val="24"/>
          <w:szCs w:val="24"/>
        </w:rPr>
        <w:t xml:space="preserve"> </w:t>
      </w:r>
      <w:r w:rsidR="00EC62F5" w:rsidRPr="009663F2">
        <w:rPr>
          <w:rFonts w:ascii="Times New Roman" w:hAnsi="Times New Roman" w:cs="Times New Roman"/>
          <w:sz w:val="24"/>
          <w:szCs w:val="24"/>
        </w:rPr>
        <w:t xml:space="preserve">% (tabuľka </w:t>
      </w:r>
      <w:r>
        <w:rPr>
          <w:rFonts w:ascii="Times New Roman" w:hAnsi="Times New Roman" w:cs="Times New Roman"/>
          <w:sz w:val="24"/>
          <w:szCs w:val="24"/>
        </w:rPr>
        <w:t>3.1.2</w:t>
      </w:r>
      <w:r w:rsidR="002D7DC8">
        <w:rPr>
          <w:rFonts w:ascii="Times New Roman" w:hAnsi="Times New Roman" w:cs="Times New Roman"/>
          <w:sz w:val="24"/>
          <w:szCs w:val="24"/>
        </w:rPr>
        <w:t>6</w:t>
      </w:r>
      <w:r w:rsidR="00EC62F5" w:rsidRPr="009663F2">
        <w:rPr>
          <w:rFonts w:ascii="Times New Roman" w:hAnsi="Times New Roman" w:cs="Times New Roman"/>
          <w:sz w:val="24"/>
          <w:szCs w:val="24"/>
        </w:rPr>
        <w:t>). Tu zavážia najmä živnostníci, ktorí nemajú žiadnych zamestnancov, resp. iba malý počet (do 9), ktorých je najviac v meste Stará Turá – 8</w:t>
      </w:r>
      <w:r>
        <w:rPr>
          <w:rFonts w:ascii="Times New Roman" w:hAnsi="Times New Roman" w:cs="Times New Roman"/>
          <w:sz w:val="24"/>
          <w:szCs w:val="24"/>
        </w:rPr>
        <w:t>8</w:t>
      </w:r>
      <w:r w:rsidR="00EC62F5" w:rsidRPr="009663F2">
        <w:rPr>
          <w:rFonts w:ascii="Times New Roman" w:hAnsi="Times New Roman" w:cs="Times New Roman"/>
          <w:sz w:val="24"/>
          <w:szCs w:val="24"/>
        </w:rPr>
        <w:t>7 a Myjava – 8</w:t>
      </w:r>
      <w:r>
        <w:rPr>
          <w:rFonts w:ascii="Times New Roman" w:hAnsi="Times New Roman" w:cs="Times New Roman"/>
          <w:sz w:val="24"/>
          <w:szCs w:val="24"/>
        </w:rPr>
        <w:t>4</w:t>
      </w:r>
      <w:r w:rsidR="00EC62F5" w:rsidRPr="009663F2">
        <w:rPr>
          <w:rFonts w:ascii="Times New Roman" w:hAnsi="Times New Roman" w:cs="Times New Roman"/>
          <w:sz w:val="24"/>
          <w:szCs w:val="24"/>
        </w:rPr>
        <w:t>7. Nad 100 mikropodnikov majú aj mesto Brezová pod Bradlom a obce Bzince pod Javorinou,</w:t>
      </w:r>
      <w:r w:rsidR="00EC62F5" w:rsidRPr="00EC62F5">
        <w:rPr>
          <w:rFonts w:ascii="Times New Roman" w:hAnsi="Times New Roman" w:cs="Times New Roman"/>
          <w:sz w:val="24"/>
          <w:szCs w:val="24"/>
        </w:rPr>
        <w:t xml:space="preserve"> Lubina a Vrbovce. Stredných podnikov v Kopaničiarskom regióne je 10</w:t>
      </w:r>
      <w:r>
        <w:rPr>
          <w:rFonts w:ascii="Times New Roman" w:hAnsi="Times New Roman" w:cs="Times New Roman"/>
          <w:sz w:val="24"/>
          <w:szCs w:val="24"/>
        </w:rPr>
        <w:t>8</w:t>
      </w:r>
      <w:r w:rsidR="00EC62F5" w:rsidRPr="00EC62F5">
        <w:rPr>
          <w:rFonts w:ascii="Times New Roman" w:hAnsi="Times New Roman" w:cs="Times New Roman"/>
          <w:sz w:val="24"/>
          <w:szCs w:val="24"/>
        </w:rPr>
        <w:t>, z nich vyše polovica v meste Myjava (59). Avšak z hľadiska zamestnanosti majú veľký význam veľké podniky nad 250 zamestnancov</w:t>
      </w:r>
      <w:r w:rsidR="002D7DC8">
        <w:rPr>
          <w:rFonts w:ascii="Times New Roman" w:hAnsi="Times New Roman" w:cs="Times New Roman"/>
          <w:sz w:val="24"/>
          <w:szCs w:val="24"/>
        </w:rPr>
        <w:t>, t</w:t>
      </w:r>
      <w:r w:rsidR="00EC62F5" w:rsidRPr="00EC62F5">
        <w:rPr>
          <w:rFonts w:ascii="Times New Roman" w:hAnsi="Times New Roman" w:cs="Times New Roman"/>
          <w:sz w:val="24"/>
          <w:szCs w:val="24"/>
        </w:rPr>
        <w:t>ých je v celom Kopaničiarskom regióne 8</w:t>
      </w:r>
      <w:r w:rsidR="002D7DC8">
        <w:rPr>
          <w:rFonts w:ascii="Times New Roman" w:hAnsi="Times New Roman" w:cs="Times New Roman"/>
          <w:sz w:val="24"/>
          <w:szCs w:val="24"/>
        </w:rPr>
        <w:t>.</w:t>
      </w:r>
    </w:p>
    <w:p w14:paraId="7FCF763A" w14:textId="77777777" w:rsidR="00EC62F5" w:rsidRPr="00F560B2" w:rsidRDefault="00EC62F5" w:rsidP="00EC62F5">
      <w:pPr>
        <w:spacing w:before="120" w:after="0" w:line="360" w:lineRule="auto"/>
        <w:jc w:val="both"/>
        <w:rPr>
          <w:rFonts w:ascii="Times New Roman" w:hAnsi="Times New Roman" w:cs="Times New Roman"/>
          <w:b/>
          <w:sz w:val="20"/>
          <w:szCs w:val="20"/>
        </w:rPr>
      </w:pPr>
      <w:r w:rsidRPr="00F560B2">
        <w:rPr>
          <w:rFonts w:ascii="Times New Roman" w:hAnsi="Times New Roman" w:cs="Times New Roman"/>
          <w:b/>
          <w:sz w:val="20"/>
          <w:szCs w:val="20"/>
        </w:rPr>
        <w:lastRenderedPageBreak/>
        <w:t xml:space="preserve">Tabuľka </w:t>
      </w:r>
      <w:r w:rsidR="002D7DC8" w:rsidRPr="00F560B2">
        <w:rPr>
          <w:rFonts w:ascii="Times New Roman" w:hAnsi="Times New Roman" w:cs="Times New Roman"/>
          <w:b/>
          <w:sz w:val="20"/>
          <w:szCs w:val="20"/>
        </w:rPr>
        <w:t>3.1.26</w:t>
      </w:r>
      <w:r w:rsidRPr="00F560B2">
        <w:rPr>
          <w:rFonts w:ascii="Times New Roman" w:hAnsi="Times New Roman" w:cs="Times New Roman"/>
          <w:b/>
          <w:sz w:val="20"/>
          <w:szCs w:val="20"/>
        </w:rPr>
        <w:t xml:space="preserve"> Podnikateľské subjekty podľa veľkostného členenia podnikov v Kopaničiarskom regióne v roku 20</w:t>
      </w:r>
      <w:r w:rsidR="00F560B2">
        <w:rPr>
          <w:rFonts w:ascii="Times New Roman" w:hAnsi="Times New Roman" w:cs="Times New Roman"/>
          <w:b/>
          <w:sz w:val="20"/>
          <w:szCs w:val="20"/>
        </w:rPr>
        <w:t>14</w:t>
      </w:r>
    </w:p>
    <w:tbl>
      <w:tblPr>
        <w:tblW w:w="7795" w:type="dxa"/>
        <w:tblInd w:w="55" w:type="dxa"/>
        <w:tblCellMar>
          <w:left w:w="70" w:type="dxa"/>
          <w:right w:w="70" w:type="dxa"/>
        </w:tblCellMar>
        <w:tblLook w:val="0000" w:firstRow="0" w:lastRow="0" w:firstColumn="0" w:lastColumn="0" w:noHBand="0" w:noVBand="0"/>
      </w:tblPr>
      <w:tblGrid>
        <w:gridCol w:w="2175"/>
        <w:gridCol w:w="1400"/>
        <w:gridCol w:w="940"/>
        <w:gridCol w:w="900"/>
        <w:gridCol w:w="880"/>
        <w:gridCol w:w="1500"/>
      </w:tblGrid>
      <w:tr w:rsidR="006C3C88" w:rsidRPr="006C3C88" w14:paraId="27210B21" w14:textId="77777777" w:rsidTr="00CA519E">
        <w:trPr>
          <w:trHeight w:val="825"/>
        </w:trPr>
        <w:tc>
          <w:tcPr>
            <w:tcW w:w="217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14:paraId="54F799B0"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Obec</w:t>
            </w:r>
          </w:p>
        </w:tc>
        <w:tc>
          <w:tcPr>
            <w:tcW w:w="1400" w:type="dxa"/>
            <w:vMerge w:val="restart"/>
            <w:tcBorders>
              <w:top w:val="single" w:sz="8" w:space="0" w:color="auto"/>
              <w:left w:val="nil"/>
              <w:bottom w:val="single" w:sz="8" w:space="0" w:color="000000"/>
              <w:right w:val="single" w:sz="4" w:space="0" w:color="auto"/>
            </w:tcBorders>
            <w:shd w:val="clear" w:color="auto" w:fill="D9D9D9"/>
            <w:noWrap/>
            <w:vAlign w:val="center"/>
          </w:tcPr>
          <w:p w14:paraId="39CFD047"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Mikropodniky</w:t>
            </w:r>
          </w:p>
        </w:tc>
        <w:tc>
          <w:tcPr>
            <w:tcW w:w="940" w:type="dxa"/>
            <w:vMerge w:val="restart"/>
            <w:tcBorders>
              <w:top w:val="single" w:sz="8" w:space="0" w:color="auto"/>
              <w:left w:val="single" w:sz="4" w:space="0" w:color="auto"/>
              <w:bottom w:val="single" w:sz="8" w:space="0" w:color="000000"/>
              <w:right w:val="single" w:sz="4" w:space="0" w:color="auto"/>
            </w:tcBorders>
            <w:shd w:val="clear" w:color="auto" w:fill="D9D9D9"/>
            <w:vAlign w:val="center"/>
          </w:tcPr>
          <w:p w14:paraId="7475F760"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Malé podniky</w:t>
            </w:r>
          </w:p>
        </w:tc>
        <w:tc>
          <w:tcPr>
            <w:tcW w:w="900" w:type="dxa"/>
            <w:vMerge w:val="restart"/>
            <w:tcBorders>
              <w:top w:val="single" w:sz="8" w:space="0" w:color="auto"/>
              <w:left w:val="single" w:sz="4" w:space="0" w:color="auto"/>
              <w:bottom w:val="single" w:sz="8" w:space="0" w:color="000000"/>
              <w:right w:val="single" w:sz="4" w:space="0" w:color="auto"/>
            </w:tcBorders>
            <w:shd w:val="clear" w:color="auto" w:fill="D9D9D9"/>
            <w:vAlign w:val="center"/>
          </w:tcPr>
          <w:p w14:paraId="6CA017EE"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Stredné podniky</w:t>
            </w:r>
          </w:p>
        </w:tc>
        <w:tc>
          <w:tcPr>
            <w:tcW w:w="880" w:type="dxa"/>
            <w:vMerge w:val="restart"/>
            <w:tcBorders>
              <w:top w:val="single" w:sz="8" w:space="0" w:color="auto"/>
              <w:left w:val="single" w:sz="4" w:space="0" w:color="auto"/>
              <w:bottom w:val="single" w:sz="8" w:space="0" w:color="000000"/>
              <w:right w:val="single" w:sz="4" w:space="0" w:color="auto"/>
            </w:tcBorders>
            <w:shd w:val="clear" w:color="auto" w:fill="D9D9D9"/>
            <w:vAlign w:val="center"/>
          </w:tcPr>
          <w:p w14:paraId="54C3019E"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Veľké podniky</w:t>
            </w:r>
          </w:p>
        </w:tc>
        <w:tc>
          <w:tcPr>
            <w:tcW w:w="1500"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14:paraId="5821E37D" w14:textId="77777777" w:rsidR="006C3C88" w:rsidRPr="006C3C88" w:rsidRDefault="006C3C88" w:rsidP="006C3C88">
            <w:pPr>
              <w:spacing w:after="0" w:line="240" w:lineRule="auto"/>
              <w:jc w:val="center"/>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Podnikateľské subjekty spolu</w:t>
            </w:r>
          </w:p>
        </w:tc>
      </w:tr>
      <w:tr w:rsidR="006C3C88" w:rsidRPr="006C3C88" w14:paraId="3C82CCCF" w14:textId="77777777" w:rsidTr="006C3C88">
        <w:trPr>
          <w:trHeight w:val="270"/>
        </w:trPr>
        <w:tc>
          <w:tcPr>
            <w:tcW w:w="217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9B4A6DD"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c>
          <w:tcPr>
            <w:tcW w:w="1400" w:type="dxa"/>
            <w:vMerge/>
            <w:tcBorders>
              <w:top w:val="single" w:sz="8" w:space="0" w:color="auto"/>
              <w:left w:val="nil"/>
              <w:bottom w:val="single" w:sz="8" w:space="0" w:color="000000"/>
              <w:right w:val="single" w:sz="4" w:space="0" w:color="auto"/>
            </w:tcBorders>
            <w:shd w:val="clear" w:color="auto" w:fill="D9D9D9"/>
            <w:vAlign w:val="center"/>
          </w:tcPr>
          <w:p w14:paraId="627236C3"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c>
          <w:tcPr>
            <w:tcW w:w="940" w:type="dxa"/>
            <w:vMerge/>
            <w:tcBorders>
              <w:top w:val="single" w:sz="8" w:space="0" w:color="auto"/>
              <w:left w:val="single" w:sz="4" w:space="0" w:color="auto"/>
              <w:bottom w:val="single" w:sz="8" w:space="0" w:color="000000"/>
              <w:right w:val="single" w:sz="4" w:space="0" w:color="auto"/>
            </w:tcBorders>
            <w:shd w:val="clear" w:color="auto" w:fill="D9D9D9"/>
            <w:vAlign w:val="center"/>
          </w:tcPr>
          <w:p w14:paraId="52ABC5CF"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c>
          <w:tcPr>
            <w:tcW w:w="900" w:type="dxa"/>
            <w:vMerge/>
            <w:tcBorders>
              <w:top w:val="single" w:sz="8" w:space="0" w:color="auto"/>
              <w:left w:val="single" w:sz="4" w:space="0" w:color="auto"/>
              <w:bottom w:val="single" w:sz="8" w:space="0" w:color="000000"/>
              <w:right w:val="single" w:sz="4" w:space="0" w:color="auto"/>
            </w:tcBorders>
            <w:shd w:val="clear" w:color="auto" w:fill="D9D9D9"/>
            <w:vAlign w:val="center"/>
          </w:tcPr>
          <w:p w14:paraId="22D0706A"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c>
          <w:tcPr>
            <w:tcW w:w="880" w:type="dxa"/>
            <w:vMerge/>
            <w:tcBorders>
              <w:top w:val="single" w:sz="8" w:space="0" w:color="auto"/>
              <w:left w:val="single" w:sz="4" w:space="0" w:color="auto"/>
              <w:bottom w:val="single" w:sz="8" w:space="0" w:color="000000"/>
              <w:right w:val="single" w:sz="4" w:space="0" w:color="auto"/>
            </w:tcBorders>
            <w:shd w:val="clear" w:color="auto" w:fill="D9D9D9"/>
            <w:vAlign w:val="center"/>
          </w:tcPr>
          <w:p w14:paraId="317560A9"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c>
          <w:tcPr>
            <w:tcW w:w="1500" w:type="dxa"/>
            <w:vMerge/>
            <w:tcBorders>
              <w:top w:val="single" w:sz="8" w:space="0" w:color="auto"/>
              <w:left w:val="single" w:sz="4" w:space="0" w:color="auto"/>
              <w:bottom w:val="single" w:sz="8" w:space="0" w:color="000000"/>
              <w:right w:val="single" w:sz="8" w:space="0" w:color="auto"/>
            </w:tcBorders>
            <w:shd w:val="clear" w:color="auto" w:fill="D9D9D9"/>
            <w:vAlign w:val="center"/>
          </w:tcPr>
          <w:p w14:paraId="7F09F82D"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p>
        </w:tc>
      </w:tr>
      <w:tr w:rsidR="006C3C88" w:rsidRPr="006C3C88" w14:paraId="50629309"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0F801C9"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Brestovec                          </w:t>
            </w:r>
          </w:p>
        </w:tc>
        <w:tc>
          <w:tcPr>
            <w:tcW w:w="1400" w:type="dxa"/>
            <w:tcBorders>
              <w:top w:val="nil"/>
              <w:left w:val="nil"/>
              <w:bottom w:val="single" w:sz="4" w:space="0" w:color="auto"/>
              <w:right w:val="single" w:sz="4" w:space="0" w:color="auto"/>
            </w:tcBorders>
            <w:shd w:val="clear" w:color="auto" w:fill="auto"/>
            <w:noWrap/>
            <w:vAlign w:val="bottom"/>
          </w:tcPr>
          <w:p w14:paraId="456934A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6</w:t>
            </w:r>
            <w:r>
              <w:rPr>
                <w:rFonts w:ascii="Times New Roman" w:eastAsia="Times New Roman" w:hAnsi="Times New Roman" w:cs="Times New Roman"/>
                <w:sz w:val="20"/>
                <w:szCs w:val="20"/>
                <w:lang w:eastAsia="cs-CZ"/>
              </w:rPr>
              <w:t>2</w:t>
            </w:r>
          </w:p>
        </w:tc>
        <w:tc>
          <w:tcPr>
            <w:tcW w:w="940" w:type="dxa"/>
            <w:tcBorders>
              <w:top w:val="nil"/>
              <w:left w:val="nil"/>
              <w:bottom w:val="single" w:sz="4" w:space="0" w:color="auto"/>
              <w:right w:val="single" w:sz="4" w:space="0" w:color="auto"/>
            </w:tcBorders>
            <w:shd w:val="clear" w:color="auto" w:fill="auto"/>
            <w:noWrap/>
            <w:vAlign w:val="bottom"/>
          </w:tcPr>
          <w:p w14:paraId="701643E2"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900" w:type="dxa"/>
            <w:tcBorders>
              <w:top w:val="nil"/>
              <w:left w:val="nil"/>
              <w:bottom w:val="single" w:sz="4" w:space="0" w:color="auto"/>
              <w:right w:val="single" w:sz="4" w:space="0" w:color="auto"/>
            </w:tcBorders>
            <w:shd w:val="clear" w:color="auto" w:fill="auto"/>
            <w:noWrap/>
            <w:vAlign w:val="bottom"/>
          </w:tcPr>
          <w:p w14:paraId="2137308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5D4CCB5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662263FB"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6</w:t>
            </w:r>
            <w:r>
              <w:rPr>
                <w:rFonts w:ascii="Times New Roman" w:eastAsia="Times New Roman" w:hAnsi="Times New Roman" w:cs="Times New Roman"/>
                <w:sz w:val="20"/>
                <w:szCs w:val="20"/>
                <w:lang w:eastAsia="cs-CZ"/>
              </w:rPr>
              <w:t>7</w:t>
            </w:r>
          </w:p>
        </w:tc>
      </w:tr>
      <w:tr w:rsidR="006C3C88" w:rsidRPr="006C3C88" w14:paraId="29DA7528"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70AFADF6"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Brezová pod  Bradlom                </w:t>
            </w:r>
          </w:p>
        </w:tc>
        <w:tc>
          <w:tcPr>
            <w:tcW w:w="1400" w:type="dxa"/>
            <w:tcBorders>
              <w:top w:val="nil"/>
              <w:left w:val="nil"/>
              <w:bottom w:val="single" w:sz="4" w:space="0" w:color="auto"/>
              <w:right w:val="single" w:sz="4" w:space="0" w:color="auto"/>
            </w:tcBorders>
            <w:shd w:val="clear" w:color="auto" w:fill="auto"/>
            <w:noWrap/>
            <w:vAlign w:val="bottom"/>
          </w:tcPr>
          <w:p w14:paraId="1EB1B39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41</w:t>
            </w:r>
            <w:r w:rsidR="006C3C88" w:rsidRPr="006C3C88">
              <w:rPr>
                <w:rFonts w:ascii="Times New Roman" w:eastAsia="Times New Roman" w:hAnsi="Times New Roman" w:cs="Times New Roman"/>
                <w:sz w:val="20"/>
                <w:szCs w:val="20"/>
                <w:lang w:eastAsia="cs-CZ"/>
              </w:rPr>
              <w:t>3</w:t>
            </w:r>
          </w:p>
        </w:tc>
        <w:tc>
          <w:tcPr>
            <w:tcW w:w="940" w:type="dxa"/>
            <w:tcBorders>
              <w:top w:val="nil"/>
              <w:left w:val="nil"/>
              <w:bottom w:val="single" w:sz="4" w:space="0" w:color="auto"/>
              <w:right w:val="single" w:sz="4" w:space="0" w:color="auto"/>
            </w:tcBorders>
            <w:shd w:val="clear" w:color="auto" w:fill="auto"/>
            <w:noWrap/>
            <w:vAlign w:val="bottom"/>
          </w:tcPr>
          <w:p w14:paraId="2242D5F6"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22</w:t>
            </w:r>
          </w:p>
        </w:tc>
        <w:tc>
          <w:tcPr>
            <w:tcW w:w="900" w:type="dxa"/>
            <w:tcBorders>
              <w:top w:val="nil"/>
              <w:left w:val="nil"/>
              <w:bottom w:val="single" w:sz="4" w:space="0" w:color="auto"/>
              <w:right w:val="single" w:sz="4" w:space="0" w:color="auto"/>
            </w:tcBorders>
            <w:shd w:val="clear" w:color="auto" w:fill="auto"/>
            <w:noWrap/>
            <w:vAlign w:val="bottom"/>
          </w:tcPr>
          <w:p w14:paraId="791703B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8</w:t>
            </w:r>
          </w:p>
        </w:tc>
        <w:tc>
          <w:tcPr>
            <w:tcW w:w="880" w:type="dxa"/>
            <w:tcBorders>
              <w:top w:val="nil"/>
              <w:left w:val="nil"/>
              <w:bottom w:val="single" w:sz="4" w:space="0" w:color="auto"/>
              <w:right w:val="single" w:sz="4" w:space="0" w:color="auto"/>
            </w:tcBorders>
            <w:shd w:val="clear" w:color="auto" w:fill="auto"/>
            <w:noWrap/>
            <w:vAlign w:val="bottom"/>
          </w:tcPr>
          <w:p w14:paraId="02F7BE3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1500" w:type="dxa"/>
            <w:tcBorders>
              <w:top w:val="nil"/>
              <w:left w:val="nil"/>
              <w:bottom w:val="single" w:sz="4" w:space="0" w:color="auto"/>
              <w:right w:val="single" w:sz="8" w:space="0" w:color="auto"/>
            </w:tcBorders>
            <w:shd w:val="clear" w:color="auto" w:fill="auto"/>
            <w:noWrap/>
            <w:vAlign w:val="bottom"/>
          </w:tcPr>
          <w:p w14:paraId="7549C368"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445</w:t>
            </w:r>
          </w:p>
        </w:tc>
      </w:tr>
      <w:tr w:rsidR="006C3C88" w:rsidRPr="006C3C88" w14:paraId="1520B246"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3CCD3A33"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Bukovec                            </w:t>
            </w:r>
          </w:p>
        </w:tc>
        <w:tc>
          <w:tcPr>
            <w:tcW w:w="1400" w:type="dxa"/>
            <w:tcBorders>
              <w:top w:val="nil"/>
              <w:left w:val="nil"/>
              <w:bottom w:val="single" w:sz="4" w:space="0" w:color="auto"/>
              <w:right w:val="single" w:sz="4" w:space="0" w:color="auto"/>
            </w:tcBorders>
            <w:shd w:val="clear" w:color="auto" w:fill="auto"/>
            <w:noWrap/>
            <w:vAlign w:val="bottom"/>
          </w:tcPr>
          <w:p w14:paraId="283E98FC"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3</w:t>
            </w:r>
            <w:r w:rsidR="00500EC2">
              <w:rPr>
                <w:rFonts w:ascii="Times New Roman" w:eastAsia="Times New Roman" w:hAnsi="Times New Roman" w:cs="Times New Roman"/>
                <w:sz w:val="20"/>
                <w:szCs w:val="20"/>
                <w:lang w:eastAsia="cs-CZ"/>
              </w:rPr>
              <w:t>4</w:t>
            </w:r>
          </w:p>
        </w:tc>
        <w:tc>
          <w:tcPr>
            <w:tcW w:w="940" w:type="dxa"/>
            <w:tcBorders>
              <w:top w:val="nil"/>
              <w:left w:val="nil"/>
              <w:bottom w:val="single" w:sz="4" w:space="0" w:color="auto"/>
              <w:right w:val="single" w:sz="4" w:space="0" w:color="auto"/>
            </w:tcBorders>
            <w:shd w:val="clear" w:color="auto" w:fill="auto"/>
            <w:noWrap/>
            <w:vAlign w:val="bottom"/>
          </w:tcPr>
          <w:p w14:paraId="047FC8F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900" w:type="dxa"/>
            <w:tcBorders>
              <w:top w:val="nil"/>
              <w:left w:val="nil"/>
              <w:bottom w:val="single" w:sz="4" w:space="0" w:color="auto"/>
              <w:right w:val="single" w:sz="4" w:space="0" w:color="auto"/>
            </w:tcBorders>
            <w:shd w:val="clear" w:color="auto" w:fill="auto"/>
            <w:noWrap/>
            <w:vAlign w:val="bottom"/>
          </w:tcPr>
          <w:p w14:paraId="354CDE1B"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60F184C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2C7EBCE0"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35</w:t>
            </w:r>
          </w:p>
        </w:tc>
      </w:tr>
      <w:tr w:rsidR="006C3C88" w:rsidRPr="006C3C88" w14:paraId="3E9E98FE"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2263D331"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Bzince pod  Javorinou               </w:t>
            </w:r>
          </w:p>
        </w:tc>
        <w:tc>
          <w:tcPr>
            <w:tcW w:w="1400" w:type="dxa"/>
            <w:tcBorders>
              <w:top w:val="nil"/>
              <w:left w:val="nil"/>
              <w:bottom w:val="single" w:sz="4" w:space="0" w:color="auto"/>
              <w:right w:val="single" w:sz="4" w:space="0" w:color="auto"/>
            </w:tcBorders>
            <w:shd w:val="clear" w:color="auto" w:fill="auto"/>
            <w:noWrap/>
            <w:vAlign w:val="bottom"/>
          </w:tcPr>
          <w:p w14:paraId="6AA9B545"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w:t>
            </w:r>
            <w:r w:rsidR="006C3C88" w:rsidRPr="006C3C88">
              <w:rPr>
                <w:rFonts w:ascii="Times New Roman" w:eastAsia="Times New Roman" w:hAnsi="Times New Roman" w:cs="Times New Roman"/>
                <w:sz w:val="20"/>
                <w:szCs w:val="20"/>
                <w:lang w:eastAsia="cs-CZ"/>
              </w:rPr>
              <w:t>8</w:t>
            </w:r>
          </w:p>
        </w:tc>
        <w:tc>
          <w:tcPr>
            <w:tcW w:w="940" w:type="dxa"/>
            <w:tcBorders>
              <w:top w:val="nil"/>
              <w:left w:val="nil"/>
              <w:bottom w:val="single" w:sz="4" w:space="0" w:color="auto"/>
              <w:right w:val="single" w:sz="4" w:space="0" w:color="auto"/>
            </w:tcBorders>
            <w:shd w:val="clear" w:color="auto" w:fill="auto"/>
            <w:noWrap/>
            <w:vAlign w:val="bottom"/>
          </w:tcPr>
          <w:p w14:paraId="0B9C1A4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900" w:type="dxa"/>
            <w:tcBorders>
              <w:top w:val="nil"/>
              <w:left w:val="nil"/>
              <w:bottom w:val="single" w:sz="4" w:space="0" w:color="auto"/>
              <w:right w:val="single" w:sz="4" w:space="0" w:color="auto"/>
            </w:tcBorders>
            <w:shd w:val="clear" w:color="auto" w:fill="auto"/>
            <w:noWrap/>
            <w:vAlign w:val="bottom"/>
          </w:tcPr>
          <w:p w14:paraId="7EA97D3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4736B71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191B126D"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r w:rsidR="00500EC2">
              <w:rPr>
                <w:rFonts w:ascii="Times New Roman" w:eastAsia="Times New Roman" w:hAnsi="Times New Roman" w:cs="Times New Roman"/>
                <w:sz w:val="20"/>
                <w:szCs w:val="20"/>
                <w:lang w:eastAsia="cs-CZ"/>
              </w:rPr>
              <w:t>5</w:t>
            </w:r>
            <w:r w:rsidRPr="006C3C88">
              <w:rPr>
                <w:rFonts w:ascii="Times New Roman" w:eastAsia="Times New Roman" w:hAnsi="Times New Roman" w:cs="Times New Roman"/>
                <w:sz w:val="20"/>
                <w:szCs w:val="20"/>
                <w:lang w:eastAsia="cs-CZ"/>
              </w:rPr>
              <w:t>2</w:t>
            </w:r>
          </w:p>
        </w:tc>
      </w:tr>
      <w:tr w:rsidR="006C3C88" w:rsidRPr="006C3C88" w14:paraId="2AAB77E4"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560275B"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Hrachovište                        </w:t>
            </w:r>
          </w:p>
        </w:tc>
        <w:tc>
          <w:tcPr>
            <w:tcW w:w="1400" w:type="dxa"/>
            <w:tcBorders>
              <w:top w:val="nil"/>
              <w:left w:val="nil"/>
              <w:bottom w:val="single" w:sz="4" w:space="0" w:color="auto"/>
              <w:right w:val="single" w:sz="4" w:space="0" w:color="auto"/>
            </w:tcBorders>
            <w:shd w:val="clear" w:color="auto" w:fill="auto"/>
            <w:noWrap/>
            <w:vAlign w:val="bottom"/>
          </w:tcPr>
          <w:p w14:paraId="34D2BB28"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r w:rsidR="00500EC2">
              <w:rPr>
                <w:rFonts w:ascii="Times New Roman" w:eastAsia="Times New Roman" w:hAnsi="Times New Roman" w:cs="Times New Roman"/>
                <w:sz w:val="20"/>
                <w:szCs w:val="20"/>
                <w:lang w:eastAsia="cs-CZ"/>
              </w:rPr>
              <w:t>2</w:t>
            </w:r>
          </w:p>
        </w:tc>
        <w:tc>
          <w:tcPr>
            <w:tcW w:w="940" w:type="dxa"/>
            <w:tcBorders>
              <w:top w:val="nil"/>
              <w:left w:val="nil"/>
              <w:bottom w:val="single" w:sz="4" w:space="0" w:color="auto"/>
              <w:right w:val="single" w:sz="4" w:space="0" w:color="auto"/>
            </w:tcBorders>
            <w:shd w:val="clear" w:color="auto" w:fill="auto"/>
            <w:noWrap/>
            <w:vAlign w:val="bottom"/>
          </w:tcPr>
          <w:p w14:paraId="1362B2F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4C797C5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880" w:type="dxa"/>
            <w:tcBorders>
              <w:top w:val="nil"/>
              <w:left w:val="nil"/>
              <w:bottom w:val="single" w:sz="4" w:space="0" w:color="auto"/>
              <w:right w:val="single" w:sz="4" w:space="0" w:color="auto"/>
            </w:tcBorders>
            <w:shd w:val="clear" w:color="auto" w:fill="auto"/>
            <w:noWrap/>
            <w:vAlign w:val="bottom"/>
          </w:tcPr>
          <w:p w14:paraId="6BA4B73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2915214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46</w:t>
            </w:r>
          </w:p>
        </w:tc>
      </w:tr>
      <w:tr w:rsidR="006C3C88" w:rsidRPr="006C3C88" w14:paraId="43BB5ADC"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F233568"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Hrašné                             </w:t>
            </w:r>
          </w:p>
        </w:tc>
        <w:tc>
          <w:tcPr>
            <w:tcW w:w="1400" w:type="dxa"/>
            <w:tcBorders>
              <w:top w:val="nil"/>
              <w:left w:val="nil"/>
              <w:bottom w:val="single" w:sz="4" w:space="0" w:color="auto"/>
              <w:right w:val="single" w:sz="4" w:space="0" w:color="auto"/>
            </w:tcBorders>
            <w:shd w:val="clear" w:color="auto" w:fill="auto"/>
            <w:noWrap/>
            <w:vAlign w:val="bottom"/>
          </w:tcPr>
          <w:p w14:paraId="54C48682"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r w:rsidR="00500EC2">
              <w:rPr>
                <w:rFonts w:ascii="Times New Roman" w:eastAsia="Times New Roman" w:hAnsi="Times New Roman" w:cs="Times New Roman"/>
                <w:sz w:val="20"/>
                <w:szCs w:val="20"/>
                <w:lang w:eastAsia="cs-CZ"/>
              </w:rPr>
              <w:t>9</w:t>
            </w:r>
          </w:p>
        </w:tc>
        <w:tc>
          <w:tcPr>
            <w:tcW w:w="940" w:type="dxa"/>
            <w:tcBorders>
              <w:top w:val="nil"/>
              <w:left w:val="nil"/>
              <w:bottom w:val="single" w:sz="4" w:space="0" w:color="auto"/>
              <w:right w:val="single" w:sz="4" w:space="0" w:color="auto"/>
            </w:tcBorders>
            <w:shd w:val="clear" w:color="auto" w:fill="auto"/>
            <w:noWrap/>
            <w:vAlign w:val="bottom"/>
          </w:tcPr>
          <w:p w14:paraId="12691E1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900" w:type="dxa"/>
            <w:tcBorders>
              <w:top w:val="nil"/>
              <w:left w:val="nil"/>
              <w:bottom w:val="single" w:sz="4" w:space="0" w:color="auto"/>
              <w:right w:val="single" w:sz="4" w:space="0" w:color="auto"/>
            </w:tcBorders>
            <w:shd w:val="clear" w:color="auto" w:fill="auto"/>
            <w:noWrap/>
            <w:vAlign w:val="bottom"/>
          </w:tcPr>
          <w:p w14:paraId="65B5262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880" w:type="dxa"/>
            <w:tcBorders>
              <w:top w:val="nil"/>
              <w:left w:val="nil"/>
              <w:bottom w:val="single" w:sz="4" w:space="0" w:color="auto"/>
              <w:right w:val="single" w:sz="4" w:space="0" w:color="auto"/>
            </w:tcBorders>
            <w:shd w:val="clear" w:color="auto" w:fill="auto"/>
            <w:noWrap/>
            <w:vAlign w:val="bottom"/>
          </w:tcPr>
          <w:p w14:paraId="7185D4C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363FAC22"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3</w:t>
            </w:r>
            <w:r w:rsidR="00500EC2">
              <w:rPr>
                <w:rFonts w:ascii="Times New Roman" w:eastAsia="Times New Roman" w:hAnsi="Times New Roman" w:cs="Times New Roman"/>
                <w:sz w:val="20"/>
                <w:szCs w:val="20"/>
                <w:lang w:eastAsia="cs-CZ"/>
              </w:rPr>
              <w:t>1</w:t>
            </w:r>
          </w:p>
        </w:tc>
      </w:tr>
      <w:tr w:rsidR="006C3C88" w:rsidRPr="006C3C88" w14:paraId="119DB0AC"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59980D8"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Chvojnica                          </w:t>
            </w:r>
          </w:p>
        </w:tc>
        <w:tc>
          <w:tcPr>
            <w:tcW w:w="1400" w:type="dxa"/>
            <w:tcBorders>
              <w:top w:val="nil"/>
              <w:left w:val="nil"/>
              <w:bottom w:val="single" w:sz="4" w:space="0" w:color="auto"/>
              <w:right w:val="single" w:sz="4" w:space="0" w:color="auto"/>
            </w:tcBorders>
            <w:shd w:val="clear" w:color="auto" w:fill="auto"/>
            <w:noWrap/>
            <w:vAlign w:val="bottom"/>
          </w:tcPr>
          <w:p w14:paraId="6CF0868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30</w:t>
            </w:r>
          </w:p>
        </w:tc>
        <w:tc>
          <w:tcPr>
            <w:tcW w:w="940" w:type="dxa"/>
            <w:tcBorders>
              <w:top w:val="nil"/>
              <w:left w:val="nil"/>
              <w:bottom w:val="single" w:sz="4" w:space="0" w:color="auto"/>
              <w:right w:val="single" w:sz="4" w:space="0" w:color="auto"/>
            </w:tcBorders>
            <w:shd w:val="clear" w:color="auto" w:fill="auto"/>
            <w:noWrap/>
            <w:vAlign w:val="bottom"/>
          </w:tcPr>
          <w:p w14:paraId="6266D63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900" w:type="dxa"/>
            <w:tcBorders>
              <w:top w:val="nil"/>
              <w:left w:val="nil"/>
              <w:bottom w:val="single" w:sz="4" w:space="0" w:color="auto"/>
              <w:right w:val="single" w:sz="4" w:space="0" w:color="auto"/>
            </w:tcBorders>
            <w:shd w:val="clear" w:color="auto" w:fill="auto"/>
            <w:noWrap/>
            <w:vAlign w:val="bottom"/>
          </w:tcPr>
          <w:p w14:paraId="1E35EEA7"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1611464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2FC0C6F7"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30</w:t>
            </w:r>
          </w:p>
        </w:tc>
      </w:tr>
      <w:tr w:rsidR="006C3C88" w:rsidRPr="006C3C88" w14:paraId="65B86F23"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98F8023"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Jablonka                           </w:t>
            </w:r>
          </w:p>
        </w:tc>
        <w:tc>
          <w:tcPr>
            <w:tcW w:w="1400" w:type="dxa"/>
            <w:tcBorders>
              <w:top w:val="nil"/>
              <w:left w:val="nil"/>
              <w:bottom w:val="single" w:sz="4" w:space="0" w:color="auto"/>
              <w:right w:val="single" w:sz="4" w:space="0" w:color="auto"/>
            </w:tcBorders>
            <w:shd w:val="clear" w:color="auto" w:fill="auto"/>
            <w:noWrap/>
            <w:vAlign w:val="bottom"/>
          </w:tcPr>
          <w:p w14:paraId="4133ADC2"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35</w:t>
            </w:r>
          </w:p>
        </w:tc>
        <w:tc>
          <w:tcPr>
            <w:tcW w:w="940" w:type="dxa"/>
            <w:tcBorders>
              <w:top w:val="nil"/>
              <w:left w:val="nil"/>
              <w:bottom w:val="single" w:sz="4" w:space="0" w:color="auto"/>
              <w:right w:val="single" w:sz="4" w:space="0" w:color="auto"/>
            </w:tcBorders>
            <w:shd w:val="clear" w:color="auto" w:fill="auto"/>
            <w:noWrap/>
            <w:vAlign w:val="bottom"/>
          </w:tcPr>
          <w:p w14:paraId="769DCCA8"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1EC1396D"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75C4CFC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1A63120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38</w:t>
            </w:r>
          </w:p>
        </w:tc>
      </w:tr>
      <w:tr w:rsidR="006C3C88" w:rsidRPr="006C3C88" w14:paraId="22C86DA5"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F8C7990"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Kostolné                           </w:t>
            </w:r>
          </w:p>
        </w:tc>
        <w:tc>
          <w:tcPr>
            <w:tcW w:w="1400" w:type="dxa"/>
            <w:tcBorders>
              <w:top w:val="nil"/>
              <w:left w:val="nil"/>
              <w:bottom w:val="single" w:sz="4" w:space="0" w:color="auto"/>
              <w:right w:val="single" w:sz="4" w:space="0" w:color="auto"/>
            </w:tcBorders>
            <w:shd w:val="clear" w:color="auto" w:fill="auto"/>
            <w:noWrap/>
            <w:vAlign w:val="bottom"/>
          </w:tcPr>
          <w:p w14:paraId="7B208012"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r w:rsidR="00500EC2">
              <w:rPr>
                <w:rFonts w:ascii="Times New Roman" w:eastAsia="Times New Roman" w:hAnsi="Times New Roman" w:cs="Times New Roman"/>
                <w:sz w:val="20"/>
                <w:szCs w:val="20"/>
                <w:lang w:eastAsia="cs-CZ"/>
              </w:rPr>
              <w:t>0</w:t>
            </w:r>
          </w:p>
        </w:tc>
        <w:tc>
          <w:tcPr>
            <w:tcW w:w="940" w:type="dxa"/>
            <w:tcBorders>
              <w:top w:val="nil"/>
              <w:left w:val="nil"/>
              <w:bottom w:val="single" w:sz="4" w:space="0" w:color="auto"/>
              <w:right w:val="single" w:sz="4" w:space="0" w:color="auto"/>
            </w:tcBorders>
            <w:shd w:val="clear" w:color="auto" w:fill="auto"/>
            <w:noWrap/>
            <w:vAlign w:val="bottom"/>
          </w:tcPr>
          <w:p w14:paraId="28DE2EF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6EBDBB3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7FC4DB6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3E216910"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42</w:t>
            </w:r>
          </w:p>
        </w:tc>
      </w:tr>
      <w:tr w:rsidR="006C3C88" w:rsidRPr="006C3C88" w14:paraId="53E9DE3F"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7E231CD1"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Košariská                          </w:t>
            </w:r>
          </w:p>
        </w:tc>
        <w:tc>
          <w:tcPr>
            <w:tcW w:w="1400" w:type="dxa"/>
            <w:tcBorders>
              <w:top w:val="nil"/>
              <w:left w:val="nil"/>
              <w:bottom w:val="single" w:sz="4" w:space="0" w:color="auto"/>
              <w:right w:val="single" w:sz="4" w:space="0" w:color="auto"/>
            </w:tcBorders>
            <w:shd w:val="clear" w:color="auto" w:fill="auto"/>
            <w:noWrap/>
            <w:vAlign w:val="bottom"/>
          </w:tcPr>
          <w:p w14:paraId="241581E0"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40</w:t>
            </w:r>
          </w:p>
        </w:tc>
        <w:tc>
          <w:tcPr>
            <w:tcW w:w="940" w:type="dxa"/>
            <w:tcBorders>
              <w:top w:val="nil"/>
              <w:left w:val="nil"/>
              <w:bottom w:val="single" w:sz="4" w:space="0" w:color="auto"/>
              <w:right w:val="single" w:sz="4" w:space="0" w:color="auto"/>
            </w:tcBorders>
            <w:shd w:val="clear" w:color="auto" w:fill="auto"/>
            <w:noWrap/>
            <w:vAlign w:val="bottom"/>
          </w:tcPr>
          <w:p w14:paraId="6824434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5235803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69838E45"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76F5EF4A"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43</w:t>
            </w:r>
          </w:p>
        </w:tc>
      </w:tr>
      <w:tr w:rsidR="006C3C88" w:rsidRPr="006C3C88" w14:paraId="271181B8"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4DFFF42C"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Krajné                             </w:t>
            </w:r>
          </w:p>
        </w:tc>
        <w:tc>
          <w:tcPr>
            <w:tcW w:w="1400" w:type="dxa"/>
            <w:tcBorders>
              <w:top w:val="nil"/>
              <w:left w:val="nil"/>
              <w:bottom w:val="single" w:sz="4" w:space="0" w:color="auto"/>
              <w:right w:val="single" w:sz="4" w:space="0" w:color="auto"/>
            </w:tcBorders>
            <w:shd w:val="clear" w:color="auto" w:fill="auto"/>
            <w:noWrap/>
            <w:vAlign w:val="bottom"/>
          </w:tcPr>
          <w:p w14:paraId="6F471B4A"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88</w:t>
            </w:r>
          </w:p>
        </w:tc>
        <w:tc>
          <w:tcPr>
            <w:tcW w:w="940" w:type="dxa"/>
            <w:tcBorders>
              <w:top w:val="nil"/>
              <w:left w:val="nil"/>
              <w:bottom w:val="single" w:sz="4" w:space="0" w:color="auto"/>
              <w:right w:val="single" w:sz="4" w:space="0" w:color="auto"/>
            </w:tcBorders>
            <w:shd w:val="clear" w:color="auto" w:fill="auto"/>
            <w:noWrap/>
            <w:vAlign w:val="bottom"/>
          </w:tcPr>
          <w:p w14:paraId="15EEE7E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w:t>
            </w:r>
          </w:p>
        </w:tc>
        <w:tc>
          <w:tcPr>
            <w:tcW w:w="900" w:type="dxa"/>
            <w:tcBorders>
              <w:top w:val="nil"/>
              <w:left w:val="nil"/>
              <w:bottom w:val="single" w:sz="4" w:space="0" w:color="auto"/>
              <w:right w:val="single" w:sz="4" w:space="0" w:color="auto"/>
            </w:tcBorders>
            <w:shd w:val="clear" w:color="auto" w:fill="auto"/>
            <w:noWrap/>
            <w:vAlign w:val="bottom"/>
          </w:tcPr>
          <w:p w14:paraId="0942A8A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880" w:type="dxa"/>
            <w:tcBorders>
              <w:top w:val="nil"/>
              <w:left w:val="nil"/>
              <w:bottom w:val="single" w:sz="4" w:space="0" w:color="auto"/>
              <w:right w:val="single" w:sz="4" w:space="0" w:color="auto"/>
            </w:tcBorders>
            <w:shd w:val="clear" w:color="auto" w:fill="auto"/>
            <w:noWrap/>
            <w:vAlign w:val="bottom"/>
          </w:tcPr>
          <w:p w14:paraId="5D4C3F6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5128D8C9"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97</w:t>
            </w:r>
          </w:p>
        </w:tc>
      </w:tr>
      <w:tr w:rsidR="006C3C88" w:rsidRPr="006C3C88" w14:paraId="12F94F27"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5AA3C7E"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Lubina                             </w:t>
            </w:r>
          </w:p>
        </w:tc>
        <w:tc>
          <w:tcPr>
            <w:tcW w:w="1400" w:type="dxa"/>
            <w:tcBorders>
              <w:top w:val="nil"/>
              <w:left w:val="nil"/>
              <w:bottom w:val="single" w:sz="4" w:space="0" w:color="auto"/>
              <w:right w:val="single" w:sz="4" w:space="0" w:color="auto"/>
            </w:tcBorders>
            <w:shd w:val="clear" w:color="auto" w:fill="auto"/>
            <w:noWrap/>
            <w:vAlign w:val="bottom"/>
          </w:tcPr>
          <w:p w14:paraId="4EDFA702"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136</w:t>
            </w:r>
          </w:p>
        </w:tc>
        <w:tc>
          <w:tcPr>
            <w:tcW w:w="940" w:type="dxa"/>
            <w:tcBorders>
              <w:top w:val="nil"/>
              <w:left w:val="nil"/>
              <w:bottom w:val="single" w:sz="4" w:space="0" w:color="auto"/>
              <w:right w:val="single" w:sz="4" w:space="0" w:color="auto"/>
            </w:tcBorders>
            <w:shd w:val="clear" w:color="auto" w:fill="auto"/>
            <w:noWrap/>
            <w:vAlign w:val="bottom"/>
          </w:tcPr>
          <w:p w14:paraId="7516CD8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900" w:type="dxa"/>
            <w:tcBorders>
              <w:top w:val="nil"/>
              <w:left w:val="nil"/>
              <w:bottom w:val="single" w:sz="4" w:space="0" w:color="auto"/>
              <w:right w:val="single" w:sz="4" w:space="0" w:color="auto"/>
            </w:tcBorders>
            <w:shd w:val="clear" w:color="auto" w:fill="auto"/>
            <w:noWrap/>
            <w:vAlign w:val="bottom"/>
          </w:tcPr>
          <w:p w14:paraId="06D74056"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880" w:type="dxa"/>
            <w:tcBorders>
              <w:top w:val="nil"/>
              <w:left w:val="nil"/>
              <w:bottom w:val="single" w:sz="4" w:space="0" w:color="auto"/>
              <w:right w:val="single" w:sz="4" w:space="0" w:color="auto"/>
            </w:tcBorders>
            <w:shd w:val="clear" w:color="auto" w:fill="auto"/>
            <w:noWrap/>
            <w:vAlign w:val="bottom"/>
          </w:tcPr>
          <w:p w14:paraId="0ACBCEA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47C2B07C"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142</w:t>
            </w:r>
          </w:p>
        </w:tc>
      </w:tr>
      <w:tr w:rsidR="006C3C88" w:rsidRPr="006C3C88" w14:paraId="50934056"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15E574D"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Myjava                             </w:t>
            </w:r>
          </w:p>
        </w:tc>
        <w:tc>
          <w:tcPr>
            <w:tcW w:w="1400" w:type="dxa"/>
            <w:tcBorders>
              <w:top w:val="nil"/>
              <w:left w:val="nil"/>
              <w:bottom w:val="single" w:sz="4" w:space="0" w:color="auto"/>
              <w:right w:val="single" w:sz="4" w:space="0" w:color="auto"/>
            </w:tcBorders>
            <w:shd w:val="clear" w:color="auto" w:fill="auto"/>
            <w:noWrap/>
            <w:vAlign w:val="bottom"/>
          </w:tcPr>
          <w:p w14:paraId="1B47C711"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847</w:t>
            </w:r>
          </w:p>
        </w:tc>
        <w:tc>
          <w:tcPr>
            <w:tcW w:w="940" w:type="dxa"/>
            <w:tcBorders>
              <w:top w:val="nil"/>
              <w:left w:val="nil"/>
              <w:bottom w:val="single" w:sz="4" w:space="0" w:color="auto"/>
              <w:right w:val="single" w:sz="4" w:space="0" w:color="auto"/>
            </w:tcBorders>
            <w:shd w:val="clear" w:color="auto" w:fill="auto"/>
            <w:noWrap/>
            <w:vAlign w:val="bottom"/>
          </w:tcPr>
          <w:p w14:paraId="2BACA375"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242</w:t>
            </w:r>
          </w:p>
        </w:tc>
        <w:tc>
          <w:tcPr>
            <w:tcW w:w="900" w:type="dxa"/>
            <w:tcBorders>
              <w:top w:val="nil"/>
              <w:left w:val="nil"/>
              <w:bottom w:val="single" w:sz="4" w:space="0" w:color="auto"/>
              <w:right w:val="single" w:sz="4" w:space="0" w:color="auto"/>
            </w:tcBorders>
            <w:shd w:val="clear" w:color="auto" w:fill="auto"/>
            <w:noWrap/>
            <w:vAlign w:val="bottom"/>
          </w:tcPr>
          <w:p w14:paraId="19077B0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59</w:t>
            </w:r>
          </w:p>
        </w:tc>
        <w:tc>
          <w:tcPr>
            <w:tcW w:w="880" w:type="dxa"/>
            <w:tcBorders>
              <w:top w:val="nil"/>
              <w:left w:val="nil"/>
              <w:bottom w:val="single" w:sz="4" w:space="0" w:color="auto"/>
              <w:right w:val="single" w:sz="4" w:space="0" w:color="auto"/>
            </w:tcBorders>
            <w:shd w:val="clear" w:color="auto" w:fill="auto"/>
            <w:noWrap/>
            <w:vAlign w:val="bottom"/>
          </w:tcPr>
          <w:p w14:paraId="4F07DAF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1500" w:type="dxa"/>
            <w:tcBorders>
              <w:top w:val="nil"/>
              <w:left w:val="nil"/>
              <w:bottom w:val="single" w:sz="4" w:space="0" w:color="auto"/>
              <w:right w:val="single" w:sz="8" w:space="0" w:color="auto"/>
            </w:tcBorders>
            <w:shd w:val="clear" w:color="auto" w:fill="auto"/>
            <w:noWrap/>
            <w:vAlign w:val="bottom"/>
          </w:tcPr>
          <w:p w14:paraId="7B679A31"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1149</w:t>
            </w:r>
          </w:p>
        </w:tc>
      </w:tr>
      <w:tr w:rsidR="006C3C88" w:rsidRPr="006C3C88" w14:paraId="1EB434FE"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3C180ADE"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Podbranč</w:t>
            </w:r>
          </w:p>
        </w:tc>
        <w:tc>
          <w:tcPr>
            <w:tcW w:w="1400" w:type="dxa"/>
            <w:tcBorders>
              <w:top w:val="nil"/>
              <w:left w:val="nil"/>
              <w:bottom w:val="single" w:sz="4" w:space="0" w:color="auto"/>
              <w:right w:val="single" w:sz="4" w:space="0" w:color="auto"/>
            </w:tcBorders>
            <w:shd w:val="clear" w:color="auto" w:fill="auto"/>
            <w:noWrap/>
            <w:vAlign w:val="bottom"/>
          </w:tcPr>
          <w:p w14:paraId="0165C882"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41</w:t>
            </w:r>
          </w:p>
        </w:tc>
        <w:tc>
          <w:tcPr>
            <w:tcW w:w="940" w:type="dxa"/>
            <w:tcBorders>
              <w:top w:val="nil"/>
              <w:left w:val="nil"/>
              <w:bottom w:val="single" w:sz="4" w:space="0" w:color="auto"/>
              <w:right w:val="single" w:sz="4" w:space="0" w:color="auto"/>
            </w:tcBorders>
            <w:shd w:val="clear" w:color="auto" w:fill="auto"/>
            <w:noWrap/>
            <w:vAlign w:val="bottom"/>
          </w:tcPr>
          <w:p w14:paraId="38C9DF3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33863A52"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3F78373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01EA907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43</w:t>
            </w:r>
          </w:p>
        </w:tc>
      </w:tr>
      <w:tr w:rsidR="006C3C88" w:rsidRPr="006C3C88" w14:paraId="26CD9D01"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261A402"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Podkylava                          </w:t>
            </w:r>
          </w:p>
        </w:tc>
        <w:tc>
          <w:tcPr>
            <w:tcW w:w="1400" w:type="dxa"/>
            <w:tcBorders>
              <w:top w:val="nil"/>
              <w:left w:val="nil"/>
              <w:bottom w:val="single" w:sz="4" w:space="0" w:color="auto"/>
              <w:right w:val="single" w:sz="4" w:space="0" w:color="auto"/>
            </w:tcBorders>
            <w:shd w:val="clear" w:color="auto" w:fill="auto"/>
            <w:noWrap/>
            <w:vAlign w:val="bottom"/>
          </w:tcPr>
          <w:p w14:paraId="76DD9FE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7</w:t>
            </w:r>
          </w:p>
        </w:tc>
        <w:tc>
          <w:tcPr>
            <w:tcW w:w="940" w:type="dxa"/>
            <w:tcBorders>
              <w:top w:val="nil"/>
              <w:left w:val="nil"/>
              <w:bottom w:val="single" w:sz="4" w:space="0" w:color="auto"/>
              <w:right w:val="single" w:sz="4" w:space="0" w:color="auto"/>
            </w:tcBorders>
            <w:shd w:val="clear" w:color="auto" w:fill="auto"/>
            <w:noWrap/>
            <w:vAlign w:val="bottom"/>
          </w:tcPr>
          <w:p w14:paraId="2F4BCC6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900" w:type="dxa"/>
            <w:tcBorders>
              <w:top w:val="nil"/>
              <w:left w:val="nil"/>
              <w:bottom w:val="single" w:sz="4" w:space="0" w:color="auto"/>
              <w:right w:val="single" w:sz="4" w:space="0" w:color="auto"/>
            </w:tcBorders>
            <w:shd w:val="clear" w:color="auto" w:fill="auto"/>
            <w:noWrap/>
            <w:vAlign w:val="bottom"/>
          </w:tcPr>
          <w:p w14:paraId="09ECEBB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611BF86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0915DD0B"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9</w:t>
            </w:r>
          </w:p>
        </w:tc>
      </w:tr>
      <w:tr w:rsidR="006C3C88" w:rsidRPr="006C3C88" w14:paraId="33F988F2"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390CF712"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Polianka                           </w:t>
            </w:r>
          </w:p>
        </w:tc>
        <w:tc>
          <w:tcPr>
            <w:tcW w:w="1400" w:type="dxa"/>
            <w:tcBorders>
              <w:top w:val="nil"/>
              <w:left w:val="nil"/>
              <w:bottom w:val="single" w:sz="4" w:space="0" w:color="auto"/>
              <w:right w:val="single" w:sz="4" w:space="0" w:color="auto"/>
            </w:tcBorders>
            <w:shd w:val="clear" w:color="auto" w:fill="auto"/>
            <w:noWrap/>
            <w:vAlign w:val="bottom"/>
          </w:tcPr>
          <w:p w14:paraId="416F40DC"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22</w:t>
            </w:r>
          </w:p>
        </w:tc>
        <w:tc>
          <w:tcPr>
            <w:tcW w:w="940" w:type="dxa"/>
            <w:tcBorders>
              <w:top w:val="nil"/>
              <w:left w:val="nil"/>
              <w:bottom w:val="single" w:sz="4" w:space="0" w:color="auto"/>
              <w:right w:val="single" w:sz="4" w:space="0" w:color="auto"/>
            </w:tcBorders>
            <w:shd w:val="clear" w:color="auto" w:fill="auto"/>
            <w:noWrap/>
            <w:vAlign w:val="bottom"/>
          </w:tcPr>
          <w:p w14:paraId="6418112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900" w:type="dxa"/>
            <w:tcBorders>
              <w:top w:val="nil"/>
              <w:left w:val="nil"/>
              <w:bottom w:val="single" w:sz="4" w:space="0" w:color="auto"/>
              <w:right w:val="single" w:sz="4" w:space="0" w:color="auto"/>
            </w:tcBorders>
            <w:shd w:val="clear" w:color="auto" w:fill="auto"/>
            <w:noWrap/>
            <w:vAlign w:val="bottom"/>
          </w:tcPr>
          <w:p w14:paraId="0A57388D"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4F2126D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45DC6AC9"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23</w:t>
            </w:r>
          </w:p>
        </w:tc>
      </w:tr>
      <w:tr w:rsidR="006C3C88" w:rsidRPr="006C3C88" w14:paraId="63D422FF"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07078349"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Poriadie                           </w:t>
            </w:r>
          </w:p>
        </w:tc>
        <w:tc>
          <w:tcPr>
            <w:tcW w:w="1400" w:type="dxa"/>
            <w:tcBorders>
              <w:top w:val="nil"/>
              <w:left w:val="nil"/>
              <w:bottom w:val="single" w:sz="4" w:space="0" w:color="auto"/>
              <w:right w:val="single" w:sz="4" w:space="0" w:color="auto"/>
            </w:tcBorders>
            <w:shd w:val="clear" w:color="auto" w:fill="auto"/>
            <w:noWrap/>
            <w:vAlign w:val="bottom"/>
          </w:tcPr>
          <w:p w14:paraId="4644330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50</w:t>
            </w:r>
          </w:p>
        </w:tc>
        <w:tc>
          <w:tcPr>
            <w:tcW w:w="940" w:type="dxa"/>
            <w:tcBorders>
              <w:top w:val="nil"/>
              <w:left w:val="nil"/>
              <w:bottom w:val="single" w:sz="4" w:space="0" w:color="auto"/>
              <w:right w:val="single" w:sz="4" w:space="0" w:color="auto"/>
            </w:tcBorders>
            <w:shd w:val="clear" w:color="auto" w:fill="auto"/>
            <w:noWrap/>
            <w:vAlign w:val="bottom"/>
          </w:tcPr>
          <w:p w14:paraId="41676804"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370E49A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3A2D6517"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7A8BE4C4"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53</w:t>
            </w:r>
          </w:p>
        </w:tc>
      </w:tr>
      <w:tr w:rsidR="006C3C88" w:rsidRPr="006C3C88" w14:paraId="1D5F48E0"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5C4F6AC6"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Prašník</w:t>
            </w:r>
          </w:p>
        </w:tc>
        <w:tc>
          <w:tcPr>
            <w:tcW w:w="1400" w:type="dxa"/>
            <w:tcBorders>
              <w:top w:val="nil"/>
              <w:left w:val="nil"/>
              <w:bottom w:val="single" w:sz="4" w:space="0" w:color="auto"/>
              <w:right w:val="single" w:sz="4" w:space="0" w:color="auto"/>
            </w:tcBorders>
            <w:shd w:val="clear" w:color="auto" w:fill="auto"/>
            <w:noWrap/>
            <w:vAlign w:val="bottom"/>
          </w:tcPr>
          <w:p w14:paraId="6DC01B7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53</w:t>
            </w:r>
          </w:p>
        </w:tc>
        <w:tc>
          <w:tcPr>
            <w:tcW w:w="940" w:type="dxa"/>
            <w:tcBorders>
              <w:top w:val="nil"/>
              <w:left w:val="nil"/>
              <w:bottom w:val="single" w:sz="4" w:space="0" w:color="auto"/>
              <w:right w:val="single" w:sz="4" w:space="0" w:color="auto"/>
            </w:tcBorders>
            <w:shd w:val="clear" w:color="auto" w:fill="auto"/>
            <w:noWrap/>
            <w:vAlign w:val="bottom"/>
          </w:tcPr>
          <w:p w14:paraId="7DEAE03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36A8E0D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07C78FB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0DE17557"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55</w:t>
            </w:r>
          </w:p>
        </w:tc>
      </w:tr>
      <w:tr w:rsidR="006C3C88" w:rsidRPr="006C3C88" w14:paraId="51272CA0"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B7B6AAD"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Priepasné                          </w:t>
            </w:r>
          </w:p>
        </w:tc>
        <w:tc>
          <w:tcPr>
            <w:tcW w:w="1400" w:type="dxa"/>
            <w:tcBorders>
              <w:top w:val="nil"/>
              <w:left w:val="nil"/>
              <w:bottom w:val="single" w:sz="4" w:space="0" w:color="auto"/>
              <w:right w:val="single" w:sz="4" w:space="0" w:color="auto"/>
            </w:tcBorders>
            <w:shd w:val="clear" w:color="auto" w:fill="auto"/>
            <w:noWrap/>
            <w:vAlign w:val="bottom"/>
          </w:tcPr>
          <w:p w14:paraId="78B85C9D"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22</w:t>
            </w:r>
          </w:p>
        </w:tc>
        <w:tc>
          <w:tcPr>
            <w:tcW w:w="940" w:type="dxa"/>
            <w:tcBorders>
              <w:top w:val="nil"/>
              <w:left w:val="nil"/>
              <w:bottom w:val="single" w:sz="4" w:space="0" w:color="auto"/>
              <w:right w:val="single" w:sz="4" w:space="0" w:color="auto"/>
            </w:tcBorders>
            <w:shd w:val="clear" w:color="auto" w:fill="auto"/>
            <w:noWrap/>
            <w:vAlign w:val="bottom"/>
          </w:tcPr>
          <w:p w14:paraId="53C5F748"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900" w:type="dxa"/>
            <w:tcBorders>
              <w:top w:val="nil"/>
              <w:left w:val="nil"/>
              <w:bottom w:val="single" w:sz="4" w:space="0" w:color="auto"/>
              <w:right w:val="single" w:sz="4" w:space="0" w:color="auto"/>
            </w:tcBorders>
            <w:shd w:val="clear" w:color="auto" w:fill="auto"/>
            <w:noWrap/>
            <w:vAlign w:val="bottom"/>
          </w:tcPr>
          <w:p w14:paraId="6CAC75E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880" w:type="dxa"/>
            <w:tcBorders>
              <w:top w:val="nil"/>
              <w:left w:val="nil"/>
              <w:bottom w:val="single" w:sz="4" w:space="0" w:color="auto"/>
              <w:right w:val="single" w:sz="4" w:space="0" w:color="auto"/>
            </w:tcBorders>
            <w:shd w:val="clear" w:color="auto" w:fill="auto"/>
            <w:noWrap/>
            <w:vAlign w:val="bottom"/>
          </w:tcPr>
          <w:p w14:paraId="2F34C6B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16B8F8A2"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24</w:t>
            </w:r>
          </w:p>
        </w:tc>
      </w:tr>
      <w:tr w:rsidR="006C3C88" w:rsidRPr="006C3C88" w14:paraId="1CBCCE98"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6E7E4CB"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Rudník                             </w:t>
            </w:r>
          </w:p>
        </w:tc>
        <w:tc>
          <w:tcPr>
            <w:tcW w:w="1400" w:type="dxa"/>
            <w:tcBorders>
              <w:top w:val="nil"/>
              <w:left w:val="nil"/>
              <w:bottom w:val="single" w:sz="4" w:space="0" w:color="auto"/>
              <w:right w:val="single" w:sz="4" w:space="0" w:color="auto"/>
            </w:tcBorders>
            <w:shd w:val="clear" w:color="auto" w:fill="auto"/>
            <w:noWrap/>
            <w:vAlign w:val="bottom"/>
          </w:tcPr>
          <w:p w14:paraId="6941247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46</w:t>
            </w:r>
          </w:p>
        </w:tc>
        <w:tc>
          <w:tcPr>
            <w:tcW w:w="940" w:type="dxa"/>
            <w:tcBorders>
              <w:top w:val="nil"/>
              <w:left w:val="nil"/>
              <w:bottom w:val="single" w:sz="4" w:space="0" w:color="auto"/>
              <w:right w:val="single" w:sz="4" w:space="0" w:color="auto"/>
            </w:tcBorders>
            <w:shd w:val="clear" w:color="auto" w:fill="auto"/>
            <w:noWrap/>
            <w:vAlign w:val="bottom"/>
          </w:tcPr>
          <w:p w14:paraId="03202E6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900" w:type="dxa"/>
            <w:tcBorders>
              <w:top w:val="nil"/>
              <w:left w:val="nil"/>
              <w:bottom w:val="single" w:sz="4" w:space="0" w:color="auto"/>
              <w:right w:val="single" w:sz="4" w:space="0" w:color="auto"/>
            </w:tcBorders>
            <w:shd w:val="clear" w:color="auto" w:fill="auto"/>
            <w:noWrap/>
            <w:vAlign w:val="bottom"/>
          </w:tcPr>
          <w:p w14:paraId="04A15BC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w:t>
            </w:r>
          </w:p>
        </w:tc>
        <w:tc>
          <w:tcPr>
            <w:tcW w:w="880" w:type="dxa"/>
            <w:tcBorders>
              <w:top w:val="nil"/>
              <w:left w:val="nil"/>
              <w:bottom w:val="single" w:sz="4" w:space="0" w:color="auto"/>
              <w:right w:val="single" w:sz="4" w:space="0" w:color="auto"/>
            </w:tcBorders>
            <w:shd w:val="clear" w:color="auto" w:fill="auto"/>
            <w:noWrap/>
            <w:vAlign w:val="bottom"/>
          </w:tcPr>
          <w:p w14:paraId="3D4B58E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0E9F9FA9"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47</w:t>
            </w:r>
          </w:p>
        </w:tc>
      </w:tr>
      <w:tr w:rsidR="006C3C88" w:rsidRPr="006C3C88" w14:paraId="17141BDB"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124E598A" w14:textId="77777777" w:rsidR="006C3C88" w:rsidRPr="006C3C88" w:rsidRDefault="006C3C88" w:rsidP="00500EC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r w:rsidR="00500EC2">
              <w:rPr>
                <w:rFonts w:ascii="Times New Roman" w:eastAsia="Times New Roman" w:hAnsi="Times New Roman" w:cs="Times New Roman"/>
                <w:sz w:val="20"/>
                <w:szCs w:val="20"/>
                <w:lang w:eastAsia="cs-CZ"/>
              </w:rPr>
              <w:t xml:space="preserve"> Sobotište</w:t>
            </w:r>
          </w:p>
        </w:tc>
        <w:tc>
          <w:tcPr>
            <w:tcW w:w="1400" w:type="dxa"/>
            <w:tcBorders>
              <w:top w:val="nil"/>
              <w:left w:val="nil"/>
              <w:bottom w:val="single" w:sz="4" w:space="0" w:color="auto"/>
              <w:right w:val="single" w:sz="4" w:space="0" w:color="auto"/>
            </w:tcBorders>
            <w:shd w:val="clear" w:color="auto" w:fill="auto"/>
            <w:noWrap/>
            <w:vAlign w:val="bottom"/>
          </w:tcPr>
          <w:p w14:paraId="62CDBF1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86</w:t>
            </w:r>
          </w:p>
        </w:tc>
        <w:tc>
          <w:tcPr>
            <w:tcW w:w="940" w:type="dxa"/>
            <w:tcBorders>
              <w:top w:val="nil"/>
              <w:left w:val="nil"/>
              <w:bottom w:val="single" w:sz="4" w:space="0" w:color="auto"/>
              <w:right w:val="single" w:sz="4" w:space="0" w:color="auto"/>
            </w:tcBorders>
            <w:shd w:val="clear" w:color="auto" w:fill="auto"/>
            <w:noWrap/>
            <w:vAlign w:val="bottom"/>
          </w:tcPr>
          <w:p w14:paraId="0A2821BC"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6</w:t>
            </w:r>
          </w:p>
        </w:tc>
        <w:tc>
          <w:tcPr>
            <w:tcW w:w="900" w:type="dxa"/>
            <w:tcBorders>
              <w:top w:val="nil"/>
              <w:left w:val="nil"/>
              <w:bottom w:val="single" w:sz="4" w:space="0" w:color="auto"/>
              <w:right w:val="single" w:sz="4" w:space="0" w:color="auto"/>
            </w:tcBorders>
            <w:shd w:val="clear" w:color="auto" w:fill="auto"/>
            <w:noWrap/>
            <w:vAlign w:val="bottom"/>
          </w:tcPr>
          <w:p w14:paraId="40A2D70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880" w:type="dxa"/>
            <w:tcBorders>
              <w:top w:val="nil"/>
              <w:left w:val="nil"/>
              <w:bottom w:val="single" w:sz="4" w:space="0" w:color="auto"/>
              <w:right w:val="single" w:sz="4" w:space="0" w:color="auto"/>
            </w:tcBorders>
            <w:shd w:val="clear" w:color="auto" w:fill="auto"/>
            <w:noWrap/>
            <w:vAlign w:val="bottom"/>
          </w:tcPr>
          <w:p w14:paraId="421F138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3D3E38C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96</w:t>
            </w:r>
          </w:p>
        </w:tc>
      </w:tr>
      <w:tr w:rsidR="006C3C88" w:rsidRPr="006C3C88" w14:paraId="52C1BBD0"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797D6EEE"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Stará Myjava                       </w:t>
            </w:r>
          </w:p>
        </w:tc>
        <w:tc>
          <w:tcPr>
            <w:tcW w:w="1400" w:type="dxa"/>
            <w:tcBorders>
              <w:top w:val="nil"/>
              <w:left w:val="nil"/>
              <w:bottom w:val="single" w:sz="4" w:space="0" w:color="auto"/>
              <w:right w:val="single" w:sz="4" w:space="0" w:color="auto"/>
            </w:tcBorders>
            <w:shd w:val="clear" w:color="auto" w:fill="auto"/>
            <w:noWrap/>
            <w:vAlign w:val="bottom"/>
          </w:tcPr>
          <w:p w14:paraId="5C15A08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54</w:t>
            </w:r>
          </w:p>
        </w:tc>
        <w:tc>
          <w:tcPr>
            <w:tcW w:w="940" w:type="dxa"/>
            <w:tcBorders>
              <w:top w:val="nil"/>
              <w:left w:val="nil"/>
              <w:bottom w:val="single" w:sz="4" w:space="0" w:color="auto"/>
              <w:right w:val="single" w:sz="4" w:space="0" w:color="auto"/>
            </w:tcBorders>
            <w:shd w:val="clear" w:color="auto" w:fill="auto"/>
            <w:noWrap/>
            <w:vAlign w:val="bottom"/>
          </w:tcPr>
          <w:p w14:paraId="44BBABC3"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6EB9407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53E9F868"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51EB8107"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56</w:t>
            </w:r>
          </w:p>
        </w:tc>
      </w:tr>
      <w:tr w:rsidR="006C3C88" w:rsidRPr="006C3C88" w14:paraId="34F13936"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6D4F0555"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Stará Turá                         </w:t>
            </w:r>
          </w:p>
        </w:tc>
        <w:tc>
          <w:tcPr>
            <w:tcW w:w="1400" w:type="dxa"/>
            <w:tcBorders>
              <w:top w:val="nil"/>
              <w:left w:val="nil"/>
              <w:bottom w:val="single" w:sz="4" w:space="0" w:color="auto"/>
              <w:right w:val="single" w:sz="4" w:space="0" w:color="auto"/>
            </w:tcBorders>
            <w:shd w:val="clear" w:color="auto" w:fill="auto"/>
            <w:noWrap/>
            <w:vAlign w:val="bottom"/>
          </w:tcPr>
          <w:p w14:paraId="0B8C87D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88</w:t>
            </w:r>
            <w:r w:rsidR="006C3C88" w:rsidRPr="006C3C88">
              <w:rPr>
                <w:rFonts w:ascii="Times New Roman" w:eastAsia="Times New Roman" w:hAnsi="Times New Roman" w:cs="Times New Roman"/>
                <w:sz w:val="20"/>
                <w:szCs w:val="20"/>
                <w:lang w:eastAsia="cs-CZ"/>
              </w:rPr>
              <w:t>7</w:t>
            </w:r>
          </w:p>
        </w:tc>
        <w:tc>
          <w:tcPr>
            <w:tcW w:w="940" w:type="dxa"/>
            <w:tcBorders>
              <w:top w:val="nil"/>
              <w:left w:val="nil"/>
              <w:bottom w:val="single" w:sz="4" w:space="0" w:color="auto"/>
              <w:right w:val="single" w:sz="4" w:space="0" w:color="auto"/>
            </w:tcBorders>
            <w:shd w:val="clear" w:color="auto" w:fill="auto"/>
            <w:noWrap/>
            <w:vAlign w:val="bottom"/>
          </w:tcPr>
          <w:p w14:paraId="2944F80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9</w:t>
            </w:r>
          </w:p>
        </w:tc>
        <w:tc>
          <w:tcPr>
            <w:tcW w:w="900" w:type="dxa"/>
            <w:tcBorders>
              <w:top w:val="nil"/>
              <w:left w:val="nil"/>
              <w:bottom w:val="single" w:sz="4" w:space="0" w:color="auto"/>
              <w:right w:val="single" w:sz="4" w:space="0" w:color="auto"/>
            </w:tcBorders>
            <w:shd w:val="clear" w:color="auto" w:fill="auto"/>
            <w:noWrap/>
            <w:vAlign w:val="bottom"/>
          </w:tcPr>
          <w:p w14:paraId="55EC477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15</w:t>
            </w:r>
          </w:p>
        </w:tc>
        <w:tc>
          <w:tcPr>
            <w:tcW w:w="880" w:type="dxa"/>
            <w:tcBorders>
              <w:top w:val="nil"/>
              <w:left w:val="nil"/>
              <w:bottom w:val="single" w:sz="4" w:space="0" w:color="auto"/>
              <w:right w:val="single" w:sz="4" w:space="0" w:color="auto"/>
            </w:tcBorders>
            <w:shd w:val="clear" w:color="auto" w:fill="auto"/>
            <w:noWrap/>
            <w:vAlign w:val="bottom"/>
          </w:tcPr>
          <w:p w14:paraId="647D692E"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5</w:t>
            </w:r>
          </w:p>
        </w:tc>
        <w:tc>
          <w:tcPr>
            <w:tcW w:w="1500" w:type="dxa"/>
            <w:tcBorders>
              <w:top w:val="nil"/>
              <w:left w:val="nil"/>
              <w:bottom w:val="single" w:sz="4" w:space="0" w:color="auto"/>
              <w:right w:val="single" w:sz="8" w:space="0" w:color="auto"/>
            </w:tcBorders>
            <w:shd w:val="clear" w:color="auto" w:fill="auto"/>
            <w:noWrap/>
            <w:vAlign w:val="bottom"/>
          </w:tcPr>
          <w:p w14:paraId="3A38ED37"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91</w:t>
            </w:r>
            <w:r w:rsidR="006C3C88" w:rsidRPr="006C3C88">
              <w:rPr>
                <w:rFonts w:ascii="Times New Roman" w:eastAsia="Times New Roman" w:hAnsi="Times New Roman" w:cs="Times New Roman"/>
                <w:sz w:val="20"/>
                <w:szCs w:val="20"/>
                <w:lang w:eastAsia="cs-CZ"/>
              </w:rPr>
              <w:t>6</w:t>
            </w:r>
          </w:p>
        </w:tc>
      </w:tr>
      <w:tr w:rsidR="006C3C88" w:rsidRPr="006C3C88" w14:paraId="01AB63C4"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252CAB7A"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Vaďovce                            </w:t>
            </w:r>
          </w:p>
        </w:tc>
        <w:tc>
          <w:tcPr>
            <w:tcW w:w="1400" w:type="dxa"/>
            <w:tcBorders>
              <w:top w:val="nil"/>
              <w:left w:val="nil"/>
              <w:bottom w:val="single" w:sz="4" w:space="0" w:color="auto"/>
              <w:right w:val="single" w:sz="4" w:space="0" w:color="auto"/>
            </w:tcBorders>
            <w:shd w:val="clear" w:color="auto" w:fill="auto"/>
            <w:noWrap/>
            <w:vAlign w:val="bottom"/>
          </w:tcPr>
          <w:p w14:paraId="3DBB3F8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66</w:t>
            </w:r>
          </w:p>
        </w:tc>
        <w:tc>
          <w:tcPr>
            <w:tcW w:w="940" w:type="dxa"/>
            <w:tcBorders>
              <w:top w:val="nil"/>
              <w:left w:val="nil"/>
              <w:bottom w:val="single" w:sz="4" w:space="0" w:color="auto"/>
              <w:right w:val="single" w:sz="4" w:space="0" w:color="auto"/>
            </w:tcBorders>
            <w:shd w:val="clear" w:color="auto" w:fill="auto"/>
            <w:noWrap/>
            <w:vAlign w:val="bottom"/>
          </w:tcPr>
          <w:p w14:paraId="53805669"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2</w:t>
            </w:r>
          </w:p>
        </w:tc>
        <w:tc>
          <w:tcPr>
            <w:tcW w:w="900" w:type="dxa"/>
            <w:tcBorders>
              <w:top w:val="nil"/>
              <w:left w:val="nil"/>
              <w:bottom w:val="single" w:sz="4" w:space="0" w:color="auto"/>
              <w:right w:val="single" w:sz="4" w:space="0" w:color="auto"/>
            </w:tcBorders>
            <w:shd w:val="clear" w:color="auto" w:fill="auto"/>
            <w:noWrap/>
            <w:vAlign w:val="bottom"/>
          </w:tcPr>
          <w:p w14:paraId="7D7FE178"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4</w:t>
            </w:r>
          </w:p>
        </w:tc>
        <w:tc>
          <w:tcPr>
            <w:tcW w:w="880" w:type="dxa"/>
            <w:tcBorders>
              <w:top w:val="nil"/>
              <w:left w:val="nil"/>
              <w:bottom w:val="single" w:sz="4" w:space="0" w:color="auto"/>
              <w:right w:val="single" w:sz="4" w:space="0" w:color="auto"/>
            </w:tcBorders>
            <w:shd w:val="clear" w:color="auto" w:fill="auto"/>
            <w:noWrap/>
            <w:vAlign w:val="bottom"/>
          </w:tcPr>
          <w:p w14:paraId="2DF9A4F1"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5D397E33"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72</w:t>
            </w:r>
          </w:p>
        </w:tc>
      </w:tr>
      <w:tr w:rsidR="006C3C88" w:rsidRPr="006C3C88" w14:paraId="6838B895" w14:textId="77777777" w:rsidTr="006C3C88">
        <w:trPr>
          <w:trHeight w:val="255"/>
        </w:trPr>
        <w:tc>
          <w:tcPr>
            <w:tcW w:w="2175" w:type="dxa"/>
            <w:tcBorders>
              <w:top w:val="nil"/>
              <w:left w:val="single" w:sz="8" w:space="0" w:color="auto"/>
              <w:bottom w:val="single" w:sz="4" w:space="0" w:color="auto"/>
              <w:right w:val="single" w:sz="8" w:space="0" w:color="auto"/>
            </w:tcBorders>
            <w:shd w:val="clear" w:color="auto" w:fill="auto"/>
            <w:noWrap/>
            <w:vAlign w:val="bottom"/>
          </w:tcPr>
          <w:p w14:paraId="271F05A2"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Višňové                            </w:t>
            </w:r>
          </w:p>
        </w:tc>
        <w:tc>
          <w:tcPr>
            <w:tcW w:w="1400" w:type="dxa"/>
            <w:tcBorders>
              <w:top w:val="nil"/>
              <w:left w:val="nil"/>
              <w:bottom w:val="single" w:sz="4" w:space="0" w:color="auto"/>
              <w:right w:val="single" w:sz="4" w:space="0" w:color="auto"/>
            </w:tcBorders>
            <w:shd w:val="clear" w:color="auto" w:fill="auto"/>
            <w:noWrap/>
            <w:vAlign w:val="bottom"/>
          </w:tcPr>
          <w:p w14:paraId="6C27F0DE"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13</w:t>
            </w:r>
          </w:p>
        </w:tc>
        <w:tc>
          <w:tcPr>
            <w:tcW w:w="940" w:type="dxa"/>
            <w:tcBorders>
              <w:top w:val="nil"/>
              <w:left w:val="nil"/>
              <w:bottom w:val="single" w:sz="4" w:space="0" w:color="auto"/>
              <w:right w:val="single" w:sz="4" w:space="0" w:color="auto"/>
            </w:tcBorders>
            <w:shd w:val="clear" w:color="auto" w:fill="auto"/>
            <w:noWrap/>
            <w:vAlign w:val="bottom"/>
          </w:tcPr>
          <w:p w14:paraId="53505D66"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900" w:type="dxa"/>
            <w:tcBorders>
              <w:top w:val="nil"/>
              <w:left w:val="nil"/>
              <w:bottom w:val="single" w:sz="4" w:space="0" w:color="auto"/>
              <w:right w:val="single" w:sz="4" w:space="0" w:color="auto"/>
            </w:tcBorders>
            <w:shd w:val="clear" w:color="auto" w:fill="auto"/>
            <w:noWrap/>
            <w:vAlign w:val="bottom"/>
          </w:tcPr>
          <w:p w14:paraId="4D1BE97F"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bottom"/>
          </w:tcPr>
          <w:p w14:paraId="42D98600"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single" w:sz="4" w:space="0" w:color="auto"/>
              <w:right w:val="single" w:sz="8" w:space="0" w:color="auto"/>
            </w:tcBorders>
            <w:shd w:val="clear" w:color="auto" w:fill="auto"/>
            <w:noWrap/>
            <w:vAlign w:val="bottom"/>
          </w:tcPr>
          <w:p w14:paraId="2DF6982D"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13</w:t>
            </w:r>
          </w:p>
        </w:tc>
      </w:tr>
      <w:tr w:rsidR="006C3C88" w:rsidRPr="006C3C88" w14:paraId="5A8E4A91" w14:textId="77777777" w:rsidTr="006C3C88">
        <w:trPr>
          <w:trHeight w:val="270"/>
        </w:trPr>
        <w:tc>
          <w:tcPr>
            <w:tcW w:w="2175" w:type="dxa"/>
            <w:tcBorders>
              <w:top w:val="nil"/>
              <w:left w:val="single" w:sz="8" w:space="0" w:color="auto"/>
              <w:bottom w:val="nil"/>
              <w:right w:val="single" w:sz="8" w:space="0" w:color="auto"/>
            </w:tcBorders>
            <w:shd w:val="clear" w:color="auto" w:fill="auto"/>
            <w:noWrap/>
            <w:vAlign w:val="bottom"/>
          </w:tcPr>
          <w:p w14:paraId="630E1BD8" w14:textId="77777777" w:rsidR="006C3C88" w:rsidRPr="006C3C88" w:rsidRDefault="006C3C88" w:rsidP="006C3C88">
            <w:pPr>
              <w:spacing w:after="0" w:line="240" w:lineRule="auto"/>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 xml:space="preserve">  Vrbovce                            </w:t>
            </w:r>
          </w:p>
        </w:tc>
        <w:tc>
          <w:tcPr>
            <w:tcW w:w="1400" w:type="dxa"/>
            <w:tcBorders>
              <w:top w:val="nil"/>
              <w:left w:val="nil"/>
              <w:bottom w:val="nil"/>
              <w:right w:val="single" w:sz="4" w:space="0" w:color="auto"/>
            </w:tcBorders>
            <w:shd w:val="clear" w:color="auto" w:fill="auto"/>
            <w:noWrap/>
            <w:vAlign w:val="bottom"/>
          </w:tcPr>
          <w:p w14:paraId="2F4F2701" w14:textId="77777777" w:rsidR="006C3C88" w:rsidRPr="006C3C88" w:rsidRDefault="006C3C88" w:rsidP="00500EC2">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11</w:t>
            </w:r>
            <w:r w:rsidR="00500EC2">
              <w:rPr>
                <w:rFonts w:ascii="Times New Roman" w:eastAsia="Times New Roman" w:hAnsi="Times New Roman" w:cs="Times New Roman"/>
                <w:sz w:val="20"/>
                <w:szCs w:val="20"/>
                <w:lang w:eastAsia="cs-CZ"/>
              </w:rPr>
              <w:t>0</w:t>
            </w:r>
          </w:p>
        </w:tc>
        <w:tc>
          <w:tcPr>
            <w:tcW w:w="940" w:type="dxa"/>
            <w:tcBorders>
              <w:top w:val="nil"/>
              <w:left w:val="nil"/>
              <w:bottom w:val="nil"/>
              <w:right w:val="single" w:sz="4" w:space="0" w:color="auto"/>
            </w:tcBorders>
            <w:shd w:val="clear" w:color="auto" w:fill="auto"/>
            <w:noWrap/>
            <w:vAlign w:val="bottom"/>
          </w:tcPr>
          <w:p w14:paraId="0A981CAB"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3</w:t>
            </w:r>
          </w:p>
        </w:tc>
        <w:tc>
          <w:tcPr>
            <w:tcW w:w="900" w:type="dxa"/>
            <w:tcBorders>
              <w:top w:val="nil"/>
              <w:left w:val="nil"/>
              <w:bottom w:val="nil"/>
              <w:right w:val="single" w:sz="4" w:space="0" w:color="auto"/>
            </w:tcBorders>
            <w:shd w:val="clear" w:color="auto" w:fill="auto"/>
            <w:noWrap/>
            <w:vAlign w:val="bottom"/>
          </w:tcPr>
          <w:p w14:paraId="089094A8"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880" w:type="dxa"/>
            <w:tcBorders>
              <w:top w:val="nil"/>
              <w:left w:val="nil"/>
              <w:bottom w:val="nil"/>
              <w:right w:val="single" w:sz="4" w:space="0" w:color="auto"/>
            </w:tcBorders>
            <w:shd w:val="clear" w:color="auto" w:fill="auto"/>
            <w:noWrap/>
            <w:vAlign w:val="bottom"/>
          </w:tcPr>
          <w:p w14:paraId="2DA39DEA" w14:textId="77777777" w:rsidR="006C3C88" w:rsidRPr="006C3C88" w:rsidRDefault="006C3C88" w:rsidP="006C3C88">
            <w:pPr>
              <w:spacing w:after="0" w:line="240" w:lineRule="auto"/>
              <w:jc w:val="right"/>
              <w:rPr>
                <w:rFonts w:ascii="Times New Roman" w:eastAsia="Times New Roman" w:hAnsi="Times New Roman" w:cs="Times New Roman"/>
                <w:sz w:val="20"/>
                <w:szCs w:val="20"/>
                <w:lang w:eastAsia="cs-CZ"/>
              </w:rPr>
            </w:pPr>
            <w:r w:rsidRPr="006C3C88">
              <w:rPr>
                <w:rFonts w:ascii="Times New Roman" w:eastAsia="Times New Roman" w:hAnsi="Times New Roman" w:cs="Times New Roman"/>
                <w:sz w:val="20"/>
                <w:szCs w:val="20"/>
                <w:lang w:eastAsia="cs-CZ"/>
              </w:rPr>
              <w:t>0</w:t>
            </w:r>
          </w:p>
        </w:tc>
        <w:tc>
          <w:tcPr>
            <w:tcW w:w="1500" w:type="dxa"/>
            <w:tcBorders>
              <w:top w:val="nil"/>
              <w:left w:val="nil"/>
              <w:bottom w:val="nil"/>
              <w:right w:val="single" w:sz="8" w:space="0" w:color="auto"/>
            </w:tcBorders>
            <w:shd w:val="clear" w:color="auto" w:fill="auto"/>
            <w:noWrap/>
            <w:vAlign w:val="bottom"/>
          </w:tcPr>
          <w:p w14:paraId="78EDEC47" w14:textId="77777777" w:rsidR="006C3C88" w:rsidRPr="006C3C88" w:rsidRDefault="00500EC2" w:rsidP="006C3C88">
            <w:pPr>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113</w:t>
            </w:r>
          </w:p>
        </w:tc>
      </w:tr>
      <w:tr w:rsidR="006C3C88" w:rsidRPr="006C3C88" w14:paraId="309B9EAD" w14:textId="77777777" w:rsidTr="006C3C88">
        <w:trPr>
          <w:trHeight w:val="270"/>
        </w:trPr>
        <w:tc>
          <w:tcPr>
            <w:tcW w:w="217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FCF705F" w14:textId="77777777" w:rsidR="006C3C88" w:rsidRPr="006C3C88" w:rsidRDefault="006C3C88" w:rsidP="006C3C88">
            <w:pPr>
              <w:spacing w:after="0" w:line="240" w:lineRule="auto"/>
              <w:rPr>
                <w:rFonts w:ascii="Times New Roman" w:eastAsia="Times New Roman" w:hAnsi="Times New Roman" w:cs="Times New Roman"/>
                <w:b/>
                <w:bCs/>
                <w:sz w:val="20"/>
                <w:szCs w:val="20"/>
                <w:lang w:eastAsia="cs-CZ"/>
              </w:rPr>
            </w:pPr>
            <w:r w:rsidRPr="006C3C88">
              <w:rPr>
                <w:rFonts w:ascii="Times New Roman" w:eastAsia="Times New Roman" w:hAnsi="Times New Roman" w:cs="Times New Roman"/>
                <w:b/>
                <w:bCs/>
                <w:sz w:val="20"/>
                <w:szCs w:val="20"/>
                <w:lang w:eastAsia="cs-CZ"/>
              </w:rPr>
              <w:t>Kopaničiarsky región</w:t>
            </w:r>
          </w:p>
        </w:tc>
        <w:tc>
          <w:tcPr>
            <w:tcW w:w="1400" w:type="dxa"/>
            <w:tcBorders>
              <w:top w:val="single" w:sz="8" w:space="0" w:color="auto"/>
              <w:left w:val="nil"/>
              <w:bottom w:val="single" w:sz="8" w:space="0" w:color="auto"/>
              <w:right w:val="single" w:sz="4" w:space="0" w:color="auto"/>
            </w:tcBorders>
            <w:shd w:val="clear" w:color="auto" w:fill="auto"/>
            <w:noWrap/>
            <w:vAlign w:val="bottom"/>
          </w:tcPr>
          <w:p w14:paraId="7416C23A" w14:textId="77777777" w:rsidR="006C3C88" w:rsidRPr="006C3C88" w:rsidRDefault="00CA519E" w:rsidP="006C3C88">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3 401</w:t>
            </w:r>
          </w:p>
        </w:tc>
        <w:tc>
          <w:tcPr>
            <w:tcW w:w="940" w:type="dxa"/>
            <w:tcBorders>
              <w:top w:val="single" w:sz="8" w:space="0" w:color="auto"/>
              <w:left w:val="nil"/>
              <w:bottom w:val="single" w:sz="8" w:space="0" w:color="auto"/>
              <w:right w:val="single" w:sz="4" w:space="0" w:color="auto"/>
            </w:tcBorders>
            <w:shd w:val="clear" w:color="auto" w:fill="auto"/>
            <w:noWrap/>
            <w:vAlign w:val="bottom"/>
          </w:tcPr>
          <w:p w14:paraId="2826237B" w14:textId="77777777" w:rsidR="006C3C88" w:rsidRPr="006C3C88" w:rsidRDefault="00CA519E" w:rsidP="006C3C88">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320</w:t>
            </w:r>
          </w:p>
        </w:tc>
        <w:tc>
          <w:tcPr>
            <w:tcW w:w="900" w:type="dxa"/>
            <w:tcBorders>
              <w:top w:val="single" w:sz="8" w:space="0" w:color="auto"/>
              <w:left w:val="nil"/>
              <w:bottom w:val="single" w:sz="8" w:space="0" w:color="auto"/>
              <w:right w:val="single" w:sz="4" w:space="0" w:color="auto"/>
            </w:tcBorders>
            <w:shd w:val="clear" w:color="auto" w:fill="auto"/>
            <w:noWrap/>
            <w:vAlign w:val="bottom"/>
          </w:tcPr>
          <w:p w14:paraId="5A2BFBA0" w14:textId="77777777" w:rsidR="006C3C88" w:rsidRPr="006C3C88" w:rsidRDefault="006C3C88" w:rsidP="00CA519E">
            <w:pPr>
              <w:spacing w:after="0" w:line="240" w:lineRule="auto"/>
              <w:jc w:val="right"/>
              <w:rPr>
                <w:rFonts w:ascii="Times New Roman" w:eastAsia="Times New Roman" w:hAnsi="Times New Roman" w:cs="Times New Roman"/>
                <w:b/>
                <w:sz w:val="20"/>
                <w:szCs w:val="20"/>
                <w:lang w:eastAsia="cs-CZ"/>
              </w:rPr>
            </w:pPr>
            <w:r w:rsidRPr="006C3C88">
              <w:rPr>
                <w:rFonts w:ascii="Times New Roman" w:eastAsia="Times New Roman" w:hAnsi="Times New Roman" w:cs="Times New Roman"/>
                <w:b/>
                <w:sz w:val="20"/>
                <w:szCs w:val="20"/>
                <w:lang w:eastAsia="cs-CZ"/>
              </w:rPr>
              <w:t>10</w:t>
            </w:r>
            <w:r w:rsidR="00CA519E">
              <w:rPr>
                <w:rFonts w:ascii="Times New Roman" w:eastAsia="Times New Roman" w:hAnsi="Times New Roman" w:cs="Times New Roman"/>
                <w:b/>
                <w:sz w:val="20"/>
                <w:szCs w:val="20"/>
                <w:lang w:eastAsia="cs-CZ"/>
              </w:rPr>
              <w:t>8</w:t>
            </w:r>
          </w:p>
        </w:tc>
        <w:tc>
          <w:tcPr>
            <w:tcW w:w="880" w:type="dxa"/>
            <w:tcBorders>
              <w:top w:val="single" w:sz="8" w:space="0" w:color="auto"/>
              <w:left w:val="nil"/>
              <w:bottom w:val="single" w:sz="8" w:space="0" w:color="auto"/>
              <w:right w:val="single" w:sz="4" w:space="0" w:color="auto"/>
            </w:tcBorders>
            <w:shd w:val="clear" w:color="auto" w:fill="auto"/>
            <w:noWrap/>
            <w:vAlign w:val="bottom"/>
          </w:tcPr>
          <w:p w14:paraId="64611013" w14:textId="77777777" w:rsidR="006C3C88" w:rsidRPr="006C3C88" w:rsidRDefault="00CA519E" w:rsidP="00CA519E">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8</w:t>
            </w:r>
          </w:p>
        </w:tc>
        <w:tc>
          <w:tcPr>
            <w:tcW w:w="1500" w:type="dxa"/>
            <w:tcBorders>
              <w:top w:val="single" w:sz="8" w:space="0" w:color="auto"/>
              <w:left w:val="nil"/>
              <w:bottom w:val="single" w:sz="8" w:space="0" w:color="auto"/>
              <w:right w:val="single" w:sz="8" w:space="0" w:color="auto"/>
            </w:tcBorders>
            <w:shd w:val="clear" w:color="auto" w:fill="auto"/>
            <w:noWrap/>
            <w:vAlign w:val="bottom"/>
          </w:tcPr>
          <w:p w14:paraId="7AB298C4" w14:textId="77777777" w:rsidR="006C3C88" w:rsidRPr="006C3C88" w:rsidRDefault="00812C47" w:rsidP="006C3C88">
            <w:pPr>
              <w:spacing w:after="0" w:line="240" w:lineRule="auto"/>
              <w:jc w:val="right"/>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3837</w:t>
            </w:r>
          </w:p>
        </w:tc>
      </w:tr>
    </w:tbl>
    <w:p w14:paraId="5D2315E8" w14:textId="77777777" w:rsidR="002D7DC8" w:rsidRDefault="002D7DC8" w:rsidP="00EC62F5">
      <w:pPr>
        <w:spacing w:before="120" w:after="0" w:line="360" w:lineRule="auto"/>
        <w:jc w:val="both"/>
        <w:rPr>
          <w:rFonts w:ascii="Times New Roman" w:hAnsi="Times New Roman" w:cs="Times New Roman"/>
          <w:sz w:val="24"/>
          <w:szCs w:val="24"/>
        </w:rPr>
      </w:pPr>
    </w:p>
    <w:p w14:paraId="260C54ED" w14:textId="77777777" w:rsidR="00EC62F5" w:rsidRPr="00EC62F5" w:rsidRDefault="002D7DC8"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Silné budovanie priemyslu v období socializmu zanechalo stopy ešte aj na dnešnej štruktúre podnikov v regióne. Vývoj zamestnanosti v regióne ovplyvnil najmä rozpad najväčších zamestnávateľov: Slovenská armatúrka Myjava, CHIRANA-PREMA Stará Turá a Pružinárne a strojárne Brezová pod Bradlom, pričom v ich areáli vzniklo množstvo menších firiem. Najväčšími zamestnávateľmi (z hľadiska celkového počtu zamestnancov) sú práve podniky z priemyslu, či už ide o výrobu kovov, výrobu strojov a zariadení, výrobu ostatných nekovových minerálnych výrobkov, výrobu zdravotníckych, presných a optických prístrojov, hodín a hodiniek, výrobu plastov a plastových výrobkov, výrobu nábytku a ďalšie odvetvia. </w:t>
      </w:r>
    </w:p>
    <w:p w14:paraId="4222D44D" w14:textId="77777777" w:rsidR="00EC62F5" w:rsidRPr="00EC62F5" w:rsidRDefault="002D7DC8"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Obyvatelia Kopaničiarskeho regiónu po regresií priemyslu v regióne v druhej polovici 90-tych rokov 20. stor. si začali hľadať prácu v blízkom okolí, kde bola situácia v možnosti </w:t>
      </w:r>
      <w:r w:rsidR="00EC62F5" w:rsidRPr="00EC62F5">
        <w:rPr>
          <w:rFonts w:ascii="Times New Roman" w:hAnsi="Times New Roman" w:cs="Times New Roman"/>
          <w:sz w:val="24"/>
          <w:szCs w:val="24"/>
        </w:rPr>
        <w:lastRenderedPageBreak/>
        <w:t xml:space="preserve">zamestnať sa lepšia. Išlo hlavne o mestá Senica, Skalica a Nové Mesto nad Váhom. V týchto mestách zároveň pôsobia aj veľké podniky, v ktorých pracovalo a ešte stále pracuje značný počet obyvateľov regiónu, aj keď sa ich počty pomaly znižujú, vzhľadom na výrazne zlepšenie situácie v oblasti zamestnania sa priamo v regióne. V Senici je to najmä firma Delphi Slovensko, s.r.o., Senica – výrobca autokabeláže, v Skalici zase Ina Skalica spol. s r.o. – výrobca ložísk a v Novom Meste nad Váhom najmä firma Emerson Electric Slovakia, s.r.o.- výrobca elektromotorov a komponentov do bielej techniky a </w:t>
      </w:r>
      <w:r w:rsidR="00500EC2">
        <w:rPr>
          <w:rFonts w:ascii="Times New Roman" w:hAnsi="Times New Roman" w:cs="Times New Roman"/>
          <w:sz w:val="24"/>
          <w:szCs w:val="24"/>
        </w:rPr>
        <w:t>Hella</w:t>
      </w:r>
      <w:r w:rsidR="00500EC2"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 výrobca </w:t>
      </w:r>
      <w:r w:rsidR="00500EC2">
        <w:rPr>
          <w:rFonts w:ascii="Times New Roman" w:hAnsi="Times New Roman" w:cs="Times New Roman"/>
          <w:sz w:val="24"/>
          <w:szCs w:val="24"/>
        </w:rPr>
        <w:t xml:space="preserve">svietidiel pre </w:t>
      </w:r>
      <w:r w:rsidR="00EC62F5" w:rsidRPr="00EC62F5">
        <w:rPr>
          <w:rFonts w:ascii="Times New Roman" w:hAnsi="Times New Roman" w:cs="Times New Roman"/>
          <w:sz w:val="24"/>
          <w:szCs w:val="24"/>
        </w:rPr>
        <w:t>automobilov</w:t>
      </w:r>
      <w:r w:rsidR="00500EC2">
        <w:rPr>
          <w:rFonts w:ascii="Times New Roman" w:hAnsi="Times New Roman" w:cs="Times New Roman"/>
          <w:sz w:val="24"/>
          <w:szCs w:val="24"/>
        </w:rPr>
        <w:t>ý</w:t>
      </w:r>
      <w:r w:rsidR="00EC62F5" w:rsidRPr="00EC62F5">
        <w:rPr>
          <w:rFonts w:ascii="Times New Roman" w:hAnsi="Times New Roman" w:cs="Times New Roman"/>
          <w:sz w:val="24"/>
          <w:szCs w:val="24"/>
        </w:rPr>
        <w:t xml:space="preserve"> priemys</w:t>
      </w:r>
      <w:r w:rsidR="00500EC2">
        <w:rPr>
          <w:rFonts w:ascii="Times New Roman" w:hAnsi="Times New Roman" w:cs="Times New Roman"/>
          <w:sz w:val="24"/>
          <w:szCs w:val="24"/>
        </w:rPr>
        <w:t>e</w:t>
      </w:r>
      <w:r w:rsidR="00EC62F5" w:rsidRPr="00EC62F5">
        <w:rPr>
          <w:rFonts w:ascii="Times New Roman" w:hAnsi="Times New Roman" w:cs="Times New Roman"/>
          <w:sz w:val="24"/>
          <w:szCs w:val="24"/>
        </w:rPr>
        <w:t xml:space="preserve">l. </w:t>
      </w:r>
    </w:p>
    <w:p w14:paraId="4D375D65" w14:textId="77777777" w:rsidR="002D7DC8" w:rsidRDefault="002D7DC8" w:rsidP="002D7DC8">
      <w:pPr>
        <w:spacing w:after="0" w:line="360" w:lineRule="auto"/>
        <w:jc w:val="both"/>
        <w:rPr>
          <w:rFonts w:ascii="Times New Roman" w:hAnsi="Times New Roman" w:cs="Times New Roman"/>
          <w:sz w:val="24"/>
          <w:szCs w:val="24"/>
        </w:rPr>
      </w:pPr>
    </w:p>
    <w:p w14:paraId="6006DA36" w14:textId="77777777" w:rsidR="00EC62F5" w:rsidRPr="004469C4" w:rsidRDefault="00EC62F5" w:rsidP="002D7DC8">
      <w:pPr>
        <w:spacing w:after="0" w:line="360" w:lineRule="auto"/>
        <w:jc w:val="both"/>
        <w:rPr>
          <w:rFonts w:ascii="Times New Roman" w:hAnsi="Times New Roman" w:cs="Times New Roman"/>
          <w:b/>
          <w:i/>
          <w:sz w:val="24"/>
          <w:szCs w:val="24"/>
        </w:rPr>
      </w:pPr>
      <w:r w:rsidRPr="004469C4">
        <w:rPr>
          <w:rFonts w:ascii="Times New Roman" w:hAnsi="Times New Roman" w:cs="Times New Roman"/>
          <w:b/>
          <w:i/>
          <w:sz w:val="24"/>
          <w:szCs w:val="24"/>
        </w:rPr>
        <w:t>Podnikateľské zázemie</w:t>
      </w:r>
    </w:p>
    <w:p w14:paraId="01EE2063" w14:textId="77777777" w:rsidR="00EC62F5" w:rsidRPr="00EC62F5" w:rsidRDefault="002D7DC8"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Kopaničiarskom regióne sú vytvorené vhodné podmienky pre kvalitné podnikateľské zázemie. Týka sa to nielen podpory od jednotlivých obcí, či miest v rôznych sférach, ale aj kvality a množstva služieb pre ich rozvoj. Dôležitou súčasťou pre takéto zázemie je aj prítomnosť subjektov pôsobiacich najmä vo finančnej sfére, konkrétne prítomnosť bánk a podobných inštitúcií. </w:t>
      </w:r>
    </w:p>
    <w:p w14:paraId="275D367B" w14:textId="77777777" w:rsidR="00EC62F5" w:rsidRPr="00EC62F5" w:rsidRDefault="002D7DC8"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Kopaničiarskom regióne </w:t>
      </w:r>
      <w:r w:rsidR="003B6A61">
        <w:rPr>
          <w:rFonts w:ascii="Times New Roman" w:hAnsi="Times New Roman" w:cs="Times New Roman"/>
          <w:sz w:val="24"/>
          <w:szCs w:val="24"/>
        </w:rPr>
        <w:t xml:space="preserve">k </w:t>
      </w:r>
      <w:r w:rsidR="00EC62F5" w:rsidRPr="00ED06AF">
        <w:rPr>
          <w:rFonts w:ascii="Times New Roman" w:hAnsi="Times New Roman" w:cs="Times New Roman"/>
          <w:sz w:val="24"/>
          <w:szCs w:val="24"/>
        </w:rPr>
        <w:t>3</w:t>
      </w:r>
      <w:r w:rsidR="003B6A61">
        <w:rPr>
          <w:rFonts w:ascii="Times New Roman" w:hAnsi="Times New Roman" w:cs="Times New Roman"/>
          <w:sz w:val="24"/>
          <w:szCs w:val="24"/>
        </w:rPr>
        <w:t>1</w:t>
      </w:r>
      <w:r w:rsidR="00EC62F5" w:rsidRPr="00ED06AF">
        <w:rPr>
          <w:rFonts w:ascii="Times New Roman" w:hAnsi="Times New Roman" w:cs="Times New Roman"/>
          <w:sz w:val="24"/>
          <w:szCs w:val="24"/>
        </w:rPr>
        <w:t>.1</w:t>
      </w:r>
      <w:r w:rsidR="003B6A61">
        <w:rPr>
          <w:rFonts w:ascii="Times New Roman" w:hAnsi="Times New Roman" w:cs="Times New Roman"/>
          <w:sz w:val="24"/>
          <w:szCs w:val="24"/>
        </w:rPr>
        <w:t>2</w:t>
      </w:r>
      <w:r w:rsidR="00EC62F5" w:rsidRPr="00ED06AF">
        <w:rPr>
          <w:rFonts w:ascii="Times New Roman" w:hAnsi="Times New Roman" w:cs="Times New Roman"/>
          <w:sz w:val="24"/>
          <w:szCs w:val="24"/>
        </w:rPr>
        <w:t>.20</w:t>
      </w:r>
      <w:r w:rsidR="003B6A61">
        <w:rPr>
          <w:rFonts w:ascii="Times New Roman" w:hAnsi="Times New Roman" w:cs="Times New Roman"/>
          <w:sz w:val="24"/>
          <w:szCs w:val="24"/>
        </w:rPr>
        <w:t>14</w:t>
      </w:r>
      <w:r w:rsidR="00EC62F5" w:rsidRPr="00ED06AF">
        <w:rPr>
          <w:rFonts w:ascii="Times New Roman" w:hAnsi="Times New Roman" w:cs="Times New Roman"/>
          <w:sz w:val="24"/>
          <w:szCs w:val="24"/>
        </w:rPr>
        <w:t xml:space="preserve"> </w:t>
      </w:r>
      <w:r w:rsidR="003B6A61" w:rsidRPr="00EC62F5">
        <w:rPr>
          <w:rFonts w:ascii="Times New Roman" w:hAnsi="Times New Roman" w:cs="Times New Roman"/>
          <w:sz w:val="24"/>
          <w:szCs w:val="24"/>
        </w:rPr>
        <w:t xml:space="preserve">pôsobilo </w:t>
      </w:r>
      <w:r w:rsidR="00EC62F5" w:rsidRPr="00ED06AF">
        <w:rPr>
          <w:rFonts w:ascii="Times New Roman" w:hAnsi="Times New Roman" w:cs="Times New Roman"/>
          <w:sz w:val="24"/>
          <w:szCs w:val="24"/>
        </w:rPr>
        <w:t>10</w:t>
      </w:r>
      <w:r w:rsidR="003B6A61">
        <w:rPr>
          <w:rFonts w:ascii="Times New Roman" w:hAnsi="Times New Roman" w:cs="Times New Roman"/>
          <w:sz w:val="24"/>
          <w:szCs w:val="24"/>
        </w:rPr>
        <w:t xml:space="preserve"> </w:t>
      </w:r>
      <w:r w:rsidR="003B6A61" w:rsidRPr="003B6A61">
        <w:rPr>
          <w:rFonts w:ascii="Times New Roman" w:hAnsi="Times New Roman" w:cs="Times New Roman"/>
          <w:sz w:val="24"/>
          <w:szCs w:val="24"/>
        </w:rPr>
        <w:t>komerčných bánk</w:t>
      </w:r>
      <w:r w:rsidR="00EC62F5" w:rsidRPr="00ED06AF">
        <w:rPr>
          <w:rFonts w:ascii="Times New Roman" w:hAnsi="Times New Roman" w:cs="Times New Roman"/>
          <w:sz w:val="24"/>
          <w:szCs w:val="24"/>
        </w:rPr>
        <w:t>. Všetky tieto banky majú sídla v mestách Kopaničiarskeho regiónu – Myjava 6 (Slovenská</w:t>
      </w:r>
      <w:r w:rsidR="00EC62F5" w:rsidRPr="00EC62F5">
        <w:rPr>
          <w:rFonts w:ascii="Times New Roman" w:hAnsi="Times New Roman" w:cs="Times New Roman"/>
          <w:sz w:val="24"/>
          <w:szCs w:val="24"/>
        </w:rPr>
        <w:t xml:space="preserve"> sporiteľňa, a.s., Všeobecná úverová banka, a.s., Tatrabanka, Dexia banka Slovensko, a.s., Československá obchodná banka, a.s., UniCredit Bank Slovakia a.s.), Stará Turá 2 (Slovenská sporiteľňa, a.s., Všeobecná úverová banka, a.s.) a Brezová pod Bradlom (Slovenská sporiteľňa, a.s., Dexia banka Slovensko, a.s.). </w:t>
      </w:r>
    </w:p>
    <w:p w14:paraId="3DFFCF39" w14:textId="77777777" w:rsidR="00EC62F5" w:rsidRPr="00EC62F5" w:rsidRDefault="002D7DC8" w:rsidP="002D7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Okrem bánk sa nachádzajú v Kopaničiarskom regióne aj komerčné poisťovne, agentúrne kancelárie a niekoľko desiatok podnikateľov pôsobiacich v oblasti poisťovníctva a poradenstva. Títo sa však už nesústreďujú iba v samotných mestách, ale aj vo vidieckych obciach. </w:t>
      </w:r>
    </w:p>
    <w:p w14:paraId="19BD9394" w14:textId="77777777" w:rsidR="00083C34" w:rsidRDefault="00083C34" w:rsidP="00083C34">
      <w:pPr>
        <w:spacing w:after="0" w:line="360" w:lineRule="auto"/>
        <w:jc w:val="both"/>
        <w:rPr>
          <w:rFonts w:ascii="Times New Roman" w:hAnsi="Times New Roman" w:cs="Times New Roman"/>
          <w:b/>
          <w:i/>
          <w:sz w:val="24"/>
          <w:szCs w:val="24"/>
        </w:rPr>
      </w:pPr>
    </w:p>
    <w:p w14:paraId="18D34E63" w14:textId="77777777" w:rsidR="00EC62F5" w:rsidRPr="004469C4" w:rsidRDefault="00EC62F5" w:rsidP="00083C34">
      <w:pPr>
        <w:spacing w:after="0" w:line="360" w:lineRule="auto"/>
        <w:jc w:val="both"/>
        <w:rPr>
          <w:rFonts w:ascii="Times New Roman" w:hAnsi="Times New Roman" w:cs="Times New Roman"/>
          <w:b/>
          <w:i/>
          <w:sz w:val="24"/>
          <w:szCs w:val="24"/>
        </w:rPr>
      </w:pPr>
      <w:r w:rsidRPr="004469C4">
        <w:rPr>
          <w:rFonts w:ascii="Times New Roman" w:hAnsi="Times New Roman" w:cs="Times New Roman"/>
          <w:b/>
          <w:i/>
          <w:sz w:val="24"/>
          <w:szCs w:val="24"/>
        </w:rPr>
        <w:t xml:space="preserve">Prieskum zdrojov cestovného ruchu </w:t>
      </w:r>
    </w:p>
    <w:p w14:paraId="7D72F996" w14:textId="77777777" w:rsidR="00EC62F5" w:rsidRPr="00EC62F5" w:rsidRDefault="00083C34" w:rsidP="00083C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Kopaničiarsky región je územím s dobrým potenciálom pre cestovný ruch a jeho neustály rozvoj. Niektoré vybrané zariadenia infraštruktúry cestovného ruchu sú </w:t>
      </w:r>
      <w:r w:rsidR="00EC62F5" w:rsidRPr="009663F2">
        <w:rPr>
          <w:rFonts w:ascii="Times New Roman" w:hAnsi="Times New Roman" w:cs="Times New Roman"/>
          <w:sz w:val="24"/>
          <w:szCs w:val="24"/>
        </w:rPr>
        <w:t>popísané v kapitole 2.5 v časti „Vybavenosť územia infraštruktúrou“.</w:t>
      </w:r>
      <w:r w:rsidR="00EC62F5" w:rsidRPr="00EC62F5">
        <w:rPr>
          <w:rFonts w:ascii="Times New Roman" w:hAnsi="Times New Roman" w:cs="Times New Roman"/>
          <w:sz w:val="24"/>
          <w:szCs w:val="24"/>
        </w:rPr>
        <w:t xml:space="preserve"> </w:t>
      </w:r>
    </w:p>
    <w:p w14:paraId="3EDDF697" w14:textId="77777777" w:rsidR="00EC62F5" w:rsidRPr="00EC62F5" w:rsidRDefault="001D46A4" w:rsidP="001D46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V rámci ubytovacích kapacít Kopaničiarsky región disponuje sieťou zariadení rôzneho typu, počnúc hotelmi, penziónmi, ubytovňami a</w:t>
      </w:r>
      <w:r w:rsidR="00ED06AF">
        <w:rPr>
          <w:rFonts w:ascii="Times New Roman" w:hAnsi="Times New Roman" w:cs="Times New Roman"/>
          <w:sz w:val="24"/>
          <w:szCs w:val="24"/>
        </w:rPr>
        <w:t> </w:t>
      </w:r>
      <w:r w:rsidR="00EC62F5" w:rsidRPr="00EC62F5">
        <w:rPr>
          <w:rFonts w:ascii="Times New Roman" w:hAnsi="Times New Roman" w:cs="Times New Roman"/>
          <w:sz w:val="24"/>
          <w:szCs w:val="24"/>
        </w:rPr>
        <w:t>pod</w:t>
      </w:r>
      <w:r w:rsidR="00ED06AF">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Najvyššou kategóriou poskytujúcou spravidla najväčší počet služieb sú hotely, ktorých je v regióne 6 a disponujú kapacitou 493 </w:t>
      </w:r>
      <w:r w:rsidR="00EC62F5" w:rsidRPr="00EC62F5">
        <w:rPr>
          <w:rFonts w:ascii="Times New Roman" w:hAnsi="Times New Roman" w:cs="Times New Roman"/>
          <w:sz w:val="24"/>
          <w:szCs w:val="24"/>
        </w:rPr>
        <w:lastRenderedPageBreak/>
        <w:t xml:space="preserve">lôžok. V ostatnom čase pribúda v Kopaničiarskom regióne aj počet penziónov. Novopostavené penzióny častokrát kvalitou a množstvom poskytovaných služieb prevyšujú vyššie spomínané hotely.  V Kopaničiarskom regióne sa nachádza 9 takýchto penziónov, z ktorých sú takmer všetky zrekonštruované (pokiaľ nejde o novostavbu), s celkovou kapacitou 442 lôžok.   Ďalším typom ubytovacieho zariadenia sú ubytovne. Týchto sa v regióne nachádza väčší počet, čo je dôsledkom ich budovania počas socializmu, kedy boli stavané takmer v každej strediskovej obci. 8 ubytovní poskytuje návštevníkom Kopaničiarskeho regiónu kapacitu 698 lôžok, z ktorých viac ako 50 % tvoria bývalé, resp., súčasné internáty stredných škôl. Nachádza sa tu tiež množstvo chát, z ktorých však iba minimum slúži na prenájom pre návštevníkov regiónu, lebo slúžia pre súkromné účely rekreovania. 12 chát poskytujúcich ubytovacie služby pre návštevníkov regiónu disponuje kapacitou 134 lôžok. Medzi ostatné kategórie ubytovacích zariadení možno zaradiť gazdovský dvor, školu v prírode, kemping a pod. s celkovou kapacitou vyše 250 miest. </w:t>
      </w:r>
    </w:p>
    <w:p w14:paraId="6449C583" w14:textId="77777777" w:rsidR="00EC62F5" w:rsidRPr="00EC62F5" w:rsidRDefault="001D46A4" w:rsidP="001D46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V rámci regiónu ponúkajú ubytovacie služby aj </w:t>
      </w:r>
      <w:r w:rsidR="003B6A61">
        <w:rPr>
          <w:rFonts w:ascii="Times New Roman" w:hAnsi="Times New Roman" w:cs="Times New Roman"/>
          <w:sz w:val="24"/>
          <w:szCs w:val="24"/>
        </w:rPr>
        <w:t>niekoľko</w:t>
      </w:r>
      <w:r w:rsidR="00EC62F5" w:rsidRPr="00EC62F5">
        <w:rPr>
          <w:rFonts w:ascii="Times New Roman" w:hAnsi="Times New Roman" w:cs="Times New Roman"/>
          <w:sz w:val="24"/>
          <w:szCs w:val="24"/>
        </w:rPr>
        <w:t xml:space="preserve"> zariaden</w:t>
      </w:r>
      <w:r w:rsidR="003B6A61">
        <w:rPr>
          <w:rFonts w:ascii="Times New Roman" w:hAnsi="Times New Roman" w:cs="Times New Roman"/>
          <w:sz w:val="24"/>
          <w:szCs w:val="24"/>
        </w:rPr>
        <w:t>í</w:t>
      </w:r>
      <w:r w:rsidR="00EC62F5" w:rsidRPr="00EC62F5">
        <w:rPr>
          <w:rFonts w:ascii="Times New Roman" w:hAnsi="Times New Roman" w:cs="Times New Roman"/>
          <w:sz w:val="24"/>
          <w:szCs w:val="24"/>
        </w:rPr>
        <w:t xml:space="preserve"> typu ubytovania na súkromí s kapacitou </w:t>
      </w:r>
      <w:r w:rsidR="003B6A61">
        <w:rPr>
          <w:rFonts w:ascii="Times New Roman" w:hAnsi="Times New Roman" w:cs="Times New Roman"/>
          <w:sz w:val="24"/>
          <w:szCs w:val="24"/>
        </w:rPr>
        <w:t>3</w:t>
      </w:r>
      <w:r w:rsidR="00EC62F5" w:rsidRPr="00EC62F5">
        <w:rPr>
          <w:rFonts w:ascii="Times New Roman" w:hAnsi="Times New Roman" w:cs="Times New Roman"/>
          <w:sz w:val="24"/>
          <w:szCs w:val="24"/>
        </w:rPr>
        <w:t xml:space="preserve">8 lôžok. Práve </w:t>
      </w:r>
      <w:r w:rsidRPr="00EC62F5">
        <w:rPr>
          <w:rFonts w:ascii="Times New Roman" w:hAnsi="Times New Roman" w:cs="Times New Roman"/>
          <w:sz w:val="24"/>
          <w:szCs w:val="24"/>
        </w:rPr>
        <w:t>ubytovan</w:t>
      </w:r>
      <w:r>
        <w:rPr>
          <w:rFonts w:ascii="Times New Roman" w:hAnsi="Times New Roman" w:cs="Times New Roman"/>
          <w:sz w:val="24"/>
          <w:szCs w:val="24"/>
        </w:rPr>
        <w:t>ie</w:t>
      </w:r>
      <w:r w:rsidR="00EC62F5" w:rsidRPr="00EC62F5">
        <w:rPr>
          <w:rFonts w:ascii="Times New Roman" w:hAnsi="Times New Roman" w:cs="Times New Roman"/>
          <w:sz w:val="24"/>
          <w:szCs w:val="24"/>
        </w:rPr>
        <w:t xml:space="preserve"> na súkromí je typom ubytovania, ktorý v Kopaničiarskom regióne najviac chýba, ale na druhej strane má preň veľmi dobré predpoklady. Tie vychádzajú nielen z dopytu po takomto zariadení od potenciálnych turistov, ale aj reálnej situácie v domovom fonde vidieka. Z celkového počtu </w:t>
      </w:r>
      <w:r w:rsidR="008F11E4">
        <w:rPr>
          <w:rFonts w:ascii="Times New Roman" w:hAnsi="Times New Roman" w:cs="Times New Roman"/>
          <w:sz w:val="24"/>
          <w:szCs w:val="24"/>
        </w:rPr>
        <w:t>4044</w:t>
      </w:r>
      <w:r w:rsidR="008F11E4"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neobývaných rodinných domov, čo činí </w:t>
      </w:r>
      <w:r w:rsidR="008F11E4">
        <w:rPr>
          <w:rFonts w:ascii="Times New Roman" w:hAnsi="Times New Roman" w:cs="Times New Roman"/>
          <w:sz w:val="24"/>
          <w:szCs w:val="24"/>
        </w:rPr>
        <w:t>51,3</w:t>
      </w:r>
      <w:r w:rsidR="008F11E4" w:rsidRPr="00EC62F5">
        <w:rPr>
          <w:rFonts w:ascii="Times New Roman" w:hAnsi="Times New Roman" w:cs="Times New Roman"/>
          <w:sz w:val="24"/>
          <w:szCs w:val="24"/>
        </w:rPr>
        <w:t xml:space="preserve"> </w:t>
      </w:r>
      <w:r w:rsidR="00EC62F5" w:rsidRPr="00EC62F5">
        <w:rPr>
          <w:rFonts w:ascii="Times New Roman" w:hAnsi="Times New Roman" w:cs="Times New Roman"/>
          <w:sz w:val="24"/>
          <w:szCs w:val="24"/>
        </w:rPr>
        <w:t xml:space="preserve">% zo všetkých rodinných domov (tabuľka </w:t>
      </w:r>
      <w:r w:rsidR="008F11E4">
        <w:rPr>
          <w:rFonts w:ascii="Times New Roman" w:hAnsi="Times New Roman" w:cs="Times New Roman"/>
          <w:sz w:val="24"/>
          <w:szCs w:val="24"/>
        </w:rPr>
        <w:t>3.1.19</w:t>
      </w:r>
      <w:r w:rsidR="00EC62F5" w:rsidRPr="00EC62F5">
        <w:rPr>
          <w:rFonts w:ascii="Times New Roman" w:hAnsi="Times New Roman" w:cs="Times New Roman"/>
          <w:sz w:val="24"/>
          <w:szCs w:val="24"/>
        </w:rPr>
        <w:t xml:space="preserve">.) je až </w:t>
      </w:r>
      <w:r w:rsidR="008F11E4">
        <w:rPr>
          <w:rFonts w:ascii="Times New Roman" w:hAnsi="Times New Roman" w:cs="Times New Roman"/>
          <w:sz w:val="24"/>
          <w:szCs w:val="24"/>
        </w:rPr>
        <w:t>35,48</w:t>
      </w:r>
      <w:r w:rsidR="00EC62F5" w:rsidRPr="00EC62F5">
        <w:rPr>
          <w:rFonts w:ascii="Times New Roman" w:hAnsi="Times New Roman" w:cs="Times New Roman"/>
          <w:sz w:val="24"/>
          <w:szCs w:val="24"/>
        </w:rPr>
        <w:t xml:space="preserve"> % určených na rekreáciu. V rámci týchto neobývaných domov sa vyskytujú aj domy uvoľnené na prestavbu a neobývané domy nespôsobilé na bývanie, ktoré po stavebnej úprave môžu vytvoriť ďalšie kapacity pre účely rekreácie, alebo aj ubytovania na súkromí. </w:t>
      </w:r>
    </w:p>
    <w:p w14:paraId="7D2B1771" w14:textId="77777777" w:rsidR="00EC62F5" w:rsidRPr="00EC62F5" w:rsidRDefault="008F11E4" w:rsidP="008F11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Kopaničiarsky charakter osídlenia vytvára ideálne predpoklady na tvorbu ubytovacích kapacít v intímnom prostredí a tichu (ale tiež pre trvalé bývanie, či rekreáciu). Ide najmä o ubytovanie na súkromí v takomto prostredí, ktoré je v ostatnom čase stále viac a viac uprednostňované práve vďaka terajšiemu životnému štýlu, kedy je „útek z bežného života“ a zhonu v mestách na vidiek mnohokrát jedinou možnosťou na relaxáciu, aktívny oddych a načerpanie nových síl. Ide tu najmä o víkendové ubytovanie (okrem letných prázdnin), kedy sú tieto kapacity vyhľadávané najmä rodinami s deťmi, ale aj turistami spoznávajúcimi krásy prírody a osídlenia kopaníc. </w:t>
      </w:r>
    </w:p>
    <w:p w14:paraId="792F369E" w14:textId="77777777" w:rsidR="00EC62F5" w:rsidRPr="00EC62F5" w:rsidRDefault="008F11E4" w:rsidP="008F11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 xml:space="preserve">Nielen v týchto zariadeniach, ale aj v menších penziónoch, či poľnohospodárskych subjektoch s možnosťou diverzifikácie aktivít smerom k vytváraniu kapacít pre ubytovanie, spočíva vysoká perspektíva rozvoja infraštruktúry vidieckeho cestovného ruchu a s tým </w:t>
      </w:r>
      <w:r w:rsidR="00EC62F5" w:rsidRPr="00EC62F5">
        <w:rPr>
          <w:rFonts w:ascii="Times New Roman" w:hAnsi="Times New Roman" w:cs="Times New Roman"/>
          <w:sz w:val="24"/>
          <w:szCs w:val="24"/>
        </w:rPr>
        <w:lastRenderedPageBreak/>
        <w:t xml:space="preserve">spojený rozvoj aktivít súvisiacich v agroturistikou a vidieckou turistikou. Na kopaniciach, ktoré disponujú pestrosťou využívania krajiny, sú výborné predpoklady aj pre menšie farmy, či už zamerané na chov tradičných zvierat (oviec a hovädzieho dobytka), alebo aj na nové formy agroturistiky – hipoturistika a pod., ktoré môžu poskytnúť návštevníkom regiónu neopakovateľný zážitok z návštevy Kopaničiarskeho regiónu.  </w:t>
      </w:r>
    </w:p>
    <w:p w14:paraId="234F533F" w14:textId="77777777" w:rsidR="008F11E4" w:rsidRDefault="008F11E4" w:rsidP="008F11E4">
      <w:pPr>
        <w:spacing w:after="0" w:line="360" w:lineRule="auto"/>
        <w:jc w:val="both"/>
        <w:rPr>
          <w:rFonts w:ascii="Times New Roman" w:hAnsi="Times New Roman" w:cs="Times New Roman"/>
          <w:b/>
          <w:i/>
          <w:sz w:val="24"/>
          <w:szCs w:val="24"/>
        </w:rPr>
      </w:pPr>
    </w:p>
    <w:p w14:paraId="35395780" w14:textId="77777777" w:rsidR="00EC62F5" w:rsidRPr="004469C4" w:rsidRDefault="00EC62F5" w:rsidP="008F11E4">
      <w:pPr>
        <w:spacing w:after="0" w:line="360" w:lineRule="auto"/>
        <w:jc w:val="both"/>
        <w:rPr>
          <w:rFonts w:ascii="Times New Roman" w:hAnsi="Times New Roman" w:cs="Times New Roman"/>
          <w:b/>
          <w:i/>
          <w:sz w:val="24"/>
          <w:szCs w:val="24"/>
        </w:rPr>
      </w:pPr>
      <w:r w:rsidRPr="004469C4">
        <w:rPr>
          <w:rFonts w:ascii="Times New Roman" w:hAnsi="Times New Roman" w:cs="Times New Roman"/>
          <w:b/>
          <w:i/>
          <w:sz w:val="24"/>
          <w:szCs w:val="24"/>
        </w:rPr>
        <w:t>Zamestnanosť a nezamestnanosť – súčasná situácia a vývojové trendy v prepojení na vek a vzdelanie</w:t>
      </w:r>
    </w:p>
    <w:p w14:paraId="73DEAB81" w14:textId="77777777" w:rsidR="00EC62F5" w:rsidRDefault="003F3F1F" w:rsidP="008F11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Podľa odvetvia hospodárstva pracovalo z celkového počtu 2</w:t>
      </w:r>
      <w:r w:rsidR="003B6A61">
        <w:rPr>
          <w:rFonts w:ascii="Times New Roman" w:hAnsi="Times New Roman" w:cs="Times New Roman"/>
          <w:sz w:val="24"/>
          <w:szCs w:val="24"/>
        </w:rPr>
        <w:t>4</w:t>
      </w:r>
      <w:r w:rsidR="00EC62F5" w:rsidRPr="00EC62F5">
        <w:rPr>
          <w:rFonts w:ascii="Times New Roman" w:hAnsi="Times New Roman" w:cs="Times New Roman"/>
          <w:sz w:val="24"/>
          <w:szCs w:val="24"/>
        </w:rPr>
        <w:t xml:space="preserve"> </w:t>
      </w:r>
      <w:r w:rsidR="003B6A61">
        <w:rPr>
          <w:rFonts w:ascii="Times New Roman" w:hAnsi="Times New Roman" w:cs="Times New Roman"/>
          <w:sz w:val="24"/>
          <w:szCs w:val="24"/>
        </w:rPr>
        <w:t>8</w:t>
      </w:r>
      <w:r w:rsidR="00EC62F5" w:rsidRPr="00EC62F5">
        <w:rPr>
          <w:rFonts w:ascii="Times New Roman" w:hAnsi="Times New Roman" w:cs="Times New Roman"/>
          <w:sz w:val="24"/>
          <w:szCs w:val="24"/>
        </w:rPr>
        <w:t>05 ekonomicky aktívnych obyvateľov Kopaničiarskeho regiónu v roku 20</w:t>
      </w:r>
      <w:r w:rsidR="003B6A61">
        <w:rPr>
          <w:rFonts w:ascii="Times New Roman" w:hAnsi="Times New Roman" w:cs="Times New Roman"/>
          <w:sz w:val="24"/>
          <w:szCs w:val="24"/>
        </w:rPr>
        <w:t>14</w:t>
      </w:r>
      <w:r w:rsidR="00EC62F5" w:rsidRPr="00EC62F5">
        <w:rPr>
          <w:rFonts w:ascii="Times New Roman" w:hAnsi="Times New Roman" w:cs="Times New Roman"/>
          <w:sz w:val="24"/>
          <w:szCs w:val="24"/>
        </w:rPr>
        <w:t xml:space="preserve"> najviac v priemyselnej výrobe, a to </w:t>
      </w:r>
      <w:r w:rsidR="00BF6BBD">
        <w:rPr>
          <w:rFonts w:ascii="Times New Roman" w:hAnsi="Times New Roman" w:cs="Times New Roman"/>
          <w:sz w:val="24"/>
          <w:szCs w:val="24"/>
        </w:rPr>
        <w:t>9 1</w:t>
      </w:r>
      <w:r w:rsidR="00EC62F5" w:rsidRPr="00EC62F5">
        <w:rPr>
          <w:rFonts w:ascii="Times New Roman" w:hAnsi="Times New Roman" w:cs="Times New Roman"/>
          <w:sz w:val="24"/>
          <w:szCs w:val="24"/>
        </w:rPr>
        <w:t>34 obyvateľov, čo činí 36,19 %</w:t>
      </w:r>
      <w:r w:rsidR="00ED06AF">
        <w:rPr>
          <w:rFonts w:ascii="Times New Roman" w:hAnsi="Times New Roman" w:cs="Times New Roman"/>
          <w:sz w:val="24"/>
          <w:szCs w:val="24"/>
        </w:rPr>
        <w:t>.</w:t>
      </w:r>
      <w:r w:rsidR="00EC62F5" w:rsidRPr="00EC62F5">
        <w:rPr>
          <w:rFonts w:ascii="Times New Roman" w:hAnsi="Times New Roman" w:cs="Times New Roman"/>
          <w:sz w:val="24"/>
          <w:szCs w:val="24"/>
        </w:rPr>
        <w:t xml:space="preserve"> Nasledujú ekonomicky aktívny bez udania odvetvia 3</w:t>
      </w:r>
      <w:r w:rsidR="00BF6BBD">
        <w:rPr>
          <w:rFonts w:ascii="Times New Roman" w:hAnsi="Times New Roman" w:cs="Times New Roman"/>
          <w:sz w:val="24"/>
          <w:szCs w:val="24"/>
        </w:rPr>
        <w:t>2</w:t>
      </w:r>
      <w:r w:rsidR="00EC62F5" w:rsidRPr="00EC62F5">
        <w:rPr>
          <w:rFonts w:ascii="Times New Roman" w:hAnsi="Times New Roman" w:cs="Times New Roman"/>
          <w:sz w:val="24"/>
          <w:szCs w:val="24"/>
        </w:rPr>
        <w:t xml:space="preserve">88 obyvateľov (15,62 %), obyvatelia pracujúci vo veľkoobchode a maloobchode, oprave motorových vozidiel, motocyklov a spotrebného tovaru 2684 (11,52 %) a vo verejnej správe, obrane a povinnom sociálnom zabezpečení 1409 (6,05 %). </w:t>
      </w:r>
    </w:p>
    <w:p w14:paraId="4066642E" w14:textId="77777777" w:rsidR="003F3F1F" w:rsidRPr="003F3F1F" w:rsidRDefault="003F3F1F" w:rsidP="003F3F1F">
      <w:pPr>
        <w:spacing w:after="0"/>
        <w:jc w:val="both"/>
        <w:rPr>
          <w:rFonts w:ascii="Times New Roman" w:hAnsi="Times New Roman" w:cs="Times New Roman"/>
          <w:b/>
          <w:sz w:val="20"/>
          <w:szCs w:val="20"/>
        </w:rPr>
      </w:pPr>
      <w:r>
        <w:rPr>
          <w:rFonts w:ascii="Times New Roman" w:hAnsi="Times New Roman" w:cs="Times New Roman"/>
          <w:b/>
          <w:sz w:val="20"/>
          <w:szCs w:val="20"/>
        </w:rPr>
        <w:t>Tabuľka 3.1.27</w:t>
      </w:r>
      <w:r w:rsidRPr="003F3F1F">
        <w:rPr>
          <w:rFonts w:ascii="Times New Roman" w:hAnsi="Times New Roman" w:cs="Times New Roman"/>
          <w:b/>
          <w:sz w:val="20"/>
          <w:szCs w:val="20"/>
        </w:rPr>
        <w:t xml:space="preserve"> Bývajúce obyvateľstvo ekonomicky aktívne podľa odvetvia hospodárstva v roku </w:t>
      </w:r>
      <w:r>
        <w:rPr>
          <w:rFonts w:ascii="Times New Roman" w:hAnsi="Times New Roman" w:cs="Times New Roman"/>
          <w:b/>
          <w:sz w:val="20"/>
          <w:szCs w:val="20"/>
        </w:rPr>
        <w:t>2014</w:t>
      </w:r>
    </w:p>
    <w:tbl>
      <w:tblPr>
        <w:tblW w:w="5715" w:type="dxa"/>
        <w:tblInd w:w="65" w:type="dxa"/>
        <w:tblCellMar>
          <w:left w:w="70" w:type="dxa"/>
          <w:right w:w="70" w:type="dxa"/>
        </w:tblCellMar>
        <w:tblLook w:val="0000" w:firstRow="0" w:lastRow="0" w:firstColumn="0" w:lastColumn="0" w:noHBand="0" w:noVBand="0"/>
      </w:tblPr>
      <w:tblGrid>
        <w:gridCol w:w="4325"/>
        <w:gridCol w:w="700"/>
        <w:gridCol w:w="690"/>
      </w:tblGrid>
      <w:tr w:rsidR="00BF6BBD" w:rsidRPr="003F3F1F" w14:paraId="1565DD8E" w14:textId="77777777" w:rsidTr="00BF6BBD">
        <w:trPr>
          <w:trHeight w:val="610"/>
        </w:trPr>
        <w:tc>
          <w:tcPr>
            <w:tcW w:w="432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31E1D57" w14:textId="77777777" w:rsidR="00BF6BBD" w:rsidRPr="003F3F1F" w:rsidRDefault="00BF6BBD" w:rsidP="00BF6BBD">
            <w:pPr>
              <w:spacing w:after="0" w:line="240" w:lineRule="auto"/>
              <w:jc w:val="center"/>
              <w:rPr>
                <w:rFonts w:ascii="Times New Roman" w:eastAsia="Times New Roman" w:hAnsi="Times New Roman" w:cs="Times New Roman"/>
                <w:b/>
                <w:bCs/>
                <w:color w:val="000000"/>
                <w:sz w:val="20"/>
                <w:szCs w:val="20"/>
                <w:lang w:eastAsia="cs-CZ"/>
              </w:rPr>
            </w:pPr>
            <w:r w:rsidRPr="003F3F1F">
              <w:rPr>
                <w:rFonts w:ascii="Times New Roman" w:eastAsia="Times New Roman" w:hAnsi="Times New Roman" w:cs="Times New Roman"/>
                <w:b/>
                <w:bCs/>
                <w:color w:val="000000"/>
                <w:sz w:val="20"/>
                <w:szCs w:val="20"/>
                <w:lang w:eastAsia="cs-CZ"/>
              </w:rPr>
              <w:t>Odvetvie hospodárstva</w:t>
            </w:r>
          </w:p>
        </w:tc>
        <w:tc>
          <w:tcPr>
            <w:tcW w:w="7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586A46" w14:textId="77777777" w:rsidR="00BF6BBD" w:rsidRPr="003F3F1F" w:rsidRDefault="00BF6BBD" w:rsidP="00BF6BBD">
            <w:pPr>
              <w:spacing w:after="0" w:line="240" w:lineRule="auto"/>
              <w:jc w:val="center"/>
              <w:rPr>
                <w:rFonts w:ascii="Times New Roman" w:eastAsia="Times New Roman" w:hAnsi="Times New Roman" w:cs="Times New Roman"/>
                <w:b/>
                <w:bCs/>
                <w:color w:val="000000"/>
                <w:sz w:val="20"/>
                <w:szCs w:val="20"/>
                <w:lang w:eastAsia="cs-CZ"/>
              </w:rPr>
            </w:pPr>
            <w:r w:rsidRPr="003F3F1F">
              <w:rPr>
                <w:rFonts w:ascii="Times New Roman" w:eastAsia="Times New Roman" w:hAnsi="Times New Roman" w:cs="Times New Roman"/>
                <w:b/>
                <w:bCs/>
                <w:color w:val="000000"/>
                <w:sz w:val="20"/>
                <w:szCs w:val="20"/>
                <w:lang w:eastAsia="cs-CZ"/>
              </w:rPr>
              <w:t>Spolu</w:t>
            </w:r>
          </w:p>
        </w:tc>
        <w:tc>
          <w:tcPr>
            <w:tcW w:w="6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F1C6D6" w14:textId="77777777" w:rsidR="00BF6BBD" w:rsidRPr="003F3F1F" w:rsidRDefault="00BF6BBD" w:rsidP="00BF6BBD">
            <w:pPr>
              <w:spacing w:after="0" w:line="240" w:lineRule="auto"/>
              <w:jc w:val="center"/>
              <w:rPr>
                <w:rFonts w:ascii="Times New Roman" w:eastAsia="Times New Roman" w:hAnsi="Times New Roman" w:cs="Times New Roman"/>
                <w:b/>
                <w:bCs/>
                <w:color w:val="000000"/>
                <w:sz w:val="20"/>
                <w:szCs w:val="20"/>
                <w:lang w:eastAsia="cs-CZ"/>
              </w:rPr>
            </w:pPr>
            <w:r w:rsidRPr="003F3F1F">
              <w:rPr>
                <w:rFonts w:ascii="Times New Roman" w:eastAsia="Times New Roman" w:hAnsi="Times New Roman" w:cs="Times New Roman"/>
                <w:b/>
                <w:bCs/>
                <w:color w:val="000000"/>
                <w:sz w:val="20"/>
                <w:szCs w:val="20"/>
                <w:lang w:eastAsia="cs-CZ"/>
              </w:rPr>
              <w:t>v %</w:t>
            </w:r>
          </w:p>
        </w:tc>
      </w:tr>
      <w:tr w:rsidR="00BF6BBD" w:rsidRPr="003F3F1F" w14:paraId="67783AA3" w14:textId="77777777" w:rsidTr="00BF6BBD">
        <w:trPr>
          <w:trHeight w:val="341"/>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14:paraId="7FF153F1"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br/>
              <w:t>Poľnohospodárstvo, poľovníctvo a súvisiace služby</w:t>
            </w:r>
          </w:p>
        </w:tc>
        <w:tc>
          <w:tcPr>
            <w:tcW w:w="700" w:type="dxa"/>
            <w:tcBorders>
              <w:top w:val="nil"/>
              <w:left w:val="nil"/>
              <w:bottom w:val="single" w:sz="4" w:space="0" w:color="auto"/>
              <w:right w:val="single" w:sz="4" w:space="0" w:color="auto"/>
            </w:tcBorders>
            <w:shd w:val="clear" w:color="auto" w:fill="auto"/>
            <w:noWrap/>
            <w:vAlign w:val="bottom"/>
          </w:tcPr>
          <w:p w14:paraId="682E5011"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1 189</w:t>
            </w:r>
          </w:p>
        </w:tc>
        <w:tc>
          <w:tcPr>
            <w:tcW w:w="690" w:type="dxa"/>
            <w:tcBorders>
              <w:top w:val="nil"/>
              <w:left w:val="nil"/>
              <w:bottom w:val="single" w:sz="4" w:space="0" w:color="auto"/>
              <w:right w:val="single" w:sz="4" w:space="0" w:color="auto"/>
            </w:tcBorders>
            <w:shd w:val="clear" w:color="auto" w:fill="auto"/>
            <w:noWrap/>
            <w:vAlign w:val="bottom"/>
          </w:tcPr>
          <w:p w14:paraId="53C27E68"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3,23</w:t>
            </w:r>
          </w:p>
        </w:tc>
      </w:tr>
      <w:tr w:rsidR="00BF6BBD" w:rsidRPr="003F3F1F" w14:paraId="1E836C3B"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E7DC6"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Lesníctvo, ťažba dreva a pridružené služby</w:t>
            </w:r>
          </w:p>
        </w:tc>
        <w:tc>
          <w:tcPr>
            <w:tcW w:w="700" w:type="dxa"/>
            <w:tcBorders>
              <w:top w:val="nil"/>
              <w:left w:val="nil"/>
              <w:bottom w:val="single" w:sz="4" w:space="0" w:color="auto"/>
              <w:right w:val="single" w:sz="4" w:space="0" w:color="auto"/>
            </w:tcBorders>
            <w:shd w:val="clear" w:color="auto" w:fill="auto"/>
            <w:noWrap/>
            <w:vAlign w:val="bottom"/>
          </w:tcPr>
          <w:p w14:paraId="4BDBC063"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229</w:t>
            </w:r>
          </w:p>
        </w:tc>
        <w:tc>
          <w:tcPr>
            <w:tcW w:w="690" w:type="dxa"/>
            <w:tcBorders>
              <w:top w:val="nil"/>
              <w:left w:val="nil"/>
              <w:bottom w:val="single" w:sz="4" w:space="0" w:color="auto"/>
              <w:right w:val="single" w:sz="4" w:space="0" w:color="auto"/>
            </w:tcBorders>
            <w:shd w:val="clear" w:color="auto" w:fill="auto"/>
            <w:noWrap/>
            <w:vAlign w:val="bottom"/>
          </w:tcPr>
          <w:p w14:paraId="48707D4A"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0,91</w:t>
            </w:r>
          </w:p>
        </w:tc>
      </w:tr>
      <w:tr w:rsidR="00BF6BBD" w:rsidRPr="003F3F1F" w14:paraId="3379C9E0"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BDFF0"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Rybolov, chov rýb</w:t>
            </w:r>
          </w:p>
        </w:tc>
        <w:tc>
          <w:tcPr>
            <w:tcW w:w="700" w:type="dxa"/>
            <w:tcBorders>
              <w:top w:val="nil"/>
              <w:left w:val="nil"/>
              <w:bottom w:val="single" w:sz="4" w:space="0" w:color="auto"/>
              <w:right w:val="single" w:sz="4" w:space="0" w:color="auto"/>
            </w:tcBorders>
            <w:shd w:val="clear" w:color="auto" w:fill="auto"/>
            <w:noWrap/>
            <w:vAlign w:val="bottom"/>
          </w:tcPr>
          <w:p w14:paraId="382ABF1F"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w:t>
            </w:r>
          </w:p>
        </w:tc>
        <w:tc>
          <w:tcPr>
            <w:tcW w:w="690" w:type="dxa"/>
            <w:tcBorders>
              <w:top w:val="nil"/>
              <w:left w:val="nil"/>
              <w:bottom w:val="single" w:sz="4" w:space="0" w:color="auto"/>
              <w:right w:val="single" w:sz="4" w:space="0" w:color="auto"/>
            </w:tcBorders>
            <w:shd w:val="clear" w:color="auto" w:fill="auto"/>
            <w:noWrap/>
            <w:vAlign w:val="bottom"/>
          </w:tcPr>
          <w:p w14:paraId="5AF2E64C"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0,00</w:t>
            </w:r>
          </w:p>
        </w:tc>
      </w:tr>
      <w:tr w:rsidR="00BF6BBD" w:rsidRPr="003F3F1F" w14:paraId="0C4D01D7"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26F2A"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Ťažba nerastných surovín</w:t>
            </w:r>
          </w:p>
        </w:tc>
        <w:tc>
          <w:tcPr>
            <w:tcW w:w="700" w:type="dxa"/>
            <w:tcBorders>
              <w:top w:val="nil"/>
              <w:left w:val="nil"/>
              <w:bottom w:val="single" w:sz="4" w:space="0" w:color="auto"/>
              <w:right w:val="single" w:sz="4" w:space="0" w:color="auto"/>
            </w:tcBorders>
            <w:shd w:val="clear" w:color="auto" w:fill="auto"/>
            <w:noWrap/>
            <w:vAlign w:val="bottom"/>
          </w:tcPr>
          <w:p w14:paraId="29AF8177"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21</w:t>
            </w:r>
          </w:p>
        </w:tc>
        <w:tc>
          <w:tcPr>
            <w:tcW w:w="690" w:type="dxa"/>
            <w:tcBorders>
              <w:top w:val="nil"/>
              <w:left w:val="nil"/>
              <w:bottom w:val="single" w:sz="4" w:space="0" w:color="auto"/>
              <w:right w:val="single" w:sz="4" w:space="0" w:color="auto"/>
            </w:tcBorders>
            <w:shd w:val="clear" w:color="auto" w:fill="auto"/>
            <w:noWrap/>
            <w:vAlign w:val="bottom"/>
          </w:tcPr>
          <w:p w14:paraId="4D067896"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0,11</w:t>
            </w:r>
          </w:p>
        </w:tc>
      </w:tr>
      <w:tr w:rsidR="00BF6BBD" w:rsidRPr="003F3F1F" w14:paraId="39A8F175"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C4570"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Priemyselná výroba</w:t>
            </w:r>
          </w:p>
        </w:tc>
        <w:tc>
          <w:tcPr>
            <w:tcW w:w="700" w:type="dxa"/>
            <w:tcBorders>
              <w:top w:val="nil"/>
              <w:left w:val="nil"/>
              <w:bottom w:val="single" w:sz="4" w:space="0" w:color="auto"/>
              <w:right w:val="single" w:sz="4" w:space="0" w:color="auto"/>
            </w:tcBorders>
            <w:shd w:val="clear" w:color="auto" w:fill="auto"/>
            <w:noWrap/>
            <w:vAlign w:val="bottom"/>
          </w:tcPr>
          <w:p w14:paraId="6610933B"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8 434</w:t>
            </w:r>
          </w:p>
        </w:tc>
        <w:tc>
          <w:tcPr>
            <w:tcW w:w="690" w:type="dxa"/>
            <w:tcBorders>
              <w:top w:val="nil"/>
              <w:left w:val="nil"/>
              <w:bottom w:val="single" w:sz="4" w:space="0" w:color="auto"/>
              <w:right w:val="single" w:sz="4" w:space="0" w:color="auto"/>
            </w:tcBorders>
            <w:shd w:val="clear" w:color="auto" w:fill="auto"/>
            <w:noWrap/>
            <w:vAlign w:val="bottom"/>
          </w:tcPr>
          <w:p w14:paraId="24ED2B75"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38,66</w:t>
            </w:r>
          </w:p>
        </w:tc>
      </w:tr>
      <w:tr w:rsidR="00BF6BBD" w:rsidRPr="003F3F1F" w14:paraId="4CA67550"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3FA0F"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Výroba a rozvod elektriny, plynu a vody</w:t>
            </w:r>
          </w:p>
        </w:tc>
        <w:tc>
          <w:tcPr>
            <w:tcW w:w="700" w:type="dxa"/>
            <w:tcBorders>
              <w:top w:val="nil"/>
              <w:left w:val="nil"/>
              <w:bottom w:val="single" w:sz="4" w:space="0" w:color="auto"/>
              <w:right w:val="single" w:sz="4" w:space="0" w:color="auto"/>
            </w:tcBorders>
            <w:shd w:val="clear" w:color="auto" w:fill="auto"/>
            <w:noWrap/>
            <w:vAlign w:val="bottom"/>
          </w:tcPr>
          <w:p w14:paraId="47DCE226"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232</w:t>
            </w:r>
          </w:p>
        </w:tc>
        <w:tc>
          <w:tcPr>
            <w:tcW w:w="690" w:type="dxa"/>
            <w:tcBorders>
              <w:top w:val="nil"/>
              <w:left w:val="nil"/>
              <w:bottom w:val="single" w:sz="4" w:space="0" w:color="auto"/>
              <w:right w:val="single" w:sz="4" w:space="0" w:color="auto"/>
            </w:tcBorders>
            <w:shd w:val="clear" w:color="auto" w:fill="auto"/>
            <w:noWrap/>
            <w:vAlign w:val="bottom"/>
          </w:tcPr>
          <w:p w14:paraId="7FDC9754"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1,24</w:t>
            </w:r>
          </w:p>
        </w:tc>
      </w:tr>
      <w:tr w:rsidR="00BF6BBD" w:rsidRPr="003F3F1F" w14:paraId="406CDFD5"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F6B62"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Stavebníctvo</w:t>
            </w:r>
          </w:p>
        </w:tc>
        <w:tc>
          <w:tcPr>
            <w:tcW w:w="700" w:type="dxa"/>
            <w:tcBorders>
              <w:top w:val="nil"/>
              <w:left w:val="nil"/>
              <w:bottom w:val="single" w:sz="4" w:space="0" w:color="auto"/>
              <w:right w:val="single" w:sz="4" w:space="0" w:color="auto"/>
            </w:tcBorders>
            <w:shd w:val="clear" w:color="auto" w:fill="auto"/>
            <w:noWrap/>
            <w:vAlign w:val="bottom"/>
          </w:tcPr>
          <w:p w14:paraId="03F768F8"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689</w:t>
            </w:r>
          </w:p>
        </w:tc>
        <w:tc>
          <w:tcPr>
            <w:tcW w:w="690" w:type="dxa"/>
            <w:tcBorders>
              <w:top w:val="nil"/>
              <w:left w:val="nil"/>
              <w:bottom w:val="single" w:sz="4" w:space="0" w:color="auto"/>
              <w:right w:val="single" w:sz="4" w:space="0" w:color="auto"/>
            </w:tcBorders>
            <w:shd w:val="clear" w:color="auto" w:fill="auto"/>
            <w:noWrap/>
            <w:vAlign w:val="bottom"/>
          </w:tcPr>
          <w:p w14:paraId="4582A7D1"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4,01</w:t>
            </w:r>
          </w:p>
        </w:tc>
      </w:tr>
      <w:tr w:rsidR="00BF6BBD" w:rsidRPr="003F3F1F" w14:paraId="401E4C70" w14:textId="77777777" w:rsidTr="00BF6BBD">
        <w:trPr>
          <w:trHeight w:val="537"/>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14:paraId="2BD3BF3A"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Veľkoobchod a maloobchod, oprava motorových</w:t>
            </w:r>
            <w:r w:rsidRPr="003F3F1F">
              <w:rPr>
                <w:rFonts w:ascii="Times New Roman" w:eastAsia="Times New Roman" w:hAnsi="Times New Roman" w:cs="Times New Roman"/>
                <w:sz w:val="20"/>
                <w:szCs w:val="20"/>
                <w:lang w:eastAsia="cs-CZ"/>
              </w:rPr>
              <w:br/>
              <w:t xml:space="preserve"> vozidiel, motocyklov a spotrebného tovaru</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755BED88"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2 700</w:t>
            </w:r>
          </w:p>
        </w:tc>
        <w:tc>
          <w:tcPr>
            <w:tcW w:w="690" w:type="dxa"/>
            <w:tcBorders>
              <w:top w:val="single" w:sz="4" w:space="0" w:color="auto"/>
              <w:left w:val="nil"/>
              <w:bottom w:val="single" w:sz="4" w:space="0" w:color="auto"/>
              <w:right w:val="single" w:sz="4" w:space="0" w:color="auto"/>
            </w:tcBorders>
            <w:shd w:val="clear" w:color="auto" w:fill="auto"/>
            <w:noWrap/>
            <w:vAlign w:val="bottom"/>
          </w:tcPr>
          <w:p w14:paraId="62B475F6"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11,72</w:t>
            </w:r>
          </w:p>
        </w:tc>
      </w:tr>
      <w:tr w:rsidR="00BF6BBD" w:rsidRPr="003F3F1F" w14:paraId="3860AA99"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73801"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Hotely a reštaurácie</w:t>
            </w:r>
          </w:p>
        </w:tc>
        <w:tc>
          <w:tcPr>
            <w:tcW w:w="700" w:type="dxa"/>
            <w:tcBorders>
              <w:top w:val="nil"/>
              <w:left w:val="nil"/>
              <w:bottom w:val="single" w:sz="4" w:space="0" w:color="auto"/>
              <w:right w:val="single" w:sz="4" w:space="0" w:color="auto"/>
            </w:tcBorders>
            <w:shd w:val="clear" w:color="auto" w:fill="auto"/>
            <w:noWrap/>
            <w:vAlign w:val="bottom"/>
          </w:tcPr>
          <w:p w14:paraId="43DC7DF7"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395</w:t>
            </w:r>
          </w:p>
        </w:tc>
        <w:tc>
          <w:tcPr>
            <w:tcW w:w="690" w:type="dxa"/>
            <w:tcBorders>
              <w:top w:val="nil"/>
              <w:left w:val="nil"/>
              <w:bottom w:val="single" w:sz="4" w:space="0" w:color="auto"/>
              <w:right w:val="single" w:sz="4" w:space="0" w:color="auto"/>
            </w:tcBorders>
            <w:shd w:val="clear" w:color="auto" w:fill="auto"/>
            <w:noWrap/>
            <w:vAlign w:val="bottom"/>
          </w:tcPr>
          <w:p w14:paraId="7CD95361"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1,73</w:t>
            </w:r>
          </w:p>
        </w:tc>
      </w:tr>
      <w:tr w:rsidR="00BF6BBD" w:rsidRPr="003F3F1F" w14:paraId="6B2C835F"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D7AE2"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Doprava, skladovanie a spoje</w:t>
            </w:r>
          </w:p>
        </w:tc>
        <w:tc>
          <w:tcPr>
            <w:tcW w:w="700" w:type="dxa"/>
            <w:tcBorders>
              <w:top w:val="nil"/>
              <w:left w:val="nil"/>
              <w:bottom w:val="single" w:sz="4" w:space="0" w:color="auto"/>
              <w:right w:val="single" w:sz="4" w:space="0" w:color="auto"/>
            </w:tcBorders>
            <w:shd w:val="clear" w:color="auto" w:fill="auto"/>
            <w:noWrap/>
            <w:vAlign w:val="bottom"/>
          </w:tcPr>
          <w:p w14:paraId="3BE01EFF"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899</w:t>
            </w:r>
          </w:p>
        </w:tc>
        <w:tc>
          <w:tcPr>
            <w:tcW w:w="690" w:type="dxa"/>
            <w:tcBorders>
              <w:top w:val="nil"/>
              <w:left w:val="nil"/>
              <w:bottom w:val="single" w:sz="4" w:space="0" w:color="auto"/>
              <w:right w:val="single" w:sz="4" w:space="0" w:color="auto"/>
            </w:tcBorders>
            <w:shd w:val="clear" w:color="auto" w:fill="auto"/>
            <w:noWrap/>
            <w:vAlign w:val="bottom"/>
          </w:tcPr>
          <w:p w14:paraId="2011EFE2"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6,29</w:t>
            </w:r>
          </w:p>
        </w:tc>
      </w:tr>
      <w:tr w:rsidR="00BF6BBD" w:rsidRPr="003F3F1F" w14:paraId="4B0A2613"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8BE49"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Peňažníctvo a poisťovníctvo</w:t>
            </w:r>
          </w:p>
        </w:tc>
        <w:tc>
          <w:tcPr>
            <w:tcW w:w="700" w:type="dxa"/>
            <w:tcBorders>
              <w:top w:val="nil"/>
              <w:left w:val="nil"/>
              <w:bottom w:val="single" w:sz="4" w:space="0" w:color="auto"/>
              <w:right w:val="single" w:sz="4" w:space="0" w:color="auto"/>
            </w:tcBorders>
            <w:shd w:val="clear" w:color="auto" w:fill="auto"/>
            <w:noWrap/>
            <w:vAlign w:val="bottom"/>
          </w:tcPr>
          <w:p w14:paraId="3B68CA37"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220</w:t>
            </w:r>
          </w:p>
        </w:tc>
        <w:tc>
          <w:tcPr>
            <w:tcW w:w="690" w:type="dxa"/>
            <w:tcBorders>
              <w:top w:val="nil"/>
              <w:left w:val="nil"/>
              <w:bottom w:val="single" w:sz="4" w:space="0" w:color="auto"/>
              <w:right w:val="single" w:sz="4" w:space="0" w:color="auto"/>
            </w:tcBorders>
            <w:shd w:val="clear" w:color="auto" w:fill="auto"/>
            <w:noWrap/>
            <w:vAlign w:val="bottom"/>
          </w:tcPr>
          <w:p w14:paraId="3E2275B3"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1,40</w:t>
            </w:r>
          </w:p>
        </w:tc>
      </w:tr>
      <w:tr w:rsidR="00BF6BBD" w:rsidRPr="003F3F1F" w14:paraId="45809490" w14:textId="77777777" w:rsidTr="00BF6BBD">
        <w:trPr>
          <w:trHeight w:val="533"/>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14:paraId="5F637CC5"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Nehnuteľnosti, prenajímanie a obchodné služby,</w:t>
            </w:r>
            <w:r w:rsidRPr="003F3F1F">
              <w:rPr>
                <w:rFonts w:ascii="Times New Roman" w:eastAsia="Times New Roman" w:hAnsi="Times New Roman" w:cs="Times New Roman"/>
                <w:sz w:val="20"/>
                <w:szCs w:val="20"/>
                <w:lang w:eastAsia="cs-CZ"/>
              </w:rPr>
              <w:br/>
              <w:t xml:space="preserve"> výskum a vývoj</w:t>
            </w:r>
          </w:p>
        </w:tc>
        <w:tc>
          <w:tcPr>
            <w:tcW w:w="700" w:type="dxa"/>
            <w:tcBorders>
              <w:top w:val="nil"/>
              <w:left w:val="nil"/>
              <w:bottom w:val="single" w:sz="4" w:space="0" w:color="auto"/>
              <w:right w:val="single" w:sz="4" w:space="0" w:color="auto"/>
            </w:tcBorders>
            <w:shd w:val="clear" w:color="auto" w:fill="auto"/>
            <w:noWrap/>
            <w:vAlign w:val="bottom"/>
          </w:tcPr>
          <w:p w14:paraId="06B6718E" w14:textId="77777777" w:rsidR="00BF6BBD" w:rsidRPr="003F3F1F" w:rsidRDefault="0093774B"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602</w:t>
            </w:r>
          </w:p>
        </w:tc>
        <w:tc>
          <w:tcPr>
            <w:tcW w:w="690" w:type="dxa"/>
            <w:tcBorders>
              <w:top w:val="nil"/>
              <w:left w:val="nil"/>
              <w:bottom w:val="single" w:sz="4" w:space="0" w:color="auto"/>
              <w:right w:val="single" w:sz="4" w:space="0" w:color="auto"/>
            </w:tcBorders>
            <w:shd w:val="clear" w:color="auto" w:fill="auto"/>
            <w:noWrap/>
            <w:vAlign w:val="bottom"/>
          </w:tcPr>
          <w:p w14:paraId="202EFBDA"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3,85</w:t>
            </w:r>
          </w:p>
        </w:tc>
      </w:tr>
      <w:tr w:rsidR="00BF6BBD" w:rsidRPr="003F3F1F" w14:paraId="249871F1" w14:textId="77777777" w:rsidTr="00BF6BBD">
        <w:trPr>
          <w:trHeight w:val="526"/>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14:paraId="70D04541"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Verejná správa a obrana, povinné sociálne</w:t>
            </w:r>
            <w:r w:rsidRPr="003F3F1F">
              <w:rPr>
                <w:rFonts w:ascii="Times New Roman" w:eastAsia="Times New Roman" w:hAnsi="Times New Roman" w:cs="Times New Roman"/>
                <w:sz w:val="20"/>
                <w:szCs w:val="20"/>
                <w:lang w:eastAsia="cs-CZ"/>
              </w:rPr>
              <w:br/>
              <w:t xml:space="preserve"> zabezpečenie</w:t>
            </w:r>
          </w:p>
        </w:tc>
        <w:tc>
          <w:tcPr>
            <w:tcW w:w="700" w:type="dxa"/>
            <w:tcBorders>
              <w:top w:val="nil"/>
              <w:left w:val="nil"/>
              <w:bottom w:val="single" w:sz="4" w:space="0" w:color="auto"/>
              <w:right w:val="single" w:sz="4" w:space="0" w:color="auto"/>
            </w:tcBorders>
            <w:shd w:val="clear" w:color="auto" w:fill="auto"/>
            <w:noWrap/>
            <w:vAlign w:val="bottom"/>
          </w:tcPr>
          <w:p w14:paraId="00FDD2DE" w14:textId="77777777" w:rsidR="00BF6BBD" w:rsidRPr="003F3F1F" w:rsidRDefault="0093774B" w:rsidP="0093774B">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1 13</w:t>
            </w:r>
            <w:r w:rsidR="00BF6BBD" w:rsidRPr="003F3F1F">
              <w:rPr>
                <w:rFonts w:ascii="Times New Roman" w:eastAsia="Times New Roman" w:hAnsi="Times New Roman" w:cs="Times New Roman"/>
                <w:color w:val="000000"/>
                <w:sz w:val="20"/>
                <w:szCs w:val="20"/>
                <w:lang w:eastAsia="cs-CZ"/>
              </w:rPr>
              <w:t>9</w:t>
            </w:r>
          </w:p>
        </w:tc>
        <w:tc>
          <w:tcPr>
            <w:tcW w:w="690" w:type="dxa"/>
            <w:tcBorders>
              <w:top w:val="nil"/>
              <w:left w:val="nil"/>
              <w:bottom w:val="single" w:sz="4" w:space="0" w:color="auto"/>
              <w:right w:val="single" w:sz="4" w:space="0" w:color="auto"/>
            </w:tcBorders>
            <w:shd w:val="clear" w:color="auto" w:fill="auto"/>
            <w:noWrap/>
            <w:vAlign w:val="bottom"/>
          </w:tcPr>
          <w:p w14:paraId="248F32B1"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7,35</w:t>
            </w:r>
          </w:p>
        </w:tc>
      </w:tr>
      <w:tr w:rsidR="00BF6BBD" w:rsidRPr="003F3F1F" w14:paraId="7443ED10"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7EE07"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Školstvo</w:t>
            </w:r>
          </w:p>
        </w:tc>
        <w:tc>
          <w:tcPr>
            <w:tcW w:w="700" w:type="dxa"/>
            <w:tcBorders>
              <w:top w:val="nil"/>
              <w:left w:val="nil"/>
              <w:bottom w:val="single" w:sz="4" w:space="0" w:color="auto"/>
              <w:right w:val="single" w:sz="4" w:space="0" w:color="auto"/>
            </w:tcBorders>
            <w:shd w:val="clear" w:color="auto" w:fill="auto"/>
            <w:noWrap/>
            <w:vAlign w:val="bottom"/>
          </w:tcPr>
          <w:p w14:paraId="5353389A" w14:textId="77777777" w:rsidR="00BF6BBD" w:rsidRPr="003F3F1F" w:rsidRDefault="0093774B"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1 3</w:t>
            </w:r>
            <w:r w:rsidR="00BF6BBD" w:rsidRPr="003F3F1F">
              <w:rPr>
                <w:rFonts w:ascii="Times New Roman" w:eastAsia="Times New Roman" w:hAnsi="Times New Roman" w:cs="Times New Roman"/>
                <w:color w:val="000000"/>
                <w:sz w:val="20"/>
                <w:szCs w:val="20"/>
                <w:lang w:eastAsia="cs-CZ"/>
              </w:rPr>
              <w:t>37</w:t>
            </w:r>
          </w:p>
        </w:tc>
        <w:tc>
          <w:tcPr>
            <w:tcW w:w="690" w:type="dxa"/>
            <w:tcBorders>
              <w:top w:val="nil"/>
              <w:left w:val="nil"/>
              <w:bottom w:val="single" w:sz="4" w:space="0" w:color="auto"/>
              <w:right w:val="single" w:sz="4" w:space="0" w:color="auto"/>
            </w:tcBorders>
            <w:shd w:val="clear" w:color="auto" w:fill="auto"/>
            <w:noWrap/>
            <w:vAlign w:val="bottom"/>
          </w:tcPr>
          <w:p w14:paraId="3AAF5B07"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4,54</w:t>
            </w:r>
          </w:p>
        </w:tc>
      </w:tr>
      <w:tr w:rsidR="00BF6BBD" w:rsidRPr="003F3F1F" w14:paraId="7F55F994"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A70A0"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Zdravotníctvo a sociálna starostlivosť</w:t>
            </w:r>
          </w:p>
        </w:tc>
        <w:tc>
          <w:tcPr>
            <w:tcW w:w="700" w:type="dxa"/>
            <w:tcBorders>
              <w:top w:val="nil"/>
              <w:left w:val="nil"/>
              <w:bottom w:val="single" w:sz="4" w:space="0" w:color="auto"/>
              <w:right w:val="single" w:sz="4" w:space="0" w:color="auto"/>
            </w:tcBorders>
            <w:shd w:val="clear" w:color="auto" w:fill="auto"/>
            <w:noWrap/>
            <w:vAlign w:val="bottom"/>
          </w:tcPr>
          <w:p w14:paraId="78EFA707" w14:textId="77777777" w:rsidR="00BF6BBD" w:rsidRPr="003F3F1F" w:rsidRDefault="0093774B"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98</w:t>
            </w:r>
            <w:r w:rsidR="00BF6BBD" w:rsidRPr="003F3F1F">
              <w:rPr>
                <w:rFonts w:ascii="Times New Roman" w:eastAsia="Times New Roman" w:hAnsi="Times New Roman" w:cs="Times New Roman"/>
                <w:color w:val="000000"/>
                <w:sz w:val="20"/>
                <w:szCs w:val="20"/>
                <w:lang w:eastAsia="cs-CZ"/>
              </w:rPr>
              <w:t>1</w:t>
            </w:r>
          </w:p>
        </w:tc>
        <w:tc>
          <w:tcPr>
            <w:tcW w:w="690" w:type="dxa"/>
            <w:tcBorders>
              <w:top w:val="nil"/>
              <w:left w:val="nil"/>
              <w:bottom w:val="single" w:sz="4" w:space="0" w:color="auto"/>
              <w:right w:val="single" w:sz="4" w:space="0" w:color="auto"/>
            </w:tcBorders>
            <w:shd w:val="clear" w:color="auto" w:fill="auto"/>
            <w:noWrap/>
            <w:vAlign w:val="bottom"/>
          </w:tcPr>
          <w:p w14:paraId="1CE7AFF5"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4,43</w:t>
            </w:r>
          </w:p>
        </w:tc>
      </w:tr>
      <w:tr w:rsidR="00BF6BBD" w:rsidRPr="003F3F1F" w14:paraId="2745D1DC"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015"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Ostatné verejné, sociálne a osobné služby</w:t>
            </w:r>
          </w:p>
        </w:tc>
        <w:tc>
          <w:tcPr>
            <w:tcW w:w="700" w:type="dxa"/>
            <w:tcBorders>
              <w:top w:val="nil"/>
              <w:left w:val="nil"/>
              <w:bottom w:val="single" w:sz="4" w:space="0" w:color="auto"/>
              <w:right w:val="single" w:sz="4" w:space="0" w:color="auto"/>
            </w:tcBorders>
            <w:shd w:val="clear" w:color="auto" w:fill="auto"/>
            <w:noWrap/>
            <w:vAlign w:val="bottom"/>
          </w:tcPr>
          <w:p w14:paraId="6BF3DF48" w14:textId="77777777" w:rsidR="00BF6BBD" w:rsidRPr="003F3F1F" w:rsidRDefault="0093774B"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48</w:t>
            </w:r>
            <w:r w:rsidR="00BF6BBD" w:rsidRPr="003F3F1F">
              <w:rPr>
                <w:rFonts w:ascii="Times New Roman" w:eastAsia="Times New Roman" w:hAnsi="Times New Roman" w:cs="Times New Roman"/>
                <w:color w:val="000000"/>
                <w:sz w:val="20"/>
                <w:szCs w:val="20"/>
                <w:lang w:eastAsia="cs-CZ"/>
              </w:rPr>
              <w:t>3</w:t>
            </w:r>
          </w:p>
        </w:tc>
        <w:tc>
          <w:tcPr>
            <w:tcW w:w="690" w:type="dxa"/>
            <w:tcBorders>
              <w:top w:val="nil"/>
              <w:left w:val="nil"/>
              <w:bottom w:val="single" w:sz="4" w:space="0" w:color="auto"/>
              <w:right w:val="single" w:sz="4" w:space="0" w:color="auto"/>
            </w:tcBorders>
            <w:shd w:val="clear" w:color="auto" w:fill="auto"/>
            <w:noWrap/>
            <w:vAlign w:val="bottom"/>
          </w:tcPr>
          <w:p w14:paraId="05C9BC34"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1,89</w:t>
            </w:r>
          </w:p>
        </w:tc>
      </w:tr>
      <w:tr w:rsidR="00BF6BBD" w:rsidRPr="003F3F1F" w14:paraId="264E7857"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0BCE3"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Súkromné domácnosti s domácim personálom</w:t>
            </w:r>
          </w:p>
        </w:tc>
        <w:tc>
          <w:tcPr>
            <w:tcW w:w="700" w:type="dxa"/>
            <w:tcBorders>
              <w:top w:val="nil"/>
              <w:left w:val="nil"/>
              <w:bottom w:val="single" w:sz="4" w:space="0" w:color="auto"/>
              <w:right w:val="single" w:sz="4" w:space="0" w:color="auto"/>
            </w:tcBorders>
            <w:shd w:val="clear" w:color="auto" w:fill="auto"/>
            <w:noWrap/>
            <w:vAlign w:val="bottom"/>
          </w:tcPr>
          <w:p w14:paraId="17AB33BF"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w:t>
            </w:r>
          </w:p>
        </w:tc>
        <w:tc>
          <w:tcPr>
            <w:tcW w:w="690" w:type="dxa"/>
            <w:tcBorders>
              <w:top w:val="nil"/>
              <w:left w:val="nil"/>
              <w:bottom w:val="single" w:sz="4" w:space="0" w:color="auto"/>
              <w:right w:val="single" w:sz="4" w:space="0" w:color="auto"/>
            </w:tcBorders>
            <w:shd w:val="clear" w:color="auto" w:fill="auto"/>
            <w:noWrap/>
            <w:vAlign w:val="bottom"/>
          </w:tcPr>
          <w:p w14:paraId="1DECF3B7"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0,00</w:t>
            </w:r>
          </w:p>
        </w:tc>
      </w:tr>
      <w:tr w:rsidR="00BF6BBD" w:rsidRPr="003F3F1F" w14:paraId="44A61D53"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B78AC"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Exteritoriálne organizácie a združenia</w:t>
            </w:r>
          </w:p>
        </w:tc>
        <w:tc>
          <w:tcPr>
            <w:tcW w:w="700" w:type="dxa"/>
            <w:tcBorders>
              <w:top w:val="nil"/>
              <w:left w:val="nil"/>
              <w:bottom w:val="single" w:sz="4" w:space="0" w:color="auto"/>
              <w:right w:val="single" w:sz="4" w:space="0" w:color="auto"/>
            </w:tcBorders>
            <w:shd w:val="clear" w:color="auto" w:fill="auto"/>
            <w:noWrap/>
            <w:vAlign w:val="bottom"/>
          </w:tcPr>
          <w:p w14:paraId="55013ADF" w14:textId="77777777" w:rsidR="00BF6BBD" w:rsidRPr="003F3F1F" w:rsidRDefault="0093774B"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13</w:t>
            </w:r>
            <w:r w:rsidR="00BF6BBD" w:rsidRPr="003F3F1F">
              <w:rPr>
                <w:rFonts w:ascii="Times New Roman" w:eastAsia="Times New Roman" w:hAnsi="Times New Roman" w:cs="Times New Roman"/>
                <w:color w:val="000000"/>
                <w:sz w:val="20"/>
                <w:szCs w:val="20"/>
                <w:lang w:eastAsia="cs-CZ"/>
              </w:rPr>
              <w:t>1</w:t>
            </w:r>
          </w:p>
        </w:tc>
        <w:tc>
          <w:tcPr>
            <w:tcW w:w="690" w:type="dxa"/>
            <w:tcBorders>
              <w:top w:val="nil"/>
              <w:left w:val="nil"/>
              <w:bottom w:val="single" w:sz="4" w:space="0" w:color="auto"/>
              <w:right w:val="single" w:sz="4" w:space="0" w:color="auto"/>
            </w:tcBorders>
            <w:shd w:val="clear" w:color="auto" w:fill="auto"/>
            <w:noWrap/>
            <w:vAlign w:val="bottom"/>
          </w:tcPr>
          <w:p w14:paraId="2B3C556E"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1,29</w:t>
            </w:r>
          </w:p>
        </w:tc>
      </w:tr>
      <w:tr w:rsidR="00BF6BBD" w:rsidRPr="003F3F1F" w14:paraId="36957D9A" w14:textId="77777777" w:rsidTr="00BF6BBD">
        <w:trPr>
          <w:trHeight w:val="300"/>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FD41E" w14:textId="77777777" w:rsidR="00BF6BBD" w:rsidRPr="003F3F1F" w:rsidRDefault="00BF6BBD" w:rsidP="00BF6BBD">
            <w:pPr>
              <w:spacing w:after="0" w:line="240" w:lineRule="auto"/>
              <w:rPr>
                <w:rFonts w:ascii="Times New Roman" w:eastAsia="Times New Roman" w:hAnsi="Times New Roman" w:cs="Times New Roman"/>
                <w:sz w:val="20"/>
                <w:szCs w:val="20"/>
                <w:lang w:eastAsia="cs-CZ"/>
              </w:rPr>
            </w:pPr>
            <w:r w:rsidRPr="003F3F1F">
              <w:rPr>
                <w:rFonts w:ascii="Times New Roman" w:eastAsia="Times New Roman" w:hAnsi="Times New Roman" w:cs="Times New Roman"/>
                <w:sz w:val="20"/>
                <w:szCs w:val="20"/>
                <w:lang w:eastAsia="cs-CZ"/>
              </w:rPr>
              <w:t xml:space="preserve"> EA bez udania odvetví</w:t>
            </w:r>
          </w:p>
        </w:tc>
        <w:tc>
          <w:tcPr>
            <w:tcW w:w="700" w:type="dxa"/>
            <w:tcBorders>
              <w:top w:val="nil"/>
              <w:left w:val="nil"/>
              <w:bottom w:val="single" w:sz="4" w:space="0" w:color="auto"/>
              <w:right w:val="single" w:sz="4" w:space="0" w:color="auto"/>
            </w:tcBorders>
            <w:shd w:val="clear" w:color="auto" w:fill="auto"/>
            <w:noWrap/>
            <w:vAlign w:val="bottom"/>
          </w:tcPr>
          <w:p w14:paraId="61394A01"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3 688</w:t>
            </w:r>
          </w:p>
        </w:tc>
        <w:tc>
          <w:tcPr>
            <w:tcW w:w="690" w:type="dxa"/>
            <w:tcBorders>
              <w:top w:val="nil"/>
              <w:left w:val="nil"/>
              <w:bottom w:val="single" w:sz="4" w:space="0" w:color="auto"/>
              <w:right w:val="single" w:sz="4" w:space="0" w:color="auto"/>
            </w:tcBorders>
            <w:shd w:val="clear" w:color="auto" w:fill="auto"/>
            <w:noWrap/>
            <w:vAlign w:val="bottom"/>
          </w:tcPr>
          <w:p w14:paraId="6DD8F0A9" w14:textId="77777777" w:rsidR="00BF6BBD" w:rsidRPr="003F3F1F" w:rsidRDefault="00BF6BBD" w:rsidP="00BF6BBD">
            <w:pPr>
              <w:spacing w:after="0" w:line="240" w:lineRule="auto"/>
              <w:jc w:val="right"/>
              <w:rPr>
                <w:rFonts w:ascii="Times New Roman" w:eastAsia="Times New Roman" w:hAnsi="Times New Roman" w:cs="Times New Roman"/>
                <w:color w:val="000000"/>
                <w:sz w:val="20"/>
                <w:szCs w:val="20"/>
                <w:lang w:eastAsia="cs-CZ"/>
              </w:rPr>
            </w:pPr>
            <w:r w:rsidRPr="003F3F1F">
              <w:rPr>
                <w:rFonts w:ascii="Times New Roman" w:eastAsia="Times New Roman" w:hAnsi="Times New Roman" w:cs="Times New Roman"/>
                <w:color w:val="000000"/>
                <w:sz w:val="20"/>
                <w:szCs w:val="20"/>
                <w:lang w:eastAsia="cs-CZ"/>
              </w:rPr>
              <w:t>7,35</w:t>
            </w:r>
          </w:p>
        </w:tc>
      </w:tr>
      <w:tr w:rsidR="00BF6BBD" w:rsidRPr="003F3F1F" w14:paraId="6100504A" w14:textId="77777777" w:rsidTr="00BF6BBD">
        <w:trPr>
          <w:trHeight w:val="239"/>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060AD" w14:textId="77777777" w:rsidR="00BF6BBD" w:rsidRPr="003F3F1F" w:rsidRDefault="00BF6BBD" w:rsidP="00BF6BBD">
            <w:pPr>
              <w:spacing w:after="0" w:line="240" w:lineRule="auto"/>
              <w:rPr>
                <w:rFonts w:ascii="Times New Roman" w:eastAsia="Times New Roman" w:hAnsi="Times New Roman" w:cs="Times New Roman"/>
                <w:b/>
                <w:sz w:val="20"/>
                <w:szCs w:val="20"/>
                <w:lang w:eastAsia="cs-CZ"/>
              </w:rPr>
            </w:pPr>
            <w:r w:rsidRPr="003F3F1F">
              <w:rPr>
                <w:rFonts w:ascii="Times New Roman" w:eastAsia="Times New Roman" w:hAnsi="Times New Roman" w:cs="Times New Roman"/>
                <w:b/>
                <w:sz w:val="20"/>
                <w:szCs w:val="20"/>
                <w:lang w:eastAsia="cs-CZ"/>
              </w:rPr>
              <w:t xml:space="preserve"> Spolu</w:t>
            </w:r>
          </w:p>
        </w:tc>
        <w:tc>
          <w:tcPr>
            <w:tcW w:w="700" w:type="dxa"/>
            <w:tcBorders>
              <w:top w:val="nil"/>
              <w:left w:val="nil"/>
              <w:bottom w:val="single" w:sz="4" w:space="0" w:color="auto"/>
              <w:right w:val="single" w:sz="4" w:space="0" w:color="auto"/>
            </w:tcBorders>
            <w:shd w:val="clear" w:color="auto" w:fill="auto"/>
            <w:noWrap/>
            <w:vAlign w:val="bottom"/>
          </w:tcPr>
          <w:p w14:paraId="49899D9F" w14:textId="77777777" w:rsidR="00BF6BBD" w:rsidRPr="003F3F1F" w:rsidRDefault="00BF6BBD" w:rsidP="00BF6BBD">
            <w:pPr>
              <w:spacing w:after="0" w:line="240" w:lineRule="auto"/>
              <w:jc w:val="right"/>
              <w:rPr>
                <w:rFonts w:ascii="Times New Roman" w:eastAsia="Times New Roman" w:hAnsi="Times New Roman" w:cs="Times New Roman"/>
                <w:b/>
                <w:color w:val="000000"/>
                <w:sz w:val="20"/>
                <w:szCs w:val="20"/>
                <w:lang w:eastAsia="cs-CZ"/>
              </w:rPr>
            </w:pPr>
            <w:r w:rsidRPr="003F3F1F">
              <w:rPr>
                <w:rFonts w:ascii="Times New Roman" w:eastAsia="Times New Roman" w:hAnsi="Times New Roman" w:cs="Times New Roman"/>
                <w:b/>
                <w:color w:val="000000"/>
                <w:sz w:val="20"/>
                <w:szCs w:val="20"/>
                <w:lang w:eastAsia="cs-CZ"/>
              </w:rPr>
              <w:t>24 805</w:t>
            </w:r>
          </w:p>
        </w:tc>
        <w:tc>
          <w:tcPr>
            <w:tcW w:w="690" w:type="dxa"/>
            <w:tcBorders>
              <w:top w:val="nil"/>
              <w:left w:val="nil"/>
              <w:bottom w:val="single" w:sz="4" w:space="0" w:color="auto"/>
              <w:right w:val="single" w:sz="4" w:space="0" w:color="auto"/>
            </w:tcBorders>
            <w:shd w:val="clear" w:color="auto" w:fill="auto"/>
            <w:noWrap/>
            <w:vAlign w:val="bottom"/>
          </w:tcPr>
          <w:p w14:paraId="3F70AF42" w14:textId="77777777" w:rsidR="00BF6BBD" w:rsidRPr="003F3F1F" w:rsidRDefault="00BF6BBD" w:rsidP="00BF6BBD">
            <w:pPr>
              <w:spacing w:after="0" w:line="240" w:lineRule="auto"/>
              <w:jc w:val="right"/>
              <w:rPr>
                <w:rFonts w:ascii="Times New Roman" w:eastAsia="Times New Roman" w:hAnsi="Times New Roman" w:cs="Times New Roman"/>
                <w:b/>
                <w:color w:val="000000"/>
                <w:sz w:val="20"/>
                <w:szCs w:val="20"/>
                <w:lang w:eastAsia="cs-CZ"/>
              </w:rPr>
            </w:pPr>
            <w:r w:rsidRPr="003F3F1F">
              <w:rPr>
                <w:rFonts w:ascii="Times New Roman" w:eastAsia="Times New Roman" w:hAnsi="Times New Roman" w:cs="Times New Roman"/>
                <w:b/>
                <w:color w:val="000000"/>
                <w:sz w:val="20"/>
                <w:szCs w:val="20"/>
                <w:lang w:eastAsia="cs-CZ"/>
              </w:rPr>
              <w:t>100,00</w:t>
            </w:r>
          </w:p>
        </w:tc>
      </w:tr>
    </w:tbl>
    <w:p w14:paraId="64151480" w14:textId="77777777" w:rsidR="00EC62F5" w:rsidRPr="00EC62F5" w:rsidRDefault="003F3F1F" w:rsidP="003F3F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C62F5" w:rsidRPr="00EC62F5">
        <w:rPr>
          <w:rFonts w:ascii="Times New Roman" w:hAnsi="Times New Roman" w:cs="Times New Roman"/>
          <w:sz w:val="24"/>
          <w:szCs w:val="24"/>
        </w:rPr>
        <w:t xml:space="preserve">Miera nezamestnanosti v Kopaničiarskom regióne </w:t>
      </w:r>
      <w:r w:rsidR="0093774B">
        <w:rPr>
          <w:rFonts w:ascii="Times New Roman" w:hAnsi="Times New Roman" w:cs="Times New Roman"/>
          <w:sz w:val="24"/>
          <w:szCs w:val="24"/>
        </w:rPr>
        <w:t>je pomerne nízka</w:t>
      </w:r>
      <w:r w:rsidR="00ED06AF">
        <w:rPr>
          <w:rFonts w:ascii="Times New Roman" w:hAnsi="Times New Roman" w:cs="Times New Roman"/>
          <w:sz w:val="24"/>
          <w:szCs w:val="24"/>
        </w:rPr>
        <w:t>.</w:t>
      </w:r>
      <w:r w:rsidR="00EC62F5" w:rsidRPr="00EC62F5">
        <w:rPr>
          <w:rFonts w:ascii="Times New Roman" w:hAnsi="Times New Roman" w:cs="Times New Roman"/>
          <w:sz w:val="24"/>
          <w:szCs w:val="24"/>
        </w:rPr>
        <w:t xml:space="preserve"> </w:t>
      </w:r>
      <w:r w:rsidR="0093774B">
        <w:rPr>
          <w:rFonts w:ascii="Times New Roman" w:hAnsi="Times New Roman" w:cs="Times New Roman"/>
          <w:sz w:val="24"/>
          <w:szCs w:val="24"/>
        </w:rPr>
        <w:t>K 31.12. 201</w:t>
      </w:r>
      <w:r w:rsidR="00BB5E81">
        <w:rPr>
          <w:rFonts w:ascii="Times New Roman" w:hAnsi="Times New Roman" w:cs="Times New Roman"/>
          <w:sz w:val="24"/>
          <w:szCs w:val="24"/>
        </w:rPr>
        <w:t>4</w:t>
      </w:r>
      <w:r w:rsidR="0093774B">
        <w:rPr>
          <w:rFonts w:ascii="Times New Roman" w:hAnsi="Times New Roman" w:cs="Times New Roman"/>
          <w:sz w:val="24"/>
          <w:szCs w:val="24"/>
        </w:rPr>
        <w:t xml:space="preserve"> to bolo v okrese Myjava </w:t>
      </w:r>
      <w:r w:rsidR="0093774B" w:rsidRPr="0093774B">
        <w:rPr>
          <w:rFonts w:ascii="Times New Roman" w:hAnsi="Times New Roman" w:cs="Times New Roman"/>
          <w:sz w:val="24"/>
          <w:szCs w:val="24"/>
        </w:rPr>
        <w:t>7,74</w:t>
      </w:r>
      <w:r w:rsidR="0093774B">
        <w:rPr>
          <w:rFonts w:ascii="Times New Roman" w:hAnsi="Times New Roman" w:cs="Times New Roman"/>
          <w:sz w:val="24"/>
          <w:szCs w:val="24"/>
        </w:rPr>
        <w:t xml:space="preserve"> %. V okrese Nové Mesto to bolo </w:t>
      </w:r>
      <w:r w:rsidR="0093774B" w:rsidRPr="0093774B">
        <w:rPr>
          <w:rFonts w:ascii="Times New Roman" w:hAnsi="Times New Roman" w:cs="Times New Roman"/>
          <w:sz w:val="24"/>
          <w:szCs w:val="24"/>
        </w:rPr>
        <w:t>7,69</w:t>
      </w:r>
      <w:r w:rsidR="0093774B">
        <w:rPr>
          <w:rFonts w:ascii="Times New Roman" w:hAnsi="Times New Roman" w:cs="Times New Roman"/>
          <w:sz w:val="24"/>
          <w:szCs w:val="24"/>
        </w:rPr>
        <w:t xml:space="preserve"> %, v okrese Piešťany, do ktorého patrí obec Prašník je to 7,51 %. Najväčšiu mieru nezamestnanosti má okres </w:t>
      </w:r>
      <w:r w:rsidR="007928D0">
        <w:rPr>
          <w:rFonts w:ascii="Times New Roman" w:hAnsi="Times New Roman" w:cs="Times New Roman"/>
          <w:sz w:val="24"/>
          <w:szCs w:val="24"/>
        </w:rPr>
        <w:t>Senica, kde patria obce P</w:t>
      </w:r>
      <w:r w:rsidR="008020B9">
        <w:rPr>
          <w:rFonts w:ascii="Times New Roman" w:hAnsi="Times New Roman" w:cs="Times New Roman"/>
          <w:sz w:val="24"/>
          <w:szCs w:val="24"/>
        </w:rPr>
        <w:t>odbranč</w:t>
      </w:r>
      <w:r w:rsidR="007928D0">
        <w:rPr>
          <w:rFonts w:ascii="Times New Roman" w:hAnsi="Times New Roman" w:cs="Times New Roman"/>
          <w:sz w:val="24"/>
          <w:szCs w:val="24"/>
        </w:rPr>
        <w:t xml:space="preserve"> a Sobotište a to </w:t>
      </w:r>
      <w:r w:rsidR="007928D0" w:rsidRPr="007928D0">
        <w:rPr>
          <w:rFonts w:ascii="Times New Roman" w:hAnsi="Times New Roman" w:cs="Times New Roman"/>
          <w:sz w:val="24"/>
          <w:szCs w:val="24"/>
        </w:rPr>
        <w:t>11,25</w:t>
      </w:r>
      <w:r w:rsidR="007928D0">
        <w:rPr>
          <w:rFonts w:ascii="Times New Roman" w:hAnsi="Times New Roman" w:cs="Times New Roman"/>
          <w:sz w:val="24"/>
          <w:szCs w:val="24"/>
        </w:rPr>
        <w:t xml:space="preserve"> %. Priemerná nezamestnanosť regiónu, tak vychádza </w:t>
      </w:r>
      <w:r w:rsidR="007928D0" w:rsidRPr="0093774B">
        <w:rPr>
          <w:rFonts w:ascii="Times New Roman" w:hAnsi="Times New Roman" w:cs="Times New Roman"/>
          <w:sz w:val="24"/>
          <w:szCs w:val="24"/>
        </w:rPr>
        <w:t>7,74</w:t>
      </w:r>
      <w:r w:rsidR="007928D0">
        <w:rPr>
          <w:rFonts w:ascii="Times New Roman" w:hAnsi="Times New Roman" w:cs="Times New Roman"/>
          <w:sz w:val="24"/>
          <w:szCs w:val="24"/>
        </w:rPr>
        <w:t xml:space="preserve"> %.</w:t>
      </w:r>
    </w:p>
    <w:p w14:paraId="17C068BD" w14:textId="77777777" w:rsidR="00BB5E81" w:rsidRPr="008020B9" w:rsidRDefault="00BB5E81" w:rsidP="008020B9">
      <w:pPr>
        <w:keepNext/>
        <w:spacing w:before="120" w:after="0" w:line="360" w:lineRule="auto"/>
        <w:jc w:val="both"/>
        <w:rPr>
          <w:rFonts w:ascii="Times New Roman" w:hAnsi="Times New Roman" w:cs="Times New Roman"/>
          <w:b/>
          <w:sz w:val="20"/>
          <w:szCs w:val="20"/>
        </w:rPr>
      </w:pPr>
      <w:r w:rsidRPr="008020B9">
        <w:rPr>
          <w:rFonts w:ascii="Times New Roman" w:hAnsi="Times New Roman" w:cs="Times New Roman"/>
          <w:b/>
          <w:sz w:val="20"/>
          <w:szCs w:val="20"/>
        </w:rPr>
        <w:t>Tabuľka 3.1.28 Miera nezamestnanosti v okrese Myjava v rokoch 2004-2014 v %</w:t>
      </w:r>
    </w:p>
    <w:tbl>
      <w:tblPr>
        <w:tblW w:w="8640" w:type="dxa"/>
        <w:tblInd w:w="55" w:type="dxa"/>
        <w:tblCellMar>
          <w:left w:w="70" w:type="dxa"/>
          <w:right w:w="70" w:type="dxa"/>
        </w:tblCellMar>
        <w:tblLook w:val="04A0" w:firstRow="1" w:lastRow="0" w:firstColumn="1" w:lastColumn="0" w:noHBand="0" w:noVBand="1"/>
      </w:tblPr>
      <w:tblGrid>
        <w:gridCol w:w="1780"/>
        <w:gridCol w:w="640"/>
        <w:gridCol w:w="640"/>
        <w:gridCol w:w="580"/>
        <w:gridCol w:w="580"/>
        <w:gridCol w:w="580"/>
        <w:gridCol w:w="640"/>
        <w:gridCol w:w="640"/>
        <w:gridCol w:w="640"/>
        <w:gridCol w:w="640"/>
        <w:gridCol w:w="640"/>
        <w:gridCol w:w="640"/>
      </w:tblGrid>
      <w:tr w:rsidR="00BB5E81" w:rsidRPr="00ED06AF" w14:paraId="33B79488" w14:textId="77777777" w:rsidTr="005D2E80">
        <w:trPr>
          <w:trHeight w:val="315"/>
        </w:trPr>
        <w:tc>
          <w:tcPr>
            <w:tcW w:w="17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7EE643"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 </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5E547CBE"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2004</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6A426E25"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2005</w:t>
            </w:r>
          </w:p>
        </w:tc>
        <w:tc>
          <w:tcPr>
            <w:tcW w:w="580" w:type="dxa"/>
            <w:tcBorders>
              <w:top w:val="single" w:sz="4" w:space="0" w:color="auto"/>
              <w:left w:val="nil"/>
              <w:bottom w:val="single" w:sz="4" w:space="0" w:color="auto"/>
              <w:right w:val="single" w:sz="4" w:space="0" w:color="auto"/>
            </w:tcBorders>
            <w:shd w:val="clear" w:color="000000" w:fill="D9D9D9"/>
            <w:noWrap/>
            <w:vAlign w:val="bottom"/>
            <w:hideMark/>
          </w:tcPr>
          <w:p w14:paraId="11887B94"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2006</w:t>
            </w:r>
          </w:p>
        </w:tc>
        <w:tc>
          <w:tcPr>
            <w:tcW w:w="580" w:type="dxa"/>
            <w:tcBorders>
              <w:top w:val="single" w:sz="4" w:space="0" w:color="auto"/>
              <w:left w:val="nil"/>
              <w:bottom w:val="single" w:sz="4" w:space="0" w:color="auto"/>
              <w:right w:val="single" w:sz="4" w:space="0" w:color="auto"/>
            </w:tcBorders>
            <w:shd w:val="clear" w:color="000000" w:fill="D9D9D9"/>
            <w:noWrap/>
            <w:vAlign w:val="bottom"/>
            <w:hideMark/>
          </w:tcPr>
          <w:p w14:paraId="3BF99317"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2007</w:t>
            </w:r>
          </w:p>
        </w:tc>
        <w:tc>
          <w:tcPr>
            <w:tcW w:w="580" w:type="dxa"/>
            <w:tcBorders>
              <w:top w:val="single" w:sz="4" w:space="0" w:color="auto"/>
              <w:left w:val="nil"/>
              <w:bottom w:val="single" w:sz="4" w:space="0" w:color="auto"/>
              <w:right w:val="single" w:sz="4" w:space="0" w:color="auto"/>
            </w:tcBorders>
            <w:shd w:val="clear" w:color="000000" w:fill="D9D9D9"/>
            <w:noWrap/>
            <w:vAlign w:val="bottom"/>
            <w:hideMark/>
          </w:tcPr>
          <w:p w14:paraId="708CA747"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2008</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5EFA4B66"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2009</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432B6497"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2010</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72BEDB34"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2011</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1EEC5EBE"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2012</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6CFB5472"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2013</w:t>
            </w:r>
          </w:p>
        </w:tc>
        <w:tc>
          <w:tcPr>
            <w:tcW w:w="640" w:type="dxa"/>
            <w:tcBorders>
              <w:top w:val="single" w:sz="4" w:space="0" w:color="auto"/>
              <w:left w:val="nil"/>
              <w:bottom w:val="single" w:sz="4" w:space="0" w:color="auto"/>
              <w:right w:val="single" w:sz="4" w:space="0" w:color="auto"/>
            </w:tcBorders>
            <w:shd w:val="clear" w:color="000000" w:fill="D9D9D9"/>
            <w:noWrap/>
            <w:vAlign w:val="bottom"/>
            <w:hideMark/>
          </w:tcPr>
          <w:p w14:paraId="00E386D0" w14:textId="77777777" w:rsidR="00BB5E81" w:rsidRPr="00ED06AF" w:rsidRDefault="00BB5E81" w:rsidP="005D2E80">
            <w:pPr>
              <w:spacing w:after="0" w:line="240" w:lineRule="auto"/>
              <w:jc w:val="center"/>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2014</w:t>
            </w:r>
          </w:p>
        </w:tc>
      </w:tr>
      <w:tr w:rsidR="00BB5E81" w:rsidRPr="00ED06AF" w14:paraId="3C6997ED" w14:textId="77777777" w:rsidTr="005D2E80">
        <w:trPr>
          <w:trHeight w:val="315"/>
        </w:trPr>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14:paraId="24C9FD60" w14:textId="77777777" w:rsidR="00BB5E81" w:rsidRPr="00ED06AF" w:rsidRDefault="00BB5E81" w:rsidP="005D2E80">
            <w:pPr>
              <w:spacing w:after="0" w:line="240" w:lineRule="auto"/>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Okres Myjava</w:t>
            </w:r>
          </w:p>
        </w:tc>
        <w:tc>
          <w:tcPr>
            <w:tcW w:w="640" w:type="dxa"/>
            <w:tcBorders>
              <w:top w:val="nil"/>
              <w:left w:val="nil"/>
              <w:bottom w:val="single" w:sz="4" w:space="0" w:color="auto"/>
              <w:right w:val="single" w:sz="4" w:space="0" w:color="auto"/>
            </w:tcBorders>
            <w:shd w:val="clear" w:color="auto" w:fill="auto"/>
            <w:noWrap/>
            <w:vAlign w:val="bottom"/>
            <w:hideMark/>
          </w:tcPr>
          <w:p w14:paraId="740A144A"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7,66</w:t>
            </w:r>
          </w:p>
        </w:tc>
        <w:tc>
          <w:tcPr>
            <w:tcW w:w="640" w:type="dxa"/>
            <w:tcBorders>
              <w:top w:val="nil"/>
              <w:left w:val="nil"/>
              <w:bottom w:val="single" w:sz="4" w:space="0" w:color="auto"/>
              <w:right w:val="single" w:sz="4" w:space="0" w:color="auto"/>
            </w:tcBorders>
            <w:shd w:val="clear" w:color="auto" w:fill="auto"/>
            <w:noWrap/>
            <w:vAlign w:val="bottom"/>
            <w:hideMark/>
          </w:tcPr>
          <w:p w14:paraId="41B95D39"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6,3</w:t>
            </w:r>
          </w:p>
        </w:tc>
        <w:tc>
          <w:tcPr>
            <w:tcW w:w="580" w:type="dxa"/>
            <w:tcBorders>
              <w:top w:val="nil"/>
              <w:left w:val="nil"/>
              <w:bottom w:val="single" w:sz="4" w:space="0" w:color="auto"/>
              <w:right w:val="single" w:sz="4" w:space="0" w:color="auto"/>
            </w:tcBorders>
            <w:shd w:val="clear" w:color="auto" w:fill="auto"/>
            <w:noWrap/>
            <w:vAlign w:val="bottom"/>
            <w:hideMark/>
          </w:tcPr>
          <w:p w14:paraId="7F3A1903"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4,68</w:t>
            </w:r>
          </w:p>
        </w:tc>
        <w:tc>
          <w:tcPr>
            <w:tcW w:w="580" w:type="dxa"/>
            <w:tcBorders>
              <w:top w:val="nil"/>
              <w:left w:val="nil"/>
              <w:bottom w:val="single" w:sz="4" w:space="0" w:color="auto"/>
              <w:right w:val="single" w:sz="4" w:space="0" w:color="auto"/>
            </w:tcBorders>
            <w:shd w:val="clear" w:color="auto" w:fill="auto"/>
            <w:noWrap/>
            <w:vAlign w:val="bottom"/>
            <w:hideMark/>
          </w:tcPr>
          <w:p w14:paraId="72DE88F7"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4,12</w:t>
            </w:r>
          </w:p>
        </w:tc>
        <w:tc>
          <w:tcPr>
            <w:tcW w:w="580" w:type="dxa"/>
            <w:tcBorders>
              <w:top w:val="nil"/>
              <w:left w:val="nil"/>
              <w:bottom w:val="single" w:sz="4" w:space="0" w:color="auto"/>
              <w:right w:val="single" w:sz="4" w:space="0" w:color="auto"/>
            </w:tcBorders>
            <w:shd w:val="clear" w:color="auto" w:fill="auto"/>
            <w:noWrap/>
            <w:vAlign w:val="bottom"/>
            <w:hideMark/>
          </w:tcPr>
          <w:p w14:paraId="5E3955C1"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4,26</w:t>
            </w:r>
          </w:p>
        </w:tc>
        <w:tc>
          <w:tcPr>
            <w:tcW w:w="640" w:type="dxa"/>
            <w:tcBorders>
              <w:top w:val="nil"/>
              <w:left w:val="nil"/>
              <w:bottom w:val="single" w:sz="4" w:space="0" w:color="auto"/>
              <w:right w:val="single" w:sz="4" w:space="0" w:color="auto"/>
            </w:tcBorders>
            <w:shd w:val="clear" w:color="auto" w:fill="auto"/>
            <w:noWrap/>
            <w:vAlign w:val="bottom"/>
            <w:hideMark/>
          </w:tcPr>
          <w:p w14:paraId="589BA7DA"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12,7</w:t>
            </w:r>
          </w:p>
        </w:tc>
        <w:tc>
          <w:tcPr>
            <w:tcW w:w="640" w:type="dxa"/>
            <w:tcBorders>
              <w:top w:val="nil"/>
              <w:left w:val="nil"/>
              <w:bottom w:val="single" w:sz="4" w:space="0" w:color="auto"/>
              <w:right w:val="single" w:sz="4" w:space="0" w:color="auto"/>
            </w:tcBorders>
            <w:shd w:val="clear" w:color="auto" w:fill="auto"/>
            <w:noWrap/>
            <w:vAlign w:val="bottom"/>
            <w:hideMark/>
          </w:tcPr>
          <w:p w14:paraId="66832EC2"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8,76</w:t>
            </w:r>
          </w:p>
        </w:tc>
        <w:tc>
          <w:tcPr>
            <w:tcW w:w="640" w:type="dxa"/>
            <w:tcBorders>
              <w:top w:val="nil"/>
              <w:left w:val="nil"/>
              <w:bottom w:val="single" w:sz="4" w:space="0" w:color="auto"/>
              <w:right w:val="single" w:sz="4" w:space="0" w:color="auto"/>
            </w:tcBorders>
            <w:shd w:val="clear" w:color="auto" w:fill="auto"/>
            <w:noWrap/>
            <w:vAlign w:val="bottom"/>
            <w:hideMark/>
          </w:tcPr>
          <w:p w14:paraId="51A5BD24"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8,15</w:t>
            </w:r>
          </w:p>
        </w:tc>
        <w:tc>
          <w:tcPr>
            <w:tcW w:w="640" w:type="dxa"/>
            <w:tcBorders>
              <w:top w:val="nil"/>
              <w:left w:val="nil"/>
              <w:bottom w:val="single" w:sz="4" w:space="0" w:color="auto"/>
              <w:right w:val="single" w:sz="4" w:space="0" w:color="auto"/>
            </w:tcBorders>
            <w:shd w:val="clear" w:color="auto" w:fill="auto"/>
            <w:noWrap/>
            <w:vAlign w:val="bottom"/>
            <w:hideMark/>
          </w:tcPr>
          <w:p w14:paraId="5E55E0CC"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8,58</w:t>
            </w:r>
          </w:p>
        </w:tc>
        <w:tc>
          <w:tcPr>
            <w:tcW w:w="640" w:type="dxa"/>
            <w:tcBorders>
              <w:top w:val="nil"/>
              <w:left w:val="nil"/>
              <w:bottom w:val="single" w:sz="4" w:space="0" w:color="auto"/>
              <w:right w:val="single" w:sz="4" w:space="0" w:color="auto"/>
            </w:tcBorders>
            <w:shd w:val="clear" w:color="auto" w:fill="auto"/>
            <w:noWrap/>
            <w:vAlign w:val="bottom"/>
            <w:hideMark/>
          </w:tcPr>
          <w:p w14:paraId="1F9DE055"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8,69</w:t>
            </w:r>
          </w:p>
        </w:tc>
        <w:tc>
          <w:tcPr>
            <w:tcW w:w="640" w:type="dxa"/>
            <w:tcBorders>
              <w:top w:val="nil"/>
              <w:left w:val="nil"/>
              <w:bottom w:val="single" w:sz="4" w:space="0" w:color="auto"/>
              <w:right w:val="single" w:sz="4" w:space="0" w:color="auto"/>
            </w:tcBorders>
            <w:shd w:val="clear" w:color="auto" w:fill="auto"/>
            <w:noWrap/>
            <w:vAlign w:val="bottom"/>
            <w:hideMark/>
          </w:tcPr>
          <w:p w14:paraId="06B3D7C7"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7,74</w:t>
            </w:r>
          </w:p>
        </w:tc>
      </w:tr>
      <w:tr w:rsidR="00BB5E81" w:rsidRPr="00ED06AF" w14:paraId="16D6506F" w14:textId="77777777" w:rsidTr="005D2E80">
        <w:trPr>
          <w:trHeight w:val="315"/>
        </w:trPr>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14:paraId="39F64680" w14:textId="77777777" w:rsidR="00BB5E81" w:rsidRPr="00ED06AF" w:rsidRDefault="00BB5E81" w:rsidP="005D2E80">
            <w:pPr>
              <w:spacing w:after="0" w:line="240" w:lineRule="auto"/>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Trenčiansky kraj</w:t>
            </w:r>
          </w:p>
        </w:tc>
        <w:tc>
          <w:tcPr>
            <w:tcW w:w="640" w:type="dxa"/>
            <w:tcBorders>
              <w:top w:val="nil"/>
              <w:left w:val="nil"/>
              <w:bottom w:val="single" w:sz="4" w:space="0" w:color="auto"/>
              <w:right w:val="single" w:sz="4" w:space="0" w:color="auto"/>
            </w:tcBorders>
            <w:shd w:val="clear" w:color="auto" w:fill="auto"/>
            <w:noWrap/>
            <w:vAlign w:val="bottom"/>
            <w:hideMark/>
          </w:tcPr>
          <w:p w14:paraId="37FB6974"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8,09</w:t>
            </w:r>
          </w:p>
        </w:tc>
        <w:tc>
          <w:tcPr>
            <w:tcW w:w="640" w:type="dxa"/>
            <w:tcBorders>
              <w:top w:val="nil"/>
              <w:left w:val="nil"/>
              <w:bottom w:val="single" w:sz="4" w:space="0" w:color="auto"/>
              <w:right w:val="single" w:sz="4" w:space="0" w:color="auto"/>
            </w:tcBorders>
            <w:shd w:val="clear" w:color="auto" w:fill="auto"/>
            <w:noWrap/>
            <w:vAlign w:val="bottom"/>
            <w:hideMark/>
          </w:tcPr>
          <w:p w14:paraId="43094F86"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6,8</w:t>
            </w:r>
          </w:p>
        </w:tc>
        <w:tc>
          <w:tcPr>
            <w:tcW w:w="580" w:type="dxa"/>
            <w:tcBorders>
              <w:top w:val="nil"/>
              <w:left w:val="nil"/>
              <w:bottom w:val="single" w:sz="4" w:space="0" w:color="auto"/>
              <w:right w:val="single" w:sz="4" w:space="0" w:color="auto"/>
            </w:tcBorders>
            <w:shd w:val="clear" w:color="auto" w:fill="auto"/>
            <w:noWrap/>
            <w:vAlign w:val="bottom"/>
            <w:hideMark/>
          </w:tcPr>
          <w:p w14:paraId="573C8CFD"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5,19</w:t>
            </w:r>
          </w:p>
        </w:tc>
        <w:tc>
          <w:tcPr>
            <w:tcW w:w="580" w:type="dxa"/>
            <w:tcBorders>
              <w:top w:val="nil"/>
              <w:left w:val="nil"/>
              <w:bottom w:val="single" w:sz="4" w:space="0" w:color="auto"/>
              <w:right w:val="single" w:sz="4" w:space="0" w:color="auto"/>
            </w:tcBorders>
            <w:shd w:val="clear" w:color="auto" w:fill="auto"/>
            <w:noWrap/>
            <w:vAlign w:val="bottom"/>
            <w:hideMark/>
          </w:tcPr>
          <w:p w14:paraId="48F9A06C"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4,5</w:t>
            </w:r>
          </w:p>
        </w:tc>
        <w:tc>
          <w:tcPr>
            <w:tcW w:w="580" w:type="dxa"/>
            <w:tcBorders>
              <w:top w:val="nil"/>
              <w:left w:val="nil"/>
              <w:bottom w:val="single" w:sz="4" w:space="0" w:color="auto"/>
              <w:right w:val="single" w:sz="4" w:space="0" w:color="auto"/>
            </w:tcBorders>
            <w:shd w:val="clear" w:color="auto" w:fill="auto"/>
            <w:noWrap/>
            <w:vAlign w:val="bottom"/>
            <w:hideMark/>
          </w:tcPr>
          <w:p w14:paraId="2B8C3942"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4,95</w:t>
            </w:r>
          </w:p>
        </w:tc>
        <w:tc>
          <w:tcPr>
            <w:tcW w:w="640" w:type="dxa"/>
            <w:tcBorders>
              <w:top w:val="nil"/>
              <w:left w:val="nil"/>
              <w:bottom w:val="single" w:sz="4" w:space="0" w:color="auto"/>
              <w:right w:val="single" w:sz="4" w:space="0" w:color="auto"/>
            </w:tcBorders>
            <w:shd w:val="clear" w:color="auto" w:fill="auto"/>
            <w:noWrap/>
            <w:vAlign w:val="bottom"/>
            <w:hideMark/>
          </w:tcPr>
          <w:p w14:paraId="3D7D73A4"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10,13</w:t>
            </w:r>
          </w:p>
        </w:tc>
        <w:tc>
          <w:tcPr>
            <w:tcW w:w="640" w:type="dxa"/>
            <w:tcBorders>
              <w:top w:val="nil"/>
              <w:left w:val="nil"/>
              <w:bottom w:val="single" w:sz="4" w:space="0" w:color="auto"/>
              <w:right w:val="single" w:sz="4" w:space="0" w:color="auto"/>
            </w:tcBorders>
            <w:shd w:val="clear" w:color="auto" w:fill="auto"/>
            <w:noWrap/>
            <w:vAlign w:val="bottom"/>
            <w:hideMark/>
          </w:tcPr>
          <w:p w14:paraId="10CA2C2E"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9,51</w:t>
            </w:r>
          </w:p>
        </w:tc>
        <w:tc>
          <w:tcPr>
            <w:tcW w:w="640" w:type="dxa"/>
            <w:tcBorders>
              <w:top w:val="nil"/>
              <w:left w:val="nil"/>
              <w:bottom w:val="single" w:sz="4" w:space="0" w:color="auto"/>
              <w:right w:val="single" w:sz="4" w:space="0" w:color="auto"/>
            </w:tcBorders>
            <w:shd w:val="clear" w:color="auto" w:fill="auto"/>
            <w:noWrap/>
            <w:vAlign w:val="bottom"/>
            <w:hideMark/>
          </w:tcPr>
          <w:p w14:paraId="370D8CC5"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9,95</w:t>
            </w:r>
          </w:p>
        </w:tc>
        <w:tc>
          <w:tcPr>
            <w:tcW w:w="640" w:type="dxa"/>
            <w:tcBorders>
              <w:top w:val="nil"/>
              <w:left w:val="nil"/>
              <w:bottom w:val="single" w:sz="4" w:space="0" w:color="auto"/>
              <w:right w:val="single" w:sz="4" w:space="0" w:color="auto"/>
            </w:tcBorders>
            <w:shd w:val="clear" w:color="auto" w:fill="auto"/>
            <w:noWrap/>
            <w:vAlign w:val="bottom"/>
            <w:hideMark/>
          </w:tcPr>
          <w:p w14:paraId="1DDE33EA"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10,89</w:t>
            </w:r>
          </w:p>
        </w:tc>
        <w:tc>
          <w:tcPr>
            <w:tcW w:w="640" w:type="dxa"/>
            <w:tcBorders>
              <w:top w:val="nil"/>
              <w:left w:val="nil"/>
              <w:bottom w:val="single" w:sz="4" w:space="0" w:color="auto"/>
              <w:right w:val="single" w:sz="4" w:space="0" w:color="auto"/>
            </w:tcBorders>
            <w:shd w:val="clear" w:color="auto" w:fill="auto"/>
            <w:noWrap/>
            <w:vAlign w:val="bottom"/>
            <w:hideMark/>
          </w:tcPr>
          <w:p w14:paraId="707A6362"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10,74</w:t>
            </w:r>
          </w:p>
        </w:tc>
        <w:tc>
          <w:tcPr>
            <w:tcW w:w="640" w:type="dxa"/>
            <w:tcBorders>
              <w:top w:val="nil"/>
              <w:left w:val="nil"/>
              <w:bottom w:val="single" w:sz="4" w:space="0" w:color="auto"/>
              <w:right w:val="single" w:sz="4" w:space="0" w:color="auto"/>
            </w:tcBorders>
            <w:shd w:val="clear" w:color="auto" w:fill="auto"/>
            <w:noWrap/>
            <w:vAlign w:val="bottom"/>
            <w:hideMark/>
          </w:tcPr>
          <w:p w14:paraId="22439C77"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9,56</w:t>
            </w:r>
          </w:p>
        </w:tc>
      </w:tr>
      <w:tr w:rsidR="00BB5E81" w:rsidRPr="00ED06AF" w14:paraId="35B1A3C3" w14:textId="77777777" w:rsidTr="005D2E80">
        <w:trPr>
          <w:trHeight w:val="315"/>
        </w:trPr>
        <w:tc>
          <w:tcPr>
            <w:tcW w:w="1780" w:type="dxa"/>
            <w:tcBorders>
              <w:top w:val="nil"/>
              <w:left w:val="single" w:sz="4" w:space="0" w:color="auto"/>
              <w:bottom w:val="single" w:sz="4" w:space="0" w:color="auto"/>
              <w:right w:val="single" w:sz="4" w:space="0" w:color="auto"/>
            </w:tcBorders>
            <w:shd w:val="clear" w:color="000000" w:fill="D9D9D9"/>
            <w:noWrap/>
            <w:vAlign w:val="bottom"/>
            <w:hideMark/>
          </w:tcPr>
          <w:p w14:paraId="36D86593" w14:textId="77777777" w:rsidR="00BB5E81" w:rsidRPr="00ED06AF" w:rsidRDefault="00BB5E81" w:rsidP="005D2E80">
            <w:pPr>
              <w:spacing w:after="0" w:line="240" w:lineRule="auto"/>
              <w:rPr>
                <w:rFonts w:ascii="Times New Roman" w:eastAsia="Times New Roman" w:hAnsi="Times New Roman" w:cs="Times New Roman"/>
                <w:b/>
                <w:bCs/>
                <w:color w:val="000000"/>
                <w:lang w:eastAsia="sk-SK"/>
              </w:rPr>
            </w:pPr>
            <w:r w:rsidRPr="00ED06AF">
              <w:rPr>
                <w:rFonts w:ascii="Times New Roman" w:eastAsia="Times New Roman" w:hAnsi="Times New Roman" w:cs="Times New Roman"/>
                <w:b/>
                <w:bCs/>
                <w:color w:val="000000"/>
                <w:lang w:eastAsia="sk-SK"/>
              </w:rPr>
              <w:t>SR</w:t>
            </w:r>
          </w:p>
        </w:tc>
        <w:tc>
          <w:tcPr>
            <w:tcW w:w="640" w:type="dxa"/>
            <w:tcBorders>
              <w:top w:val="nil"/>
              <w:left w:val="nil"/>
              <w:bottom w:val="single" w:sz="4" w:space="0" w:color="auto"/>
              <w:right w:val="single" w:sz="4" w:space="0" w:color="auto"/>
            </w:tcBorders>
            <w:shd w:val="clear" w:color="auto" w:fill="auto"/>
            <w:noWrap/>
            <w:vAlign w:val="bottom"/>
            <w:hideMark/>
          </w:tcPr>
          <w:p w14:paraId="26BD9B89"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13,07</w:t>
            </w:r>
          </w:p>
        </w:tc>
        <w:tc>
          <w:tcPr>
            <w:tcW w:w="640" w:type="dxa"/>
            <w:tcBorders>
              <w:top w:val="nil"/>
              <w:left w:val="nil"/>
              <w:bottom w:val="single" w:sz="4" w:space="0" w:color="auto"/>
              <w:right w:val="single" w:sz="4" w:space="0" w:color="auto"/>
            </w:tcBorders>
            <w:shd w:val="clear" w:color="auto" w:fill="auto"/>
            <w:noWrap/>
            <w:vAlign w:val="bottom"/>
            <w:hideMark/>
          </w:tcPr>
          <w:p w14:paraId="53049628"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11,36</w:t>
            </w:r>
          </w:p>
        </w:tc>
        <w:tc>
          <w:tcPr>
            <w:tcW w:w="580" w:type="dxa"/>
            <w:tcBorders>
              <w:top w:val="nil"/>
              <w:left w:val="nil"/>
              <w:bottom w:val="single" w:sz="4" w:space="0" w:color="auto"/>
              <w:right w:val="single" w:sz="4" w:space="0" w:color="auto"/>
            </w:tcBorders>
            <w:shd w:val="clear" w:color="auto" w:fill="auto"/>
            <w:noWrap/>
            <w:vAlign w:val="bottom"/>
            <w:hideMark/>
          </w:tcPr>
          <w:p w14:paraId="72016FFE"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9,4</w:t>
            </w:r>
          </w:p>
        </w:tc>
        <w:tc>
          <w:tcPr>
            <w:tcW w:w="580" w:type="dxa"/>
            <w:tcBorders>
              <w:top w:val="nil"/>
              <w:left w:val="nil"/>
              <w:bottom w:val="single" w:sz="4" w:space="0" w:color="auto"/>
              <w:right w:val="single" w:sz="4" w:space="0" w:color="auto"/>
            </w:tcBorders>
            <w:shd w:val="clear" w:color="auto" w:fill="auto"/>
            <w:noWrap/>
            <w:vAlign w:val="bottom"/>
            <w:hideMark/>
          </w:tcPr>
          <w:p w14:paraId="3C325FF4"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7,99</w:t>
            </w:r>
          </w:p>
        </w:tc>
        <w:tc>
          <w:tcPr>
            <w:tcW w:w="580" w:type="dxa"/>
            <w:tcBorders>
              <w:top w:val="nil"/>
              <w:left w:val="nil"/>
              <w:bottom w:val="single" w:sz="4" w:space="0" w:color="auto"/>
              <w:right w:val="single" w:sz="4" w:space="0" w:color="auto"/>
            </w:tcBorders>
            <w:shd w:val="clear" w:color="auto" w:fill="auto"/>
            <w:noWrap/>
            <w:vAlign w:val="bottom"/>
            <w:hideMark/>
          </w:tcPr>
          <w:p w14:paraId="7397F711"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8,39</w:t>
            </w:r>
          </w:p>
        </w:tc>
        <w:tc>
          <w:tcPr>
            <w:tcW w:w="640" w:type="dxa"/>
            <w:tcBorders>
              <w:top w:val="nil"/>
              <w:left w:val="nil"/>
              <w:bottom w:val="single" w:sz="4" w:space="0" w:color="auto"/>
              <w:right w:val="single" w:sz="4" w:space="0" w:color="auto"/>
            </w:tcBorders>
            <w:shd w:val="clear" w:color="auto" w:fill="auto"/>
            <w:noWrap/>
            <w:vAlign w:val="bottom"/>
            <w:hideMark/>
          </w:tcPr>
          <w:p w14:paraId="27EE48CE"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12,66</w:t>
            </w:r>
          </w:p>
        </w:tc>
        <w:tc>
          <w:tcPr>
            <w:tcW w:w="640" w:type="dxa"/>
            <w:tcBorders>
              <w:top w:val="nil"/>
              <w:left w:val="nil"/>
              <w:bottom w:val="single" w:sz="4" w:space="0" w:color="auto"/>
              <w:right w:val="single" w:sz="4" w:space="0" w:color="auto"/>
            </w:tcBorders>
            <w:shd w:val="clear" w:color="auto" w:fill="auto"/>
            <w:noWrap/>
            <w:vAlign w:val="bottom"/>
            <w:hideMark/>
          </w:tcPr>
          <w:p w14:paraId="7B6BC399"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12,46</w:t>
            </w:r>
          </w:p>
        </w:tc>
        <w:tc>
          <w:tcPr>
            <w:tcW w:w="640" w:type="dxa"/>
            <w:tcBorders>
              <w:top w:val="nil"/>
              <w:left w:val="nil"/>
              <w:bottom w:val="single" w:sz="4" w:space="0" w:color="auto"/>
              <w:right w:val="single" w:sz="4" w:space="0" w:color="auto"/>
            </w:tcBorders>
            <w:shd w:val="clear" w:color="auto" w:fill="auto"/>
            <w:noWrap/>
            <w:vAlign w:val="bottom"/>
            <w:hideMark/>
          </w:tcPr>
          <w:p w14:paraId="703BD0B2"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13,59</w:t>
            </w:r>
          </w:p>
        </w:tc>
        <w:tc>
          <w:tcPr>
            <w:tcW w:w="640" w:type="dxa"/>
            <w:tcBorders>
              <w:top w:val="nil"/>
              <w:left w:val="nil"/>
              <w:bottom w:val="single" w:sz="4" w:space="0" w:color="auto"/>
              <w:right w:val="single" w:sz="4" w:space="0" w:color="auto"/>
            </w:tcBorders>
            <w:shd w:val="clear" w:color="auto" w:fill="auto"/>
            <w:noWrap/>
            <w:vAlign w:val="bottom"/>
            <w:hideMark/>
          </w:tcPr>
          <w:p w14:paraId="41C23047"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14,44</w:t>
            </w:r>
          </w:p>
        </w:tc>
        <w:tc>
          <w:tcPr>
            <w:tcW w:w="640" w:type="dxa"/>
            <w:tcBorders>
              <w:top w:val="nil"/>
              <w:left w:val="nil"/>
              <w:bottom w:val="single" w:sz="4" w:space="0" w:color="auto"/>
              <w:right w:val="single" w:sz="4" w:space="0" w:color="auto"/>
            </w:tcBorders>
            <w:shd w:val="clear" w:color="auto" w:fill="auto"/>
            <w:noWrap/>
            <w:vAlign w:val="bottom"/>
            <w:hideMark/>
          </w:tcPr>
          <w:p w14:paraId="51C2F81F"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13,5</w:t>
            </w:r>
          </w:p>
        </w:tc>
        <w:tc>
          <w:tcPr>
            <w:tcW w:w="640" w:type="dxa"/>
            <w:tcBorders>
              <w:top w:val="nil"/>
              <w:left w:val="nil"/>
              <w:bottom w:val="single" w:sz="4" w:space="0" w:color="auto"/>
              <w:right w:val="single" w:sz="4" w:space="0" w:color="auto"/>
            </w:tcBorders>
            <w:shd w:val="clear" w:color="auto" w:fill="auto"/>
            <w:noWrap/>
            <w:vAlign w:val="bottom"/>
            <w:hideMark/>
          </w:tcPr>
          <w:p w14:paraId="3FB59F6B" w14:textId="77777777" w:rsidR="00BB5E81" w:rsidRPr="00ED06AF" w:rsidRDefault="00BB5E81" w:rsidP="005D2E80">
            <w:pPr>
              <w:spacing w:after="0" w:line="240" w:lineRule="auto"/>
              <w:jc w:val="center"/>
              <w:rPr>
                <w:rFonts w:ascii="Times New Roman" w:eastAsia="Times New Roman" w:hAnsi="Times New Roman" w:cs="Times New Roman"/>
                <w:color w:val="000000"/>
                <w:lang w:eastAsia="sk-SK"/>
              </w:rPr>
            </w:pPr>
            <w:r w:rsidRPr="00ED06AF">
              <w:rPr>
                <w:rFonts w:ascii="Times New Roman" w:eastAsia="Times New Roman" w:hAnsi="Times New Roman" w:cs="Times New Roman"/>
                <w:color w:val="000000"/>
                <w:lang w:eastAsia="sk-SK"/>
              </w:rPr>
              <w:t>12,29</w:t>
            </w:r>
          </w:p>
        </w:tc>
      </w:tr>
    </w:tbl>
    <w:p w14:paraId="7AE44C26" w14:textId="77777777" w:rsidR="00BB5E81" w:rsidRDefault="00BB5E81" w:rsidP="008020B9">
      <w:pPr>
        <w:spacing w:after="0" w:line="360" w:lineRule="auto"/>
        <w:jc w:val="both"/>
        <w:rPr>
          <w:rFonts w:ascii="Times New Roman" w:hAnsi="Times New Roman" w:cs="Times New Roman"/>
          <w:b/>
          <w:sz w:val="20"/>
          <w:szCs w:val="20"/>
        </w:rPr>
      </w:pPr>
    </w:p>
    <w:p w14:paraId="234A459E" w14:textId="77777777" w:rsidR="004B1537" w:rsidRDefault="00EC62F5" w:rsidP="00EC62F5">
      <w:pPr>
        <w:spacing w:before="120" w:after="0" w:line="360" w:lineRule="auto"/>
        <w:jc w:val="both"/>
        <w:rPr>
          <w:rFonts w:ascii="Times New Roman" w:hAnsi="Times New Roman" w:cs="Times New Roman"/>
          <w:b/>
          <w:sz w:val="20"/>
          <w:szCs w:val="20"/>
        </w:rPr>
      </w:pPr>
      <w:r w:rsidRPr="007928D0">
        <w:rPr>
          <w:rFonts w:ascii="Times New Roman" w:hAnsi="Times New Roman" w:cs="Times New Roman"/>
          <w:b/>
          <w:sz w:val="20"/>
          <w:szCs w:val="20"/>
        </w:rPr>
        <w:t>Tabuľka</w:t>
      </w:r>
      <w:r w:rsidR="00BB5E81">
        <w:rPr>
          <w:rFonts w:ascii="Times New Roman" w:hAnsi="Times New Roman" w:cs="Times New Roman"/>
          <w:b/>
          <w:sz w:val="20"/>
          <w:szCs w:val="20"/>
        </w:rPr>
        <w:t xml:space="preserve"> 3.1.29</w:t>
      </w:r>
      <w:r w:rsidRPr="007928D0">
        <w:rPr>
          <w:rFonts w:ascii="Times New Roman" w:hAnsi="Times New Roman" w:cs="Times New Roman"/>
          <w:b/>
          <w:sz w:val="20"/>
          <w:szCs w:val="20"/>
        </w:rPr>
        <w:t xml:space="preserve"> Počet uchádzačov o zamestnanie v Kopaničiarskom regióne v rokoch 200</w:t>
      </w:r>
      <w:r w:rsidR="007928D0" w:rsidRPr="007928D0">
        <w:rPr>
          <w:rFonts w:ascii="Times New Roman" w:hAnsi="Times New Roman" w:cs="Times New Roman"/>
          <w:b/>
          <w:sz w:val="20"/>
          <w:szCs w:val="20"/>
        </w:rPr>
        <w:t>7</w:t>
      </w:r>
      <w:r w:rsidRPr="007928D0">
        <w:rPr>
          <w:rFonts w:ascii="Times New Roman" w:hAnsi="Times New Roman" w:cs="Times New Roman"/>
          <w:b/>
          <w:sz w:val="20"/>
          <w:szCs w:val="20"/>
        </w:rPr>
        <w:t xml:space="preserve"> – 20</w:t>
      </w:r>
      <w:r w:rsidR="007928D0" w:rsidRPr="007928D0">
        <w:rPr>
          <w:rFonts w:ascii="Times New Roman" w:hAnsi="Times New Roman" w:cs="Times New Roman"/>
          <w:b/>
          <w:sz w:val="20"/>
          <w:szCs w:val="20"/>
        </w:rPr>
        <w:t>14</w:t>
      </w:r>
    </w:p>
    <w:tbl>
      <w:tblPr>
        <w:tblW w:w="9125" w:type="dxa"/>
        <w:tblInd w:w="108" w:type="dxa"/>
        <w:shd w:val="clear" w:color="auto" w:fill="FFFFFF"/>
        <w:tblCellMar>
          <w:left w:w="0" w:type="dxa"/>
          <w:right w:w="0" w:type="dxa"/>
        </w:tblCellMar>
        <w:tblLook w:val="04A0" w:firstRow="1" w:lastRow="0" w:firstColumn="1" w:lastColumn="0" w:noHBand="0" w:noVBand="1"/>
      </w:tblPr>
      <w:tblGrid>
        <w:gridCol w:w="1217"/>
        <w:gridCol w:w="1123"/>
        <w:gridCol w:w="802"/>
        <w:gridCol w:w="827"/>
        <w:gridCol w:w="852"/>
        <w:gridCol w:w="849"/>
        <w:gridCol w:w="850"/>
        <w:gridCol w:w="794"/>
        <w:gridCol w:w="905"/>
        <w:gridCol w:w="906"/>
      </w:tblGrid>
      <w:tr w:rsidR="003F3F1F" w:rsidRPr="003F3F1F" w14:paraId="2EAD3105" w14:textId="77777777" w:rsidTr="003F3F1F">
        <w:trPr>
          <w:trHeight w:val="255"/>
        </w:trPr>
        <w:tc>
          <w:tcPr>
            <w:tcW w:w="1217" w:type="dxa"/>
            <w:tcBorders>
              <w:top w:val="single" w:sz="8" w:space="0" w:color="auto"/>
              <w:left w:val="single" w:sz="8" w:space="0" w:color="auto"/>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735D82F4"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222222"/>
                <w:sz w:val="20"/>
                <w:szCs w:val="20"/>
                <w:lang w:eastAsia="sk-SK"/>
              </w:rPr>
              <w:t>Rok</w:t>
            </w:r>
          </w:p>
        </w:tc>
        <w:tc>
          <w:tcPr>
            <w:tcW w:w="1123"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6575D28F"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2007</w:t>
            </w:r>
          </w:p>
        </w:tc>
        <w:tc>
          <w:tcPr>
            <w:tcW w:w="802"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741BA4F8"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2008</w:t>
            </w:r>
          </w:p>
        </w:tc>
        <w:tc>
          <w:tcPr>
            <w:tcW w:w="827"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394A2F2"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2009</w:t>
            </w:r>
          </w:p>
        </w:tc>
        <w:tc>
          <w:tcPr>
            <w:tcW w:w="852"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583C0AA2"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2010</w:t>
            </w:r>
          </w:p>
        </w:tc>
        <w:tc>
          <w:tcPr>
            <w:tcW w:w="849"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270D833"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2011</w:t>
            </w:r>
          </w:p>
        </w:tc>
        <w:tc>
          <w:tcPr>
            <w:tcW w:w="850"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E22CCDC"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2012</w:t>
            </w:r>
          </w:p>
        </w:tc>
        <w:tc>
          <w:tcPr>
            <w:tcW w:w="794"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819CD77"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2013</w:t>
            </w:r>
          </w:p>
        </w:tc>
        <w:tc>
          <w:tcPr>
            <w:tcW w:w="905"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0EC3B40"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000000"/>
                <w:sz w:val="20"/>
                <w:szCs w:val="20"/>
                <w:lang w:eastAsia="sk-SK"/>
              </w:rPr>
              <w:t>2014</w:t>
            </w:r>
          </w:p>
        </w:tc>
        <w:tc>
          <w:tcPr>
            <w:tcW w:w="906" w:type="dxa"/>
            <w:tcBorders>
              <w:top w:val="single" w:sz="8" w:space="0" w:color="auto"/>
              <w:left w:val="nil"/>
              <w:bottom w:val="single" w:sz="8" w:space="0" w:color="000000"/>
              <w:right w:val="single" w:sz="8" w:space="0" w:color="000000"/>
            </w:tcBorders>
            <w:shd w:val="clear" w:color="auto" w:fill="D9D9D9"/>
          </w:tcPr>
          <w:p w14:paraId="41A9EB1B" w14:textId="77777777" w:rsidR="003F3F1F" w:rsidRPr="003F3F1F" w:rsidRDefault="003F3F1F" w:rsidP="003F3F1F">
            <w:pPr>
              <w:spacing w:after="0" w:line="240" w:lineRule="auto"/>
              <w:jc w:val="center"/>
              <w:rPr>
                <w:rFonts w:ascii="Times New Roman" w:eastAsia="Times New Roman" w:hAnsi="Times New Roman" w:cs="Times New Roman"/>
                <w:b/>
                <w:bCs/>
                <w:color w:val="000000"/>
                <w:sz w:val="20"/>
                <w:szCs w:val="20"/>
                <w:lang w:eastAsia="sk-SK"/>
              </w:rPr>
            </w:pPr>
            <w:r w:rsidRPr="003F3F1F">
              <w:rPr>
                <w:rFonts w:ascii="Times New Roman" w:eastAsia="Times New Roman" w:hAnsi="Times New Roman" w:cs="Times New Roman"/>
                <w:b/>
                <w:bCs/>
                <w:color w:val="000000"/>
                <w:sz w:val="20"/>
                <w:szCs w:val="20"/>
                <w:lang w:eastAsia="sk-SK"/>
              </w:rPr>
              <w:t>Spolu</w:t>
            </w:r>
          </w:p>
        </w:tc>
      </w:tr>
      <w:tr w:rsidR="003F3F1F" w:rsidRPr="003F3F1F" w14:paraId="29945808" w14:textId="77777777" w:rsidTr="003F3F1F">
        <w:trPr>
          <w:trHeight w:val="255"/>
        </w:trPr>
        <w:tc>
          <w:tcPr>
            <w:tcW w:w="1217" w:type="dxa"/>
            <w:tcBorders>
              <w:top w:val="nil"/>
              <w:left w:val="single" w:sz="8" w:space="0" w:color="auto"/>
              <w:bottom w:val="single" w:sz="8" w:space="0" w:color="000000"/>
              <w:right w:val="single" w:sz="8" w:space="0" w:color="000000"/>
            </w:tcBorders>
            <w:shd w:val="clear" w:color="auto" w:fill="FFFFFF"/>
            <w:noWrap/>
            <w:tcMar>
              <w:top w:w="0" w:type="dxa"/>
              <w:left w:w="108" w:type="dxa"/>
              <w:bottom w:w="0" w:type="dxa"/>
              <w:right w:w="108" w:type="dxa"/>
            </w:tcMar>
            <w:vAlign w:val="center"/>
            <w:hideMark/>
          </w:tcPr>
          <w:p w14:paraId="453E47DC"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222222"/>
                <w:sz w:val="20"/>
                <w:szCs w:val="20"/>
                <w:lang w:eastAsia="sk-SK"/>
              </w:rPr>
              <w:t>Počet  uchádzačov</w:t>
            </w:r>
          </w:p>
        </w:tc>
        <w:tc>
          <w:tcPr>
            <w:tcW w:w="1123"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0157A1DC"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1 025 </w:t>
            </w:r>
          </w:p>
        </w:tc>
        <w:tc>
          <w:tcPr>
            <w:tcW w:w="802"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19E92DB8"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1 047 </w:t>
            </w:r>
          </w:p>
        </w:tc>
        <w:tc>
          <w:tcPr>
            <w:tcW w:w="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8BB98C"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2 922 </w:t>
            </w:r>
          </w:p>
        </w:tc>
        <w:tc>
          <w:tcPr>
            <w:tcW w:w="852"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0859FCB4"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2 233 </w:t>
            </w:r>
          </w:p>
        </w:tc>
        <w:tc>
          <w:tcPr>
            <w:tcW w:w="8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403022"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2 138 </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838D63"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2 245 </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D3E8F4"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2 100 </w:t>
            </w:r>
          </w:p>
        </w:tc>
        <w:tc>
          <w:tcPr>
            <w:tcW w:w="9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9CB841"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2 041 </w:t>
            </w:r>
          </w:p>
        </w:tc>
        <w:tc>
          <w:tcPr>
            <w:tcW w:w="906" w:type="dxa"/>
            <w:tcBorders>
              <w:top w:val="nil"/>
              <w:left w:val="nil"/>
              <w:bottom w:val="single" w:sz="8" w:space="0" w:color="000000"/>
              <w:right w:val="single" w:sz="8" w:space="0" w:color="000000"/>
            </w:tcBorders>
            <w:shd w:val="clear" w:color="auto" w:fill="FFFFFF"/>
          </w:tcPr>
          <w:p w14:paraId="68554065"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15 751</w:t>
            </w:r>
          </w:p>
        </w:tc>
      </w:tr>
      <w:tr w:rsidR="003F3F1F" w:rsidRPr="003F3F1F" w14:paraId="20464EF5" w14:textId="77777777" w:rsidTr="003F3F1F">
        <w:trPr>
          <w:trHeight w:val="255"/>
        </w:trPr>
        <w:tc>
          <w:tcPr>
            <w:tcW w:w="1217" w:type="dxa"/>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hideMark/>
          </w:tcPr>
          <w:p w14:paraId="3B01EF9E" w14:textId="77777777" w:rsidR="003F3F1F" w:rsidRPr="003F3F1F" w:rsidRDefault="003F3F1F" w:rsidP="003F3F1F">
            <w:pPr>
              <w:spacing w:after="0" w:line="240" w:lineRule="auto"/>
              <w:jc w:val="center"/>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b/>
                <w:bCs/>
                <w:color w:val="222222"/>
                <w:sz w:val="20"/>
                <w:szCs w:val="20"/>
                <w:lang w:eastAsia="sk-SK"/>
              </w:rPr>
              <w:t>2014 (%)</w:t>
            </w:r>
          </w:p>
        </w:tc>
        <w:tc>
          <w:tcPr>
            <w:tcW w:w="1123"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54524987"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6,51 </w:t>
            </w:r>
          </w:p>
        </w:tc>
        <w:tc>
          <w:tcPr>
            <w:tcW w:w="802"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73DBA4AB"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6,65 </w:t>
            </w:r>
          </w:p>
        </w:tc>
        <w:tc>
          <w:tcPr>
            <w:tcW w:w="8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C493226"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18,55 </w:t>
            </w:r>
          </w:p>
        </w:tc>
        <w:tc>
          <w:tcPr>
            <w:tcW w:w="852"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2F15C9BA"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14,18 </w:t>
            </w:r>
          </w:p>
        </w:tc>
        <w:tc>
          <w:tcPr>
            <w:tcW w:w="84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71E8A9F4"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13,57 </w:t>
            </w:r>
          </w:p>
        </w:tc>
        <w:tc>
          <w:tcPr>
            <w:tcW w:w="85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05CCD720"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14,25 </w:t>
            </w:r>
          </w:p>
        </w:tc>
        <w:tc>
          <w:tcPr>
            <w:tcW w:w="794"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1E65A63E"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13,33 </w:t>
            </w:r>
          </w:p>
        </w:tc>
        <w:tc>
          <w:tcPr>
            <w:tcW w:w="905"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3CA7542B"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12,96 </w:t>
            </w:r>
          </w:p>
        </w:tc>
        <w:tc>
          <w:tcPr>
            <w:tcW w:w="906" w:type="dxa"/>
            <w:tcBorders>
              <w:top w:val="nil"/>
              <w:left w:val="nil"/>
              <w:bottom w:val="single" w:sz="8" w:space="0" w:color="auto"/>
              <w:right w:val="single" w:sz="8" w:space="0" w:color="000000"/>
            </w:tcBorders>
            <w:shd w:val="clear" w:color="auto" w:fill="FFFFFF"/>
          </w:tcPr>
          <w:p w14:paraId="7A54BF92" w14:textId="77777777" w:rsidR="003F3F1F" w:rsidRPr="003F3F1F" w:rsidRDefault="003F3F1F" w:rsidP="003F3F1F">
            <w:pPr>
              <w:spacing w:after="0" w:line="240" w:lineRule="auto"/>
              <w:jc w:val="right"/>
              <w:rPr>
                <w:rFonts w:ascii="Times New Roman" w:eastAsia="Times New Roman" w:hAnsi="Times New Roman" w:cs="Times New Roman"/>
                <w:color w:val="222222"/>
                <w:sz w:val="20"/>
                <w:szCs w:val="20"/>
                <w:lang w:eastAsia="sk-SK"/>
              </w:rPr>
            </w:pPr>
            <w:r w:rsidRPr="003F3F1F">
              <w:rPr>
                <w:rFonts w:ascii="Times New Roman" w:eastAsia="Times New Roman" w:hAnsi="Times New Roman" w:cs="Times New Roman"/>
                <w:color w:val="222222"/>
                <w:sz w:val="20"/>
                <w:szCs w:val="20"/>
                <w:lang w:eastAsia="sk-SK"/>
              </w:rPr>
              <w:t>100</w:t>
            </w:r>
          </w:p>
        </w:tc>
      </w:tr>
    </w:tbl>
    <w:p w14:paraId="444FDDDA" w14:textId="77777777" w:rsidR="00BB5E81" w:rsidRDefault="00BB5E81" w:rsidP="00BB5E81">
      <w:pPr>
        <w:spacing w:after="0" w:line="360" w:lineRule="auto"/>
        <w:jc w:val="both"/>
        <w:rPr>
          <w:rFonts w:ascii="Times New Roman" w:hAnsi="Times New Roman" w:cs="Times New Roman"/>
          <w:b/>
          <w:sz w:val="20"/>
          <w:szCs w:val="20"/>
        </w:rPr>
      </w:pPr>
    </w:p>
    <w:p w14:paraId="46FECDA9" w14:textId="77777777" w:rsidR="00EC62F5" w:rsidRPr="00EC62F5" w:rsidRDefault="00BB5E81" w:rsidP="00BB5E81">
      <w:pPr>
        <w:spacing w:after="0" w:line="360" w:lineRule="auto"/>
        <w:jc w:val="both"/>
        <w:rPr>
          <w:rFonts w:ascii="Times New Roman" w:hAnsi="Times New Roman" w:cs="Times New Roman"/>
          <w:sz w:val="24"/>
          <w:szCs w:val="24"/>
        </w:rPr>
      </w:pPr>
      <w:r>
        <w:rPr>
          <w:rFonts w:ascii="Times New Roman" w:hAnsi="Times New Roman" w:cs="Times New Roman"/>
          <w:b/>
          <w:sz w:val="20"/>
          <w:szCs w:val="20"/>
        </w:rPr>
        <w:tab/>
      </w:r>
      <w:r w:rsidR="00EC62F5" w:rsidRPr="00EC62F5">
        <w:rPr>
          <w:rFonts w:ascii="Times New Roman" w:hAnsi="Times New Roman" w:cs="Times New Roman"/>
          <w:sz w:val="24"/>
          <w:szCs w:val="24"/>
        </w:rPr>
        <w:t xml:space="preserve">Štruktúru uchádzačov o zamestnanie podľa veku uchádzačov znázorňuje </w:t>
      </w:r>
      <w:r w:rsidR="00EC62F5" w:rsidRPr="008020B9">
        <w:rPr>
          <w:rFonts w:ascii="Times New Roman" w:hAnsi="Times New Roman" w:cs="Times New Roman"/>
          <w:sz w:val="24"/>
          <w:szCs w:val="24"/>
        </w:rPr>
        <w:t xml:space="preserve">tabuľka </w:t>
      </w:r>
      <w:r>
        <w:rPr>
          <w:rFonts w:ascii="Times New Roman" w:hAnsi="Times New Roman" w:cs="Times New Roman"/>
          <w:sz w:val="24"/>
          <w:szCs w:val="24"/>
        </w:rPr>
        <w:t>3.1.</w:t>
      </w:r>
      <w:r w:rsidR="008020B9">
        <w:rPr>
          <w:rFonts w:ascii="Times New Roman" w:hAnsi="Times New Roman" w:cs="Times New Roman"/>
          <w:sz w:val="24"/>
          <w:szCs w:val="24"/>
        </w:rPr>
        <w:t>30</w:t>
      </w:r>
      <w:r w:rsidR="00EC62F5" w:rsidRPr="00EC62F5">
        <w:rPr>
          <w:rFonts w:ascii="Times New Roman" w:hAnsi="Times New Roman" w:cs="Times New Roman"/>
          <w:sz w:val="24"/>
          <w:szCs w:val="24"/>
        </w:rPr>
        <w:t xml:space="preserve">. Z nej možno vydedukovať, že najviac uchádzačov o zamestnanie je v kategórií </w:t>
      </w:r>
      <w:r w:rsidR="00A673AF">
        <w:rPr>
          <w:rFonts w:ascii="Times New Roman" w:hAnsi="Times New Roman" w:cs="Times New Roman"/>
          <w:sz w:val="24"/>
          <w:szCs w:val="24"/>
        </w:rPr>
        <w:t>nad 59</w:t>
      </w:r>
      <w:r w:rsidR="00EC62F5" w:rsidRPr="00EC62F5">
        <w:rPr>
          <w:rFonts w:ascii="Times New Roman" w:hAnsi="Times New Roman" w:cs="Times New Roman"/>
          <w:sz w:val="24"/>
          <w:szCs w:val="24"/>
        </w:rPr>
        <w:t xml:space="preserve"> (rok 20</w:t>
      </w:r>
      <w:r w:rsidR="00A673AF">
        <w:rPr>
          <w:rFonts w:ascii="Times New Roman" w:hAnsi="Times New Roman" w:cs="Times New Roman"/>
          <w:sz w:val="24"/>
          <w:szCs w:val="24"/>
        </w:rPr>
        <w:t>14</w:t>
      </w:r>
      <w:r w:rsidR="00EC62F5" w:rsidRPr="00EC62F5">
        <w:rPr>
          <w:rFonts w:ascii="Times New Roman" w:hAnsi="Times New Roman" w:cs="Times New Roman"/>
          <w:sz w:val="24"/>
          <w:szCs w:val="24"/>
        </w:rPr>
        <w:t xml:space="preserve"> – </w:t>
      </w:r>
      <w:r w:rsidR="00A673AF">
        <w:rPr>
          <w:rFonts w:ascii="Times New Roman" w:hAnsi="Times New Roman" w:cs="Times New Roman"/>
          <w:sz w:val="24"/>
          <w:szCs w:val="24"/>
        </w:rPr>
        <w:t>28,13</w:t>
      </w:r>
      <w:r w:rsidR="00EC62F5" w:rsidRPr="00EC62F5">
        <w:rPr>
          <w:rFonts w:ascii="Times New Roman" w:hAnsi="Times New Roman" w:cs="Times New Roman"/>
          <w:sz w:val="24"/>
          <w:szCs w:val="24"/>
        </w:rPr>
        <w:t xml:space="preserve"> %) a </w:t>
      </w:r>
      <w:r w:rsidR="00A673AF">
        <w:rPr>
          <w:rFonts w:ascii="Times New Roman" w:hAnsi="Times New Roman" w:cs="Times New Roman"/>
          <w:sz w:val="24"/>
          <w:szCs w:val="24"/>
        </w:rPr>
        <w:t>45 - 49</w:t>
      </w:r>
      <w:r w:rsidR="00EC62F5" w:rsidRPr="00EC62F5">
        <w:rPr>
          <w:rFonts w:ascii="Times New Roman" w:hAnsi="Times New Roman" w:cs="Times New Roman"/>
          <w:sz w:val="24"/>
          <w:szCs w:val="24"/>
        </w:rPr>
        <w:t xml:space="preserve"> ročných (</w:t>
      </w:r>
      <w:r w:rsidR="00A673AF">
        <w:rPr>
          <w:rFonts w:ascii="Times New Roman" w:hAnsi="Times New Roman" w:cs="Times New Roman"/>
          <w:sz w:val="24"/>
          <w:szCs w:val="24"/>
        </w:rPr>
        <w:t>8,87</w:t>
      </w:r>
      <w:r w:rsidR="00EC62F5" w:rsidRPr="00EC62F5">
        <w:rPr>
          <w:rFonts w:ascii="Times New Roman" w:hAnsi="Times New Roman" w:cs="Times New Roman"/>
          <w:sz w:val="24"/>
          <w:szCs w:val="24"/>
        </w:rPr>
        <w:t xml:space="preserve"> %), čo sú kategórie ktoré sú všeobecne najviac postihnuté prepúšťaním z pracovných pomerov v dôsledku blí</w:t>
      </w:r>
      <w:r w:rsidR="002509B8">
        <w:rPr>
          <w:rFonts w:ascii="Times New Roman" w:hAnsi="Times New Roman" w:cs="Times New Roman"/>
          <w:sz w:val="24"/>
          <w:szCs w:val="24"/>
        </w:rPr>
        <w:t>zkosti k dôchodkovému veku a prijí</w:t>
      </w:r>
      <w:r w:rsidR="00EC62F5" w:rsidRPr="00EC62F5">
        <w:rPr>
          <w:rFonts w:ascii="Times New Roman" w:hAnsi="Times New Roman" w:cs="Times New Roman"/>
          <w:sz w:val="24"/>
          <w:szCs w:val="24"/>
        </w:rPr>
        <w:t>maním mladšej pracovnej sily. Vysoký podiel tvorí aj kategória 20-24 ročných (</w:t>
      </w:r>
      <w:r w:rsidR="00A673AF">
        <w:rPr>
          <w:rFonts w:ascii="Times New Roman" w:hAnsi="Times New Roman" w:cs="Times New Roman"/>
          <w:sz w:val="24"/>
          <w:szCs w:val="24"/>
        </w:rPr>
        <w:t>14,40</w:t>
      </w:r>
      <w:r w:rsidR="00EC62F5" w:rsidRPr="00EC62F5">
        <w:rPr>
          <w:rFonts w:ascii="Times New Roman" w:hAnsi="Times New Roman" w:cs="Times New Roman"/>
          <w:sz w:val="24"/>
          <w:szCs w:val="24"/>
        </w:rPr>
        <w:t xml:space="preserve"> %), kde patria mladí ľudia vychádzajúci zo škôl, hľadajúci si svoje prvé zamestnanie. Kategórie 25-44 ročných sú najstabilnejšie z toho hľadiska, že človek dosahuje v tomto veku najlepšie výkony v práci, je adaptabilnejší, má už isté pracovné skúsenosti, dobre zvláda stresové situácie, a tým pádom je pre zamestnávateľa žiadaným. </w:t>
      </w:r>
    </w:p>
    <w:p w14:paraId="3824A197" w14:textId="77777777" w:rsidR="003F3F1F" w:rsidRDefault="008020B9" w:rsidP="003F3F1F">
      <w:pPr>
        <w:shd w:val="clear" w:color="auto" w:fill="FFFFFF"/>
        <w:spacing w:before="120" w:after="0" w:line="330" w:lineRule="atLeast"/>
        <w:jc w:val="both"/>
        <w:rPr>
          <w:rFonts w:ascii="Calibri" w:eastAsia="Times New Roman" w:hAnsi="Calibri" w:cs="Times New Roman"/>
          <w:color w:val="222222"/>
          <w:lang w:eastAsia="sk-SK"/>
        </w:rPr>
      </w:pPr>
      <w:r>
        <w:rPr>
          <w:rFonts w:ascii="Times New Roman" w:eastAsia="Times New Roman" w:hAnsi="Times New Roman" w:cs="Times New Roman"/>
          <w:b/>
          <w:bCs/>
          <w:color w:val="222222"/>
          <w:sz w:val="20"/>
          <w:szCs w:val="20"/>
          <w:lang w:eastAsia="sk-SK"/>
        </w:rPr>
        <w:t>Tabuľka 3.1.30</w:t>
      </w:r>
      <w:r w:rsidR="003F3F1F">
        <w:rPr>
          <w:rFonts w:ascii="Times New Roman" w:eastAsia="Times New Roman" w:hAnsi="Times New Roman" w:cs="Times New Roman"/>
          <w:b/>
          <w:bCs/>
          <w:color w:val="222222"/>
          <w:sz w:val="20"/>
          <w:szCs w:val="20"/>
          <w:lang w:eastAsia="sk-SK"/>
        </w:rPr>
        <w:t xml:space="preserve"> </w:t>
      </w:r>
      <w:r w:rsidR="003F3F1F" w:rsidRPr="00280D9B">
        <w:rPr>
          <w:rFonts w:ascii="Times New Roman" w:eastAsia="Times New Roman" w:hAnsi="Times New Roman" w:cs="Times New Roman"/>
          <w:b/>
          <w:bCs/>
          <w:color w:val="222222"/>
          <w:sz w:val="20"/>
          <w:szCs w:val="20"/>
          <w:lang w:eastAsia="sk-SK"/>
        </w:rPr>
        <w:t xml:space="preserve">Počet uchádzačov o zamestnanie v Kopaničiarskom regióne v roku 2014 podľa </w:t>
      </w:r>
      <w:r w:rsidR="003F3F1F">
        <w:rPr>
          <w:rFonts w:ascii="Times New Roman" w:eastAsia="Times New Roman" w:hAnsi="Times New Roman" w:cs="Times New Roman"/>
          <w:b/>
          <w:bCs/>
          <w:color w:val="222222"/>
          <w:sz w:val="20"/>
          <w:szCs w:val="20"/>
          <w:lang w:eastAsia="sk-SK"/>
        </w:rPr>
        <w:t>veku uchádzačov</w:t>
      </w:r>
    </w:p>
    <w:tbl>
      <w:tblPr>
        <w:tblW w:w="9179" w:type="dxa"/>
        <w:tblInd w:w="108" w:type="dxa"/>
        <w:shd w:val="clear" w:color="auto" w:fill="FFFFFF"/>
        <w:tblCellMar>
          <w:left w:w="0" w:type="dxa"/>
          <w:right w:w="0" w:type="dxa"/>
        </w:tblCellMar>
        <w:tblLook w:val="04A0" w:firstRow="1" w:lastRow="0" w:firstColumn="1" w:lastColumn="0" w:noHBand="0" w:noVBand="1"/>
      </w:tblPr>
      <w:tblGrid>
        <w:gridCol w:w="1135"/>
        <w:gridCol w:w="1123"/>
        <w:gridCol w:w="802"/>
        <w:gridCol w:w="716"/>
        <w:gridCol w:w="823"/>
        <w:gridCol w:w="795"/>
        <w:gridCol w:w="826"/>
        <w:gridCol w:w="808"/>
        <w:gridCol w:w="910"/>
        <w:gridCol w:w="1241"/>
      </w:tblGrid>
      <w:tr w:rsidR="003F3F1F" w:rsidRPr="00280D9B" w14:paraId="6E34EF12" w14:textId="77777777" w:rsidTr="003F3F1F">
        <w:trPr>
          <w:trHeight w:val="255"/>
        </w:trPr>
        <w:tc>
          <w:tcPr>
            <w:tcW w:w="1135" w:type="dxa"/>
            <w:tcBorders>
              <w:top w:val="single" w:sz="8" w:space="0" w:color="auto"/>
              <w:left w:val="single" w:sz="8" w:space="0" w:color="auto"/>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7057E57C"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Rok</w:t>
            </w:r>
          </w:p>
        </w:tc>
        <w:tc>
          <w:tcPr>
            <w:tcW w:w="1123"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770BB8C2"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do 19 r.</w:t>
            </w:r>
          </w:p>
        </w:tc>
        <w:tc>
          <w:tcPr>
            <w:tcW w:w="802"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17BBEE47"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20-24 r.</w:t>
            </w:r>
          </w:p>
        </w:tc>
        <w:tc>
          <w:tcPr>
            <w:tcW w:w="716"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FB0E0C1"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25-29 r.</w:t>
            </w:r>
          </w:p>
        </w:tc>
        <w:tc>
          <w:tcPr>
            <w:tcW w:w="823"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5FAB001D"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30-34 r.</w:t>
            </w:r>
          </w:p>
        </w:tc>
        <w:tc>
          <w:tcPr>
            <w:tcW w:w="795"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E30349F"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35-39 r.</w:t>
            </w:r>
          </w:p>
        </w:tc>
        <w:tc>
          <w:tcPr>
            <w:tcW w:w="826"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A5F9AAA"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40-44 r.</w:t>
            </w:r>
          </w:p>
        </w:tc>
        <w:tc>
          <w:tcPr>
            <w:tcW w:w="808"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0BD62F9"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45-49 r.</w:t>
            </w:r>
          </w:p>
        </w:tc>
        <w:tc>
          <w:tcPr>
            <w:tcW w:w="910"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C8A9D90"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nad 50 r.</w:t>
            </w:r>
          </w:p>
        </w:tc>
        <w:tc>
          <w:tcPr>
            <w:tcW w:w="1241" w:type="dxa"/>
            <w:tcBorders>
              <w:top w:val="single" w:sz="8" w:space="0" w:color="auto"/>
              <w:left w:val="nil"/>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0CCB4C25"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Spolu</w:t>
            </w:r>
          </w:p>
        </w:tc>
      </w:tr>
      <w:tr w:rsidR="003F3F1F" w:rsidRPr="00280D9B" w14:paraId="12AC70B8" w14:textId="77777777" w:rsidTr="003F3F1F">
        <w:trPr>
          <w:trHeight w:val="255"/>
        </w:trPr>
        <w:tc>
          <w:tcPr>
            <w:tcW w:w="1135" w:type="dxa"/>
            <w:tcBorders>
              <w:top w:val="nil"/>
              <w:left w:val="single" w:sz="8" w:space="0" w:color="auto"/>
              <w:bottom w:val="single" w:sz="8" w:space="0" w:color="000000"/>
              <w:right w:val="single" w:sz="8" w:space="0" w:color="000000"/>
            </w:tcBorders>
            <w:shd w:val="clear" w:color="auto" w:fill="FFFFFF"/>
            <w:noWrap/>
            <w:tcMar>
              <w:top w:w="0" w:type="dxa"/>
              <w:left w:w="108" w:type="dxa"/>
              <w:bottom w:w="0" w:type="dxa"/>
              <w:right w:w="108" w:type="dxa"/>
            </w:tcMar>
            <w:vAlign w:val="center"/>
            <w:hideMark/>
          </w:tcPr>
          <w:p w14:paraId="7FC47840"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2014</w:t>
            </w:r>
          </w:p>
        </w:tc>
        <w:tc>
          <w:tcPr>
            <w:tcW w:w="1123"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2F46330D"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58</w:t>
            </w:r>
            <w:r w:rsidRPr="00280D9B">
              <w:rPr>
                <w:rFonts w:ascii="Times New Roman" w:eastAsia="Times New Roman" w:hAnsi="Times New Roman" w:cs="Times New Roman"/>
                <w:color w:val="222222"/>
                <w:sz w:val="20"/>
                <w:szCs w:val="20"/>
                <w:lang w:eastAsia="sk-SK"/>
              </w:rPr>
              <w:t> </w:t>
            </w:r>
          </w:p>
        </w:tc>
        <w:tc>
          <w:tcPr>
            <w:tcW w:w="802"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332140AE"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294</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BB2D94"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256</w:t>
            </w:r>
            <w:r w:rsidRPr="00280D9B">
              <w:rPr>
                <w:rFonts w:ascii="Times New Roman" w:eastAsia="Times New Roman" w:hAnsi="Times New Roman" w:cs="Times New Roman"/>
                <w:color w:val="222222"/>
                <w:sz w:val="20"/>
                <w:szCs w:val="20"/>
                <w:lang w:eastAsia="sk-SK"/>
              </w:rPr>
              <w:t> </w:t>
            </w:r>
          </w:p>
        </w:tc>
        <w:tc>
          <w:tcPr>
            <w:tcW w:w="823"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30D03C7E"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220</w:t>
            </w:r>
            <w:r w:rsidRPr="00280D9B">
              <w:rPr>
                <w:rFonts w:ascii="Times New Roman" w:eastAsia="Times New Roman" w:hAnsi="Times New Roman" w:cs="Times New Roman"/>
                <w:color w:val="222222"/>
                <w:sz w:val="20"/>
                <w:szCs w:val="20"/>
                <w:lang w:eastAsia="sk-SK"/>
              </w:rPr>
              <w:t> </w:t>
            </w:r>
          </w:p>
        </w:tc>
        <w:tc>
          <w:tcPr>
            <w:tcW w:w="7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AD6A51"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232</w:t>
            </w:r>
            <w:r w:rsidRPr="00280D9B">
              <w:rPr>
                <w:rFonts w:ascii="Times New Roman" w:eastAsia="Times New Roman" w:hAnsi="Times New Roman" w:cs="Times New Roman"/>
                <w:color w:val="222222"/>
                <w:sz w:val="20"/>
                <w:szCs w:val="20"/>
                <w:lang w:eastAsia="sk-SK"/>
              </w:rPr>
              <w:t> </w:t>
            </w:r>
          </w:p>
        </w:tc>
        <w:tc>
          <w:tcPr>
            <w:tcW w:w="8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D47645"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226</w:t>
            </w:r>
            <w:r w:rsidRPr="00280D9B">
              <w:rPr>
                <w:rFonts w:ascii="Times New Roman" w:eastAsia="Times New Roman" w:hAnsi="Times New Roman" w:cs="Times New Roman"/>
                <w:color w:val="222222"/>
                <w:sz w:val="20"/>
                <w:szCs w:val="20"/>
                <w:lang w:eastAsia="sk-SK"/>
              </w:rPr>
              <w:t> </w:t>
            </w:r>
          </w:p>
        </w:tc>
        <w:tc>
          <w:tcPr>
            <w:tcW w:w="8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CA34E5"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181</w:t>
            </w:r>
            <w:r w:rsidRPr="00280D9B">
              <w:rPr>
                <w:rFonts w:ascii="Times New Roman" w:eastAsia="Times New Roman" w:hAnsi="Times New Roman" w:cs="Times New Roman"/>
                <w:color w:val="222222"/>
                <w:sz w:val="20"/>
                <w:szCs w:val="20"/>
                <w:lang w:eastAsia="sk-SK"/>
              </w:rPr>
              <w:t> </w:t>
            </w:r>
          </w:p>
        </w:tc>
        <w:tc>
          <w:tcPr>
            <w:tcW w:w="9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5C0A89"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sidRPr="001401D7">
              <w:rPr>
                <w:rFonts w:ascii="Times New Roman" w:eastAsia="Times New Roman" w:hAnsi="Times New Roman" w:cs="Times New Roman"/>
                <w:color w:val="222222"/>
                <w:sz w:val="20"/>
                <w:szCs w:val="20"/>
                <w:lang w:eastAsia="sk-SK"/>
              </w:rPr>
              <w:t>574</w:t>
            </w:r>
            <w:r w:rsidRPr="00280D9B">
              <w:rPr>
                <w:rFonts w:ascii="Times New Roman" w:eastAsia="Times New Roman" w:hAnsi="Times New Roman" w:cs="Times New Roman"/>
                <w:color w:val="222222"/>
                <w:sz w:val="20"/>
                <w:szCs w:val="20"/>
                <w:lang w:eastAsia="sk-SK"/>
              </w:rPr>
              <w:t> </w:t>
            </w:r>
          </w:p>
        </w:tc>
        <w:tc>
          <w:tcPr>
            <w:tcW w:w="1241" w:type="dxa"/>
            <w:tcBorders>
              <w:top w:val="nil"/>
              <w:left w:val="nil"/>
              <w:bottom w:val="single" w:sz="8" w:space="0" w:color="000000"/>
              <w:right w:val="single" w:sz="8" w:space="0" w:color="auto"/>
            </w:tcBorders>
            <w:shd w:val="clear" w:color="auto" w:fill="FFFFFF"/>
            <w:noWrap/>
            <w:tcMar>
              <w:top w:w="0" w:type="dxa"/>
              <w:left w:w="108" w:type="dxa"/>
              <w:bottom w:w="0" w:type="dxa"/>
              <w:right w:w="108" w:type="dxa"/>
            </w:tcMar>
            <w:hideMark/>
          </w:tcPr>
          <w:p w14:paraId="490CFF56"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2041</w:t>
            </w:r>
            <w:r w:rsidRPr="00280D9B">
              <w:rPr>
                <w:rFonts w:ascii="Times New Roman" w:eastAsia="Times New Roman" w:hAnsi="Times New Roman" w:cs="Times New Roman"/>
                <w:color w:val="222222"/>
                <w:sz w:val="20"/>
                <w:szCs w:val="20"/>
                <w:lang w:eastAsia="sk-SK"/>
              </w:rPr>
              <w:t> </w:t>
            </w:r>
          </w:p>
        </w:tc>
      </w:tr>
      <w:tr w:rsidR="003F3F1F" w:rsidRPr="00280D9B" w14:paraId="607C125A" w14:textId="77777777" w:rsidTr="003F3F1F">
        <w:trPr>
          <w:trHeight w:val="255"/>
        </w:trPr>
        <w:tc>
          <w:tcPr>
            <w:tcW w:w="1135" w:type="dxa"/>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hideMark/>
          </w:tcPr>
          <w:p w14:paraId="7C6CFA96" w14:textId="77777777" w:rsidR="003F3F1F" w:rsidRPr="00280D9B" w:rsidRDefault="003F3F1F" w:rsidP="003F3F1F">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2014 (%)</w:t>
            </w:r>
          </w:p>
        </w:tc>
        <w:tc>
          <w:tcPr>
            <w:tcW w:w="1123"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7BD65216"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2,84</w:t>
            </w:r>
            <w:r w:rsidRPr="00280D9B">
              <w:rPr>
                <w:rFonts w:ascii="Times New Roman" w:eastAsia="Times New Roman" w:hAnsi="Times New Roman" w:cs="Times New Roman"/>
                <w:color w:val="222222"/>
                <w:sz w:val="20"/>
                <w:szCs w:val="20"/>
                <w:lang w:eastAsia="sk-SK"/>
              </w:rPr>
              <w:t> </w:t>
            </w:r>
          </w:p>
        </w:tc>
        <w:tc>
          <w:tcPr>
            <w:tcW w:w="802"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68181119"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14,40</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7E54D6B4"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12,54</w:t>
            </w:r>
            <w:r w:rsidRPr="00280D9B">
              <w:rPr>
                <w:rFonts w:ascii="Times New Roman" w:eastAsia="Times New Roman" w:hAnsi="Times New Roman" w:cs="Times New Roman"/>
                <w:color w:val="222222"/>
                <w:sz w:val="20"/>
                <w:szCs w:val="20"/>
                <w:lang w:eastAsia="sk-SK"/>
              </w:rPr>
              <w:t> </w:t>
            </w:r>
          </w:p>
        </w:tc>
        <w:tc>
          <w:tcPr>
            <w:tcW w:w="823"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17BDA371"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10,78</w:t>
            </w:r>
            <w:r w:rsidRPr="00280D9B">
              <w:rPr>
                <w:rFonts w:ascii="Times New Roman" w:eastAsia="Times New Roman" w:hAnsi="Times New Roman" w:cs="Times New Roman"/>
                <w:color w:val="222222"/>
                <w:sz w:val="20"/>
                <w:szCs w:val="20"/>
                <w:lang w:eastAsia="sk-SK"/>
              </w:rPr>
              <w:t> </w:t>
            </w:r>
          </w:p>
        </w:tc>
        <w:tc>
          <w:tcPr>
            <w:tcW w:w="795"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6133D6D4"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11,37</w:t>
            </w:r>
            <w:r w:rsidRPr="00280D9B">
              <w:rPr>
                <w:rFonts w:ascii="Times New Roman" w:eastAsia="Times New Roman" w:hAnsi="Times New Roman" w:cs="Times New Roman"/>
                <w:color w:val="222222"/>
                <w:sz w:val="20"/>
                <w:szCs w:val="20"/>
                <w:lang w:eastAsia="sk-SK"/>
              </w:rPr>
              <w:t> </w:t>
            </w:r>
          </w:p>
        </w:tc>
        <w:tc>
          <w:tcPr>
            <w:tcW w:w="826"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1CC5665F"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11,07</w:t>
            </w:r>
            <w:r w:rsidRPr="00280D9B">
              <w:rPr>
                <w:rFonts w:ascii="Times New Roman" w:eastAsia="Times New Roman" w:hAnsi="Times New Roman" w:cs="Times New Roman"/>
                <w:color w:val="222222"/>
                <w:sz w:val="20"/>
                <w:szCs w:val="20"/>
                <w:lang w:eastAsia="sk-SK"/>
              </w:rPr>
              <w:t> </w:t>
            </w:r>
          </w:p>
        </w:tc>
        <w:tc>
          <w:tcPr>
            <w:tcW w:w="808"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BF51ECE" w14:textId="77777777" w:rsidR="003F3F1F" w:rsidRPr="00280D9B" w:rsidRDefault="003F3F1F" w:rsidP="003F3F1F">
            <w:pPr>
              <w:spacing w:after="0" w:line="240" w:lineRule="auto"/>
              <w:jc w:val="right"/>
              <w:rPr>
                <w:rFonts w:ascii="Times New Roman" w:eastAsia="Times New Roman" w:hAnsi="Times New Roman" w:cs="Times New Roman"/>
                <w:color w:val="222222"/>
                <w:sz w:val="20"/>
                <w:szCs w:val="20"/>
                <w:lang w:eastAsia="sk-SK"/>
              </w:rPr>
            </w:pPr>
            <w:r>
              <w:rPr>
                <w:rFonts w:ascii="Times New Roman" w:eastAsia="Times New Roman" w:hAnsi="Times New Roman" w:cs="Times New Roman"/>
                <w:color w:val="222222"/>
                <w:sz w:val="20"/>
                <w:szCs w:val="20"/>
                <w:lang w:eastAsia="sk-SK"/>
              </w:rPr>
              <w:t>8,87</w:t>
            </w:r>
          </w:p>
        </w:tc>
        <w:tc>
          <w:tcPr>
            <w:tcW w:w="91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65ABABEF"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28,13</w:t>
            </w:r>
            <w:r w:rsidRPr="00280D9B">
              <w:rPr>
                <w:rFonts w:ascii="Times New Roman" w:eastAsia="Times New Roman" w:hAnsi="Times New Roman" w:cs="Times New Roman"/>
                <w:color w:val="222222"/>
                <w:sz w:val="20"/>
                <w:szCs w:val="20"/>
                <w:lang w:eastAsia="sk-SK"/>
              </w:rPr>
              <w:t> </w:t>
            </w:r>
          </w:p>
        </w:tc>
        <w:tc>
          <w:tcPr>
            <w:tcW w:w="12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5EFEDA2" w14:textId="77777777" w:rsidR="003F3F1F" w:rsidRPr="00280D9B" w:rsidRDefault="003F3F1F" w:rsidP="003F3F1F">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100</w:t>
            </w:r>
            <w:r w:rsidRPr="00280D9B">
              <w:rPr>
                <w:rFonts w:ascii="Times New Roman" w:eastAsia="Times New Roman" w:hAnsi="Times New Roman" w:cs="Times New Roman"/>
                <w:color w:val="222222"/>
                <w:sz w:val="20"/>
                <w:szCs w:val="20"/>
                <w:lang w:eastAsia="sk-SK"/>
              </w:rPr>
              <w:t> </w:t>
            </w:r>
          </w:p>
        </w:tc>
      </w:tr>
    </w:tbl>
    <w:p w14:paraId="12D8F0DF" w14:textId="77777777" w:rsidR="00BB5E81" w:rsidRDefault="00BB5E81" w:rsidP="00BB5E81">
      <w:pPr>
        <w:spacing w:after="0" w:line="360" w:lineRule="auto"/>
        <w:jc w:val="both"/>
        <w:rPr>
          <w:rFonts w:ascii="Times New Roman" w:hAnsi="Times New Roman" w:cs="Times New Roman"/>
          <w:sz w:val="24"/>
          <w:szCs w:val="24"/>
        </w:rPr>
      </w:pPr>
    </w:p>
    <w:p w14:paraId="279D5D40" w14:textId="77777777" w:rsidR="00EC62F5" w:rsidRPr="00EC62F5" w:rsidRDefault="00BB5E81" w:rsidP="00BB5E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62F5" w:rsidRPr="00EC62F5">
        <w:rPr>
          <w:rFonts w:ascii="Times New Roman" w:hAnsi="Times New Roman" w:cs="Times New Roman"/>
          <w:sz w:val="24"/>
          <w:szCs w:val="24"/>
        </w:rPr>
        <w:t>Rozdiely v štruktúre uchádzačov o zamestnanie sledujeme aj podľa stupňa dosiahnutého vzdelania týchto uchádzačov. Najväčší podiel tvoria uchádzači s</w:t>
      </w:r>
      <w:r>
        <w:rPr>
          <w:rFonts w:ascii="Times New Roman" w:hAnsi="Times New Roman" w:cs="Times New Roman"/>
          <w:sz w:val="24"/>
          <w:szCs w:val="24"/>
        </w:rPr>
        <w:t>o stredne odborným vzdelaním</w:t>
      </w:r>
      <w:r w:rsidR="00EC62F5" w:rsidRPr="00EC62F5">
        <w:rPr>
          <w:rFonts w:ascii="Times New Roman" w:hAnsi="Times New Roman" w:cs="Times New Roman"/>
          <w:sz w:val="24"/>
          <w:szCs w:val="24"/>
        </w:rPr>
        <w:t xml:space="preserve"> (rok 20</w:t>
      </w:r>
      <w:r w:rsidR="00A673AF">
        <w:rPr>
          <w:rFonts w:ascii="Times New Roman" w:hAnsi="Times New Roman" w:cs="Times New Roman"/>
          <w:sz w:val="24"/>
          <w:szCs w:val="24"/>
        </w:rPr>
        <w:t>14</w:t>
      </w:r>
      <w:r w:rsidR="00EC62F5" w:rsidRPr="00EC62F5">
        <w:rPr>
          <w:rFonts w:ascii="Times New Roman" w:hAnsi="Times New Roman" w:cs="Times New Roman"/>
          <w:sz w:val="24"/>
          <w:szCs w:val="24"/>
        </w:rPr>
        <w:t xml:space="preserve"> - 3</w:t>
      </w:r>
      <w:r>
        <w:rPr>
          <w:rFonts w:ascii="Times New Roman" w:hAnsi="Times New Roman" w:cs="Times New Roman"/>
          <w:sz w:val="24"/>
          <w:szCs w:val="24"/>
        </w:rPr>
        <w:t>6</w:t>
      </w:r>
      <w:r w:rsidR="00EC62F5" w:rsidRPr="00EC62F5">
        <w:rPr>
          <w:rFonts w:ascii="Times New Roman" w:hAnsi="Times New Roman" w:cs="Times New Roman"/>
          <w:sz w:val="24"/>
          <w:szCs w:val="24"/>
        </w:rPr>
        <w:t>,</w:t>
      </w:r>
      <w:r>
        <w:rPr>
          <w:rFonts w:ascii="Times New Roman" w:hAnsi="Times New Roman" w:cs="Times New Roman"/>
          <w:sz w:val="24"/>
          <w:szCs w:val="24"/>
        </w:rPr>
        <w:t>60</w:t>
      </w:r>
      <w:r w:rsidR="00EC62F5" w:rsidRPr="00EC62F5">
        <w:rPr>
          <w:rFonts w:ascii="Times New Roman" w:hAnsi="Times New Roman" w:cs="Times New Roman"/>
          <w:sz w:val="24"/>
          <w:szCs w:val="24"/>
        </w:rPr>
        <w:t xml:space="preserve"> %) a </w:t>
      </w:r>
      <w:r>
        <w:rPr>
          <w:rFonts w:ascii="Times New Roman" w:hAnsi="Times New Roman" w:cs="Times New Roman"/>
          <w:sz w:val="24"/>
          <w:szCs w:val="24"/>
        </w:rPr>
        <w:t>s úplne stredne odborným vzdelaním</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32,24</w:t>
      </w:r>
      <w:r w:rsidR="00EC62F5" w:rsidRPr="00EC62F5">
        <w:rPr>
          <w:rFonts w:ascii="Times New Roman" w:hAnsi="Times New Roman" w:cs="Times New Roman"/>
          <w:sz w:val="24"/>
          <w:szCs w:val="24"/>
        </w:rPr>
        <w:t xml:space="preserve"> %). </w:t>
      </w:r>
      <w:r w:rsidR="00EC62F5" w:rsidRPr="00EC62F5">
        <w:rPr>
          <w:rFonts w:ascii="Times New Roman" w:hAnsi="Times New Roman" w:cs="Times New Roman"/>
          <w:sz w:val="24"/>
          <w:szCs w:val="24"/>
        </w:rPr>
        <w:lastRenderedPageBreak/>
        <w:t xml:space="preserve">Naopak, najmenej uchádzačov je z kategórie s </w:t>
      </w:r>
      <w:r>
        <w:rPr>
          <w:rFonts w:ascii="Times New Roman" w:hAnsi="Times New Roman" w:cs="Times New Roman"/>
          <w:sz w:val="24"/>
          <w:szCs w:val="24"/>
        </w:rPr>
        <w:t>úplné stredným všeobecným s maturitou</w:t>
      </w:r>
      <w:r w:rsidR="00EC62F5" w:rsidRPr="00EC62F5">
        <w:rPr>
          <w:rFonts w:ascii="Times New Roman" w:hAnsi="Times New Roman" w:cs="Times New Roman"/>
          <w:sz w:val="24"/>
          <w:szCs w:val="24"/>
        </w:rPr>
        <w:t xml:space="preserve"> (</w:t>
      </w:r>
      <w:r>
        <w:rPr>
          <w:rFonts w:ascii="Times New Roman" w:hAnsi="Times New Roman" w:cs="Times New Roman"/>
          <w:sz w:val="24"/>
          <w:szCs w:val="24"/>
        </w:rPr>
        <w:t>3,53</w:t>
      </w:r>
      <w:r w:rsidR="00EC62F5" w:rsidRPr="00EC62F5">
        <w:rPr>
          <w:rFonts w:ascii="Times New Roman" w:hAnsi="Times New Roman" w:cs="Times New Roman"/>
          <w:sz w:val="24"/>
          <w:szCs w:val="24"/>
        </w:rPr>
        <w:t xml:space="preserve"> %), </w:t>
      </w:r>
      <w:r>
        <w:rPr>
          <w:rFonts w:ascii="Times New Roman" w:hAnsi="Times New Roman" w:cs="Times New Roman"/>
          <w:sz w:val="24"/>
          <w:szCs w:val="24"/>
        </w:rPr>
        <w:t>nižšie odborné vzdelanie</w:t>
      </w:r>
      <w:r w:rsidR="00EC62F5" w:rsidRPr="00EC62F5">
        <w:rPr>
          <w:rFonts w:ascii="Times New Roman" w:hAnsi="Times New Roman" w:cs="Times New Roman"/>
          <w:sz w:val="24"/>
          <w:szCs w:val="24"/>
        </w:rPr>
        <w:t xml:space="preserve"> a bez vzdelania (zhodne 0</w:t>
      </w:r>
      <w:r>
        <w:rPr>
          <w:rFonts w:ascii="Times New Roman" w:hAnsi="Times New Roman" w:cs="Times New Roman"/>
          <w:sz w:val="24"/>
          <w:szCs w:val="24"/>
        </w:rPr>
        <w:t>,05</w:t>
      </w:r>
      <w:r w:rsidR="00EC62F5" w:rsidRPr="00EC62F5">
        <w:rPr>
          <w:rFonts w:ascii="Times New Roman" w:hAnsi="Times New Roman" w:cs="Times New Roman"/>
          <w:sz w:val="24"/>
          <w:szCs w:val="24"/>
        </w:rPr>
        <w:t xml:space="preserve"> %). </w:t>
      </w:r>
    </w:p>
    <w:p w14:paraId="5B0F299A" w14:textId="77777777" w:rsidR="00A673AF" w:rsidRDefault="00EC62F5" w:rsidP="00F560B2">
      <w:pPr>
        <w:spacing w:before="120" w:after="0" w:line="360" w:lineRule="auto"/>
        <w:jc w:val="both"/>
        <w:rPr>
          <w:rFonts w:ascii="Times New Roman" w:hAnsi="Times New Roman" w:cs="Times New Roman"/>
          <w:b/>
          <w:sz w:val="24"/>
          <w:szCs w:val="24"/>
        </w:rPr>
      </w:pPr>
      <w:r w:rsidRPr="008020B9">
        <w:rPr>
          <w:rFonts w:ascii="Times New Roman" w:hAnsi="Times New Roman" w:cs="Times New Roman"/>
          <w:b/>
          <w:sz w:val="20"/>
          <w:szCs w:val="20"/>
        </w:rPr>
        <w:t xml:space="preserve">Tabuľka </w:t>
      </w:r>
      <w:r w:rsidR="008020B9" w:rsidRPr="008020B9">
        <w:rPr>
          <w:rFonts w:ascii="Times New Roman" w:hAnsi="Times New Roman" w:cs="Times New Roman"/>
          <w:b/>
          <w:sz w:val="20"/>
          <w:szCs w:val="20"/>
        </w:rPr>
        <w:t>3.1.31</w:t>
      </w:r>
      <w:r w:rsidRPr="008020B9">
        <w:rPr>
          <w:rFonts w:ascii="Times New Roman" w:hAnsi="Times New Roman" w:cs="Times New Roman"/>
          <w:b/>
          <w:sz w:val="20"/>
          <w:szCs w:val="20"/>
        </w:rPr>
        <w:t xml:space="preserve"> </w:t>
      </w:r>
      <w:r w:rsidR="00347CC5">
        <w:rPr>
          <w:rFonts w:ascii="Times New Roman" w:hAnsi="Times New Roman" w:cs="Times New Roman"/>
          <w:b/>
          <w:sz w:val="20"/>
          <w:szCs w:val="20"/>
        </w:rPr>
        <w:t>Počet</w:t>
      </w:r>
      <w:r w:rsidRPr="008020B9">
        <w:rPr>
          <w:rFonts w:ascii="Times New Roman" w:hAnsi="Times New Roman" w:cs="Times New Roman"/>
          <w:b/>
          <w:sz w:val="20"/>
          <w:szCs w:val="20"/>
        </w:rPr>
        <w:t xml:space="preserve"> uchádzačov o zamestnanie podľa dosiahnutého stupňa vzdelania v </w:t>
      </w:r>
      <w:r w:rsidR="00465226">
        <w:rPr>
          <w:rFonts w:ascii="Times New Roman" w:hAnsi="Times New Roman" w:cs="Times New Roman"/>
          <w:b/>
          <w:sz w:val="20"/>
          <w:szCs w:val="20"/>
        </w:rPr>
        <w:t>KR</w:t>
      </w:r>
      <w:r w:rsidRPr="008020B9">
        <w:rPr>
          <w:rFonts w:ascii="Times New Roman" w:hAnsi="Times New Roman" w:cs="Times New Roman"/>
          <w:b/>
          <w:sz w:val="20"/>
          <w:szCs w:val="20"/>
        </w:rPr>
        <w:t xml:space="preserve"> v</w:t>
      </w:r>
      <w:r w:rsidR="00347CC5">
        <w:rPr>
          <w:rFonts w:ascii="Times New Roman" w:hAnsi="Times New Roman" w:cs="Times New Roman"/>
          <w:b/>
          <w:sz w:val="20"/>
          <w:szCs w:val="20"/>
        </w:rPr>
        <w:t> </w:t>
      </w:r>
      <w:r w:rsidRPr="008020B9">
        <w:rPr>
          <w:rFonts w:ascii="Times New Roman" w:hAnsi="Times New Roman" w:cs="Times New Roman"/>
          <w:b/>
          <w:sz w:val="20"/>
          <w:szCs w:val="20"/>
        </w:rPr>
        <w:t>rok</w:t>
      </w:r>
      <w:r w:rsidR="00347CC5">
        <w:rPr>
          <w:rFonts w:ascii="Times New Roman" w:hAnsi="Times New Roman" w:cs="Times New Roman"/>
          <w:b/>
          <w:sz w:val="20"/>
          <w:szCs w:val="20"/>
        </w:rPr>
        <w:t>u 2014</w:t>
      </w:r>
    </w:p>
    <w:tbl>
      <w:tblPr>
        <w:tblStyle w:val="Mriekatabuky"/>
        <w:tblW w:w="8862" w:type="dxa"/>
        <w:tblLook w:val="04A0" w:firstRow="1" w:lastRow="0" w:firstColumn="1" w:lastColumn="0" w:noHBand="0" w:noVBand="1"/>
      </w:tblPr>
      <w:tblGrid>
        <w:gridCol w:w="616"/>
        <w:gridCol w:w="1046"/>
        <w:gridCol w:w="688"/>
        <w:gridCol w:w="941"/>
        <w:gridCol w:w="1123"/>
        <w:gridCol w:w="965"/>
        <w:gridCol w:w="904"/>
        <w:gridCol w:w="1004"/>
        <w:gridCol w:w="858"/>
        <w:gridCol w:w="717"/>
      </w:tblGrid>
      <w:tr w:rsidR="00465226" w14:paraId="436BDFAC" w14:textId="77777777" w:rsidTr="00F560B2">
        <w:trPr>
          <w:trHeight w:val="980"/>
        </w:trPr>
        <w:tc>
          <w:tcPr>
            <w:tcW w:w="616" w:type="dxa"/>
            <w:shd w:val="clear" w:color="auto" w:fill="D9D9D9"/>
          </w:tcPr>
          <w:p w14:paraId="6FBBF27A" w14:textId="77777777" w:rsidR="00465226" w:rsidRPr="00C52C92" w:rsidRDefault="00465226" w:rsidP="00F560B2">
            <w:pPr>
              <w:spacing w:before="120"/>
              <w:rPr>
                <w:rFonts w:ascii="Times New Roman" w:hAnsi="Times New Roman" w:cs="Times New Roman"/>
                <w:b/>
                <w:sz w:val="20"/>
                <w:szCs w:val="20"/>
              </w:rPr>
            </w:pPr>
            <w:r w:rsidRPr="00C52C92">
              <w:rPr>
                <w:rFonts w:ascii="Times New Roman" w:hAnsi="Times New Roman" w:cs="Times New Roman"/>
                <w:b/>
                <w:sz w:val="20"/>
                <w:szCs w:val="20"/>
              </w:rPr>
              <w:t>Rok</w:t>
            </w:r>
          </w:p>
        </w:tc>
        <w:tc>
          <w:tcPr>
            <w:tcW w:w="1046" w:type="dxa"/>
            <w:shd w:val="clear" w:color="auto" w:fill="D9D9D9"/>
          </w:tcPr>
          <w:p w14:paraId="185223FD" w14:textId="77777777" w:rsidR="00465226" w:rsidRDefault="00465226" w:rsidP="00F560B2">
            <w:pPr>
              <w:rPr>
                <w:b/>
                <w:sz w:val="20"/>
                <w:szCs w:val="20"/>
              </w:rPr>
            </w:pPr>
            <w:r>
              <w:rPr>
                <w:b/>
                <w:sz w:val="20"/>
                <w:szCs w:val="20"/>
              </w:rPr>
              <w:t>neukonč.</w:t>
            </w:r>
          </w:p>
          <w:p w14:paraId="223B6985" w14:textId="77777777" w:rsidR="00465226" w:rsidRPr="00C52C92" w:rsidRDefault="00465226" w:rsidP="00F560B2">
            <w:pPr>
              <w:rPr>
                <w:b/>
                <w:sz w:val="20"/>
                <w:szCs w:val="20"/>
              </w:rPr>
            </w:pPr>
            <w:r>
              <w:rPr>
                <w:b/>
                <w:sz w:val="20"/>
                <w:szCs w:val="20"/>
              </w:rPr>
              <w:t>Základné</w:t>
            </w:r>
          </w:p>
        </w:tc>
        <w:tc>
          <w:tcPr>
            <w:tcW w:w="688" w:type="dxa"/>
            <w:shd w:val="clear" w:color="auto" w:fill="D9D9D9"/>
          </w:tcPr>
          <w:p w14:paraId="5C4BC72A" w14:textId="77777777" w:rsidR="00465226" w:rsidRPr="00C52C92" w:rsidRDefault="00465226" w:rsidP="00F560B2">
            <w:pPr>
              <w:rPr>
                <w:b/>
                <w:sz w:val="20"/>
                <w:szCs w:val="20"/>
              </w:rPr>
            </w:pPr>
            <w:r>
              <w:rPr>
                <w:b/>
                <w:sz w:val="20"/>
                <w:szCs w:val="20"/>
              </w:rPr>
              <w:t>úplné zákl.</w:t>
            </w:r>
          </w:p>
        </w:tc>
        <w:tc>
          <w:tcPr>
            <w:tcW w:w="941" w:type="dxa"/>
            <w:shd w:val="clear" w:color="auto" w:fill="D9D9D9"/>
          </w:tcPr>
          <w:p w14:paraId="62248AC5" w14:textId="77777777" w:rsidR="00465226" w:rsidRDefault="00465226" w:rsidP="00F560B2">
            <w:pPr>
              <w:rPr>
                <w:b/>
                <w:sz w:val="20"/>
                <w:szCs w:val="20"/>
              </w:rPr>
            </w:pPr>
            <w:r>
              <w:rPr>
                <w:b/>
                <w:sz w:val="20"/>
                <w:szCs w:val="20"/>
              </w:rPr>
              <w:t>nižšie stred.</w:t>
            </w:r>
          </w:p>
          <w:p w14:paraId="2EEC92B7" w14:textId="77777777" w:rsidR="00465226" w:rsidRPr="00C52C92" w:rsidRDefault="00465226" w:rsidP="00F560B2">
            <w:pPr>
              <w:rPr>
                <w:b/>
                <w:sz w:val="20"/>
                <w:szCs w:val="20"/>
              </w:rPr>
            </w:pPr>
            <w:r>
              <w:rPr>
                <w:b/>
                <w:sz w:val="20"/>
                <w:szCs w:val="20"/>
              </w:rPr>
              <w:t>odborné</w:t>
            </w:r>
          </w:p>
        </w:tc>
        <w:tc>
          <w:tcPr>
            <w:tcW w:w="1123" w:type="dxa"/>
            <w:shd w:val="clear" w:color="auto" w:fill="D9D9D9"/>
          </w:tcPr>
          <w:p w14:paraId="44C54694" w14:textId="77777777" w:rsidR="00465226" w:rsidRDefault="00465226" w:rsidP="00F560B2">
            <w:pPr>
              <w:rPr>
                <w:b/>
                <w:sz w:val="20"/>
                <w:szCs w:val="20"/>
              </w:rPr>
            </w:pPr>
            <w:r>
              <w:rPr>
                <w:b/>
                <w:sz w:val="20"/>
                <w:szCs w:val="20"/>
              </w:rPr>
              <w:t>stred.</w:t>
            </w:r>
          </w:p>
          <w:p w14:paraId="5F317C46" w14:textId="77777777" w:rsidR="00465226" w:rsidRDefault="00465226" w:rsidP="00F560B2">
            <w:pPr>
              <w:rPr>
                <w:b/>
                <w:sz w:val="20"/>
                <w:szCs w:val="20"/>
              </w:rPr>
            </w:pPr>
            <w:r>
              <w:rPr>
                <w:b/>
                <w:sz w:val="20"/>
                <w:szCs w:val="20"/>
              </w:rPr>
              <w:t>odborné</w:t>
            </w:r>
          </w:p>
          <w:p w14:paraId="08796179" w14:textId="77777777" w:rsidR="00465226" w:rsidRPr="00C52C92" w:rsidRDefault="00465226" w:rsidP="00F560B2">
            <w:pPr>
              <w:rPr>
                <w:b/>
                <w:sz w:val="20"/>
                <w:szCs w:val="20"/>
              </w:rPr>
            </w:pPr>
          </w:p>
        </w:tc>
        <w:tc>
          <w:tcPr>
            <w:tcW w:w="965" w:type="dxa"/>
            <w:shd w:val="clear" w:color="auto" w:fill="D9D9D9"/>
          </w:tcPr>
          <w:p w14:paraId="339D22D8" w14:textId="77777777" w:rsidR="00465226" w:rsidRPr="00C52C92" w:rsidRDefault="00465226" w:rsidP="00F560B2">
            <w:pPr>
              <w:rPr>
                <w:b/>
                <w:sz w:val="20"/>
                <w:szCs w:val="20"/>
              </w:rPr>
            </w:pPr>
            <w:r>
              <w:rPr>
                <w:b/>
                <w:sz w:val="20"/>
                <w:szCs w:val="20"/>
              </w:rPr>
              <w:t>úplné stredné odborné</w:t>
            </w:r>
          </w:p>
        </w:tc>
        <w:tc>
          <w:tcPr>
            <w:tcW w:w="904" w:type="dxa"/>
            <w:shd w:val="clear" w:color="auto" w:fill="D9D9D9"/>
          </w:tcPr>
          <w:p w14:paraId="2E4E81AD" w14:textId="77777777" w:rsidR="00465226" w:rsidRPr="00C52C92" w:rsidRDefault="00465226" w:rsidP="00F560B2">
            <w:pPr>
              <w:rPr>
                <w:b/>
                <w:sz w:val="20"/>
                <w:szCs w:val="20"/>
              </w:rPr>
            </w:pPr>
            <w:r>
              <w:rPr>
                <w:b/>
                <w:sz w:val="20"/>
                <w:szCs w:val="20"/>
              </w:rPr>
              <w:t>úplné stred. všeob. s matur.</w:t>
            </w:r>
          </w:p>
        </w:tc>
        <w:tc>
          <w:tcPr>
            <w:tcW w:w="1004" w:type="dxa"/>
            <w:shd w:val="clear" w:color="auto" w:fill="D9D9D9"/>
          </w:tcPr>
          <w:p w14:paraId="14D18F16" w14:textId="77777777" w:rsidR="00465226" w:rsidRDefault="00465226" w:rsidP="00F560B2">
            <w:pPr>
              <w:rPr>
                <w:b/>
                <w:sz w:val="20"/>
                <w:szCs w:val="20"/>
              </w:rPr>
            </w:pPr>
            <w:r>
              <w:rPr>
                <w:b/>
                <w:sz w:val="20"/>
                <w:szCs w:val="20"/>
              </w:rPr>
              <w:t>vyššie</w:t>
            </w:r>
          </w:p>
          <w:p w14:paraId="466AEC2D" w14:textId="77777777" w:rsidR="00465226" w:rsidRPr="00C52C92" w:rsidRDefault="00465226" w:rsidP="00F560B2">
            <w:pPr>
              <w:rPr>
                <w:b/>
                <w:sz w:val="20"/>
                <w:szCs w:val="20"/>
              </w:rPr>
            </w:pPr>
            <w:r>
              <w:rPr>
                <w:b/>
                <w:sz w:val="20"/>
                <w:szCs w:val="20"/>
              </w:rPr>
              <w:t>odbor. vzdelanie</w:t>
            </w:r>
          </w:p>
        </w:tc>
        <w:tc>
          <w:tcPr>
            <w:tcW w:w="858" w:type="dxa"/>
            <w:shd w:val="clear" w:color="auto" w:fill="D9D9D9"/>
          </w:tcPr>
          <w:p w14:paraId="0EF34222" w14:textId="77777777" w:rsidR="00465226" w:rsidRDefault="00465226" w:rsidP="00F560B2">
            <w:pPr>
              <w:rPr>
                <w:b/>
                <w:sz w:val="20"/>
                <w:szCs w:val="20"/>
              </w:rPr>
            </w:pPr>
            <w:r>
              <w:rPr>
                <w:b/>
                <w:sz w:val="20"/>
                <w:szCs w:val="20"/>
              </w:rPr>
              <w:t>vysoko-</w:t>
            </w:r>
          </w:p>
          <w:p w14:paraId="253CC647" w14:textId="77777777" w:rsidR="00465226" w:rsidRPr="00C52C92" w:rsidRDefault="00465226" w:rsidP="00F560B2">
            <w:pPr>
              <w:rPr>
                <w:b/>
                <w:sz w:val="20"/>
                <w:szCs w:val="20"/>
              </w:rPr>
            </w:pPr>
            <w:r>
              <w:rPr>
                <w:b/>
                <w:sz w:val="20"/>
                <w:szCs w:val="20"/>
              </w:rPr>
              <w:t>školské</w:t>
            </w:r>
          </w:p>
        </w:tc>
        <w:tc>
          <w:tcPr>
            <w:tcW w:w="717" w:type="dxa"/>
            <w:shd w:val="clear" w:color="auto" w:fill="D9D9D9"/>
          </w:tcPr>
          <w:p w14:paraId="278F66EA" w14:textId="77777777" w:rsidR="00465226" w:rsidRDefault="00465226" w:rsidP="00F560B2">
            <w:pPr>
              <w:rPr>
                <w:b/>
                <w:sz w:val="20"/>
                <w:szCs w:val="20"/>
              </w:rPr>
            </w:pPr>
            <w:r>
              <w:rPr>
                <w:b/>
                <w:sz w:val="20"/>
                <w:szCs w:val="20"/>
              </w:rPr>
              <w:t>Spolu</w:t>
            </w:r>
          </w:p>
        </w:tc>
      </w:tr>
      <w:tr w:rsidR="00465226" w14:paraId="17285B45" w14:textId="77777777" w:rsidTr="00F560B2">
        <w:tc>
          <w:tcPr>
            <w:tcW w:w="616" w:type="dxa"/>
          </w:tcPr>
          <w:p w14:paraId="1C7099F6" w14:textId="77777777" w:rsidR="00465226" w:rsidRPr="00C52C92" w:rsidRDefault="00465226" w:rsidP="00F560B2">
            <w:pPr>
              <w:jc w:val="center"/>
              <w:rPr>
                <w:rFonts w:ascii="Times New Roman" w:hAnsi="Times New Roman" w:cs="Times New Roman"/>
                <w:b/>
                <w:sz w:val="20"/>
                <w:szCs w:val="20"/>
              </w:rPr>
            </w:pPr>
            <w:r w:rsidRPr="00C52C92">
              <w:rPr>
                <w:rFonts w:ascii="Times New Roman" w:hAnsi="Times New Roman" w:cs="Times New Roman"/>
                <w:b/>
                <w:sz w:val="20"/>
                <w:szCs w:val="20"/>
              </w:rPr>
              <w:t>2014</w:t>
            </w:r>
          </w:p>
        </w:tc>
        <w:tc>
          <w:tcPr>
            <w:tcW w:w="1046" w:type="dxa"/>
          </w:tcPr>
          <w:p w14:paraId="26CF28FE" w14:textId="77777777" w:rsidR="00465226" w:rsidRPr="006D11A7" w:rsidRDefault="00465226" w:rsidP="00F560B2">
            <w:pPr>
              <w:rPr>
                <w:sz w:val="20"/>
                <w:szCs w:val="20"/>
              </w:rPr>
            </w:pPr>
            <w:r w:rsidRPr="006D11A7">
              <w:rPr>
                <w:sz w:val="20"/>
                <w:szCs w:val="20"/>
              </w:rPr>
              <w:t>1</w:t>
            </w:r>
          </w:p>
        </w:tc>
        <w:tc>
          <w:tcPr>
            <w:tcW w:w="688" w:type="dxa"/>
          </w:tcPr>
          <w:p w14:paraId="74645BB5" w14:textId="77777777" w:rsidR="00465226" w:rsidRPr="006D11A7" w:rsidRDefault="00465226" w:rsidP="00F560B2">
            <w:pPr>
              <w:rPr>
                <w:sz w:val="20"/>
                <w:szCs w:val="20"/>
              </w:rPr>
            </w:pPr>
            <w:r>
              <w:rPr>
                <w:sz w:val="20"/>
                <w:szCs w:val="20"/>
              </w:rPr>
              <w:t>320</w:t>
            </w:r>
          </w:p>
        </w:tc>
        <w:tc>
          <w:tcPr>
            <w:tcW w:w="941" w:type="dxa"/>
          </w:tcPr>
          <w:p w14:paraId="491F1AE0" w14:textId="77777777" w:rsidR="00465226" w:rsidRPr="006D11A7" w:rsidRDefault="00465226" w:rsidP="00F560B2">
            <w:pPr>
              <w:rPr>
                <w:sz w:val="20"/>
                <w:szCs w:val="20"/>
              </w:rPr>
            </w:pPr>
            <w:r>
              <w:rPr>
                <w:sz w:val="20"/>
                <w:szCs w:val="20"/>
              </w:rPr>
              <w:t>5</w:t>
            </w:r>
          </w:p>
        </w:tc>
        <w:tc>
          <w:tcPr>
            <w:tcW w:w="1123" w:type="dxa"/>
          </w:tcPr>
          <w:p w14:paraId="4956E169" w14:textId="77777777" w:rsidR="00465226" w:rsidRPr="006D11A7" w:rsidRDefault="00465226" w:rsidP="00F560B2">
            <w:pPr>
              <w:rPr>
                <w:sz w:val="20"/>
                <w:szCs w:val="20"/>
              </w:rPr>
            </w:pPr>
            <w:r>
              <w:rPr>
                <w:sz w:val="20"/>
                <w:szCs w:val="20"/>
              </w:rPr>
              <w:t>747</w:t>
            </w:r>
          </w:p>
        </w:tc>
        <w:tc>
          <w:tcPr>
            <w:tcW w:w="965" w:type="dxa"/>
          </w:tcPr>
          <w:p w14:paraId="25125169" w14:textId="77777777" w:rsidR="00465226" w:rsidRPr="006D11A7" w:rsidRDefault="00465226" w:rsidP="00F560B2">
            <w:pPr>
              <w:rPr>
                <w:sz w:val="20"/>
                <w:szCs w:val="20"/>
              </w:rPr>
            </w:pPr>
            <w:r>
              <w:rPr>
                <w:sz w:val="20"/>
                <w:szCs w:val="20"/>
              </w:rPr>
              <w:t>658</w:t>
            </w:r>
          </w:p>
        </w:tc>
        <w:tc>
          <w:tcPr>
            <w:tcW w:w="904" w:type="dxa"/>
          </w:tcPr>
          <w:p w14:paraId="4ACA01EF" w14:textId="77777777" w:rsidR="00465226" w:rsidRPr="006D11A7" w:rsidRDefault="00465226" w:rsidP="00F560B2">
            <w:pPr>
              <w:rPr>
                <w:sz w:val="20"/>
                <w:szCs w:val="20"/>
              </w:rPr>
            </w:pPr>
            <w:r>
              <w:rPr>
                <w:sz w:val="20"/>
                <w:szCs w:val="20"/>
              </w:rPr>
              <w:t>72</w:t>
            </w:r>
          </w:p>
        </w:tc>
        <w:tc>
          <w:tcPr>
            <w:tcW w:w="1004" w:type="dxa"/>
          </w:tcPr>
          <w:p w14:paraId="42B91108" w14:textId="77777777" w:rsidR="00465226" w:rsidRPr="006D11A7" w:rsidRDefault="00465226" w:rsidP="00F560B2">
            <w:pPr>
              <w:rPr>
                <w:sz w:val="20"/>
                <w:szCs w:val="20"/>
              </w:rPr>
            </w:pPr>
            <w:r>
              <w:rPr>
                <w:sz w:val="20"/>
                <w:szCs w:val="20"/>
              </w:rPr>
              <w:t>6</w:t>
            </w:r>
          </w:p>
        </w:tc>
        <w:tc>
          <w:tcPr>
            <w:tcW w:w="858" w:type="dxa"/>
          </w:tcPr>
          <w:p w14:paraId="50CF2643" w14:textId="77777777" w:rsidR="00465226" w:rsidRPr="006D11A7" w:rsidRDefault="00465226" w:rsidP="00F560B2">
            <w:pPr>
              <w:rPr>
                <w:sz w:val="20"/>
                <w:szCs w:val="20"/>
              </w:rPr>
            </w:pPr>
            <w:r>
              <w:rPr>
                <w:sz w:val="20"/>
                <w:szCs w:val="20"/>
              </w:rPr>
              <w:t>232</w:t>
            </w:r>
          </w:p>
        </w:tc>
        <w:tc>
          <w:tcPr>
            <w:tcW w:w="717" w:type="dxa"/>
          </w:tcPr>
          <w:p w14:paraId="35FBC7AF" w14:textId="77777777" w:rsidR="00465226" w:rsidRDefault="00465226" w:rsidP="00F560B2">
            <w:pPr>
              <w:rPr>
                <w:sz w:val="20"/>
                <w:szCs w:val="20"/>
              </w:rPr>
            </w:pPr>
            <w:r>
              <w:rPr>
                <w:sz w:val="20"/>
                <w:szCs w:val="20"/>
              </w:rPr>
              <w:t>2041</w:t>
            </w:r>
          </w:p>
        </w:tc>
      </w:tr>
      <w:tr w:rsidR="00465226" w14:paraId="7A923EBC" w14:textId="77777777" w:rsidTr="00F560B2">
        <w:tc>
          <w:tcPr>
            <w:tcW w:w="616" w:type="dxa"/>
          </w:tcPr>
          <w:p w14:paraId="02421F9E" w14:textId="77777777" w:rsidR="00465226" w:rsidRPr="00C52C92" w:rsidRDefault="00465226" w:rsidP="00F560B2">
            <w:pPr>
              <w:jc w:val="center"/>
              <w:rPr>
                <w:rFonts w:ascii="Times New Roman" w:hAnsi="Times New Roman" w:cs="Times New Roman"/>
                <w:b/>
                <w:sz w:val="20"/>
                <w:szCs w:val="20"/>
              </w:rPr>
            </w:pPr>
            <w:r w:rsidRPr="00C52C92">
              <w:rPr>
                <w:rFonts w:ascii="Times New Roman" w:hAnsi="Times New Roman" w:cs="Times New Roman"/>
                <w:b/>
                <w:sz w:val="20"/>
                <w:szCs w:val="20"/>
              </w:rPr>
              <w:t>2014 (%)</w:t>
            </w:r>
          </w:p>
        </w:tc>
        <w:tc>
          <w:tcPr>
            <w:tcW w:w="1046" w:type="dxa"/>
          </w:tcPr>
          <w:p w14:paraId="3DC390B1" w14:textId="77777777" w:rsidR="00465226" w:rsidRPr="006D11A7" w:rsidRDefault="00465226" w:rsidP="00F560B2">
            <w:pPr>
              <w:rPr>
                <w:sz w:val="20"/>
                <w:szCs w:val="20"/>
              </w:rPr>
            </w:pPr>
            <w:r>
              <w:rPr>
                <w:sz w:val="20"/>
                <w:szCs w:val="20"/>
              </w:rPr>
              <w:t>0,05</w:t>
            </w:r>
          </w:p>
        </w:tc>
        <w:tc>
          <w:tcPr>
            <w:tcW w:w="688" w:type="dxa"/>
          </w:tcPr>
          <w:p w14:paraId="1292BB29" w14:textId="77777777" w:rsidR="00465226" w:rsidRPr="006D11A7" w:rsidRDefault="00465226" w:rsidP="00F560B2">
            <w:pPr>
              <w:rPr>
                <w:sz w:val="20"/>
                <w:szCs w:val="20"/>
              </w:rPr>
            </w:pPr>
            <w:r>
              <w:rPr>
                <w:sz w:val="20"/>
                <w:szCs w:val="20"/>
              </w:rPr>
              <w:t>15,68</w:t>
            </w:r>
          </w:p>
        </w:tc>
        <w:tc>
          <w:tcPr>
            <w:tcW w:w="941" w:type="dxa"/>
          </w:tcPr>
          <w:p w14:paraId="2222CABF" w14:textId="77777777" w:rsidR="00465226" w:rsidRPr="006D11A7" w:rsidRDefault="00465226" w:rsidP="00F560B2">
            <w:pPr>
              <w:rPr>
                <w:sz w:val="20"/>
                <w:szCs w:val="20"/>
              </w:rPr>
            </w:pPr>
            <w:r>
              <w:rPr>
                <w:sz w:val="20"/>
                <w:szCs w:val="20"/>
              </w:rPr>
              <w:t>0,24</w:t>
            </w:r>
          </w:p>
        </w:tc>
        <w:tc>
          <w:tcPr>
            <w:tcW w:w="1123" w:type="dxa"/>
          </w:tcPr>
          <w:p w14:paraId="2BC8B35E" w14:textId="77777777" w:rsidR="00465226" w:rsidRPr="006D11A7" w:rsidRDefault="00465226" w:rsidP="00F560B2">
            <w:pPr>
              <w:rPr>
                <w:sz w:val="20"/>
                <w:szCs w:val="20"/>
              </w:rPr>
            </w:pPr>
            <w:r>
              <w:rPr>
                <w:sz w:val="20"/>
                <w:szCs w:val="20"/>
              </w:rPr>
              <w:t>36,60</w:t>
            </w:r>
          </w:p>
        </w:tc>
        <w:tc>
          <w:tcPr>
            <w:tcW w:w="965" w:type="dxa"/>
          </w:tcPr>
          <w:p w14:paraId="4D95D68B" w14:textId="77777777" w:rsidR="00465226" w:rsidRPr="006D11A7" w:rsidRDefault="00465226" w:rsidP="00F560B2">
            <w:pPr>
              <w:rPr>
                <w:sz w:val="20"/>
                <w:szCs w:val="20"/>
              </w:rPr>
            </w:pPr>
            <w:r>
              <w:rPr>
                <w:sz w:val="20"/>
                <w:szCs w:val="20"/>
              </w:rPr>
              <w:t>32,24</w:t>
            </w:r>
          </w:p>
        </w:tc>
        <w:tc>
          <w:tcPr>
            <w:tcW w:w="904" w:type="dxa"/>
          </w:tcPr>
          <w:p w14:paraId="08547195" w14:textId="77777777" w:rsidR="00465226" w:rsidRPr="006D11A7" w:rsidRDefault="00465226" w:rsidP="00F560B2">
            <w:pPr>
              <w:rPr>
                <w:sz w:val="20"/>
                <w:szCs w:val="20"/>
              </w:rPr>
            </w:pPr>
            <w:r>
              <w:rPr>
                <w:sz w:val="20"/>
                <w:szCs w:val="20"/>
              </w:rPr>
              <w:t>3,53</w:t>
            </w:r>
          </w:p>
        </w:tc>
        <w:tc>
          <w:tcPr>
            <w:tcW w:w="1004" w:type="dxa"/>
          </w:tcPr>
          <w:p w14:paraId="2A9627DD" w14:textId="77777777" w:rsidR="00465226" w:rsidRPr="006D11A7" w:rsidRDefault="00465226" w:rsidP="00F560B2">
            <w:pPr>
              <w:rPr>
                <w:sz w:val="20"/>
                <w:szCs w:val="20"/>
              </w:rPr>
            </w:pPr>
            <w:r>
              <w:rPr>
                <w:sz w:val="20"/>
                <w:szCs w:val="20"/>
              </w:rPr>
              <w:t>0,29</w:t>
            </w:r>
          </w:p>
        </w:tc>
        <w:tc>
          <w:tcPr>
            <w:tcW w:w="858" w:type="dxa"/>
          </w:tcPr>
          <w:p w14:paraId="5D840EBE" w14:textId="77777777" w:rsidR="00465226" w:rsidRPr="006D11A7" w:rsidRDefault="00465226" w:rsidP="00F560B2">
            <w:pPr>
              <w:rPr>
                <w:sz w:val="20"/>
                <w:szCs w:val="20"/>
              </w:rPr>
            </w:pPr>
            <w:r>
              <w:rPr>
                <w:sz w:val="20"/>
                <w:szCs w:val="20"/>
              </w:rPr>
              <w:t>11,37</w:t>
            </w:r>
          </w:p>
        </w:tc>
        <w:tc>
          <w:tcPr>
            <w:tcW w:w="717" w:type="dxa"/>
          </w:tcPr>
          <w:p w14:paraId="2E36777A" w14:textId="77777777" w:rsidR="00465226" w:rsidRPr="006D11A7" w:rsidRDefault="00465226" w:rsidP="00F560B2">
            <w:pPr>
              <w:rPr>
                <w:sz w:val="20"/>
                <w:szCs w:val="20"/>
              </w:rPr>
            </w:pPr>
            <w:r>
              <w:rPr>
                <w:sz w:val="20"/>
                <w:szCs w:val="20"/>
              </w:rPr>
              <w:t>100</w:t>
            </w:r>
          </w:p>
        </w:tc>
      </w:tr>
    </w:tbl>
    <w:p w14:paraId="577DB412" w14:textId="77777777" w:rsidR="00465226" w:rsidRDefault="00465226" w:rsidP="00465226">
      <w:pPr>
        <w:shd w:val="clear" w:color="auto" w:fill="FFFFFF"/>
        <w:spacing w:after="0" w:line="330" w:lineRule="atLeast"/>
        <w:jc w:val="both"/>
        <w:rPr>
          <w:rFonts w:ascii="Times New Roman" w:eastAsia="Times New Roman" w:hAnsi="Times New Roman" w:cs="Times New Roman"/>
          <w:b/>
          <w:bCs/>
          <w:color w:val="222222"/>
          <w:sz w:val="20"/>
          <w:szCs w:val="20"/>
          <w:lang w:eastAsia="sk-SK"/>
        </w:rPr>
      </w:pPr>
    </w:p>
    <w:p w14:paraId="0C720776" w14:textId="77777777" w:rsidR="00465226" w:rsidRPr="00465226" w:rsidRDefault="005D2E80" w:rsidP="005D2E80">
      <w:pPr>
        <w:shd w:val="clear" w:color="auto" w:fill="FFFFFF"/>
        <w:spacing w:after="0" w:line="360" w:lineRule="auto"/>
        <w:jc w:val="both"/>
        <w:rPr>
          <w:rFonts w:ascii="Times New Roman" w:eastAsia="Times New Roman" w:hAnsi="Times New Roman" w:cs="Times New Roman"/>
          <w:bCs/>
          <w:color w:val="222222"/>
          <w:sz w:val="24"/>
          <w:szCs w:val="24"/>
          <w:lang w:eastAsia="sk-SK"/>
        </w:rPr>
      </w:pPr>
      <w:r>
        <w:rPr>
          <w:rFonts w:ascii="Times New Roman" w:eastAsia="Times New Roman" w:hAnsi="Times New Roman" w:cs="Times New Roman"/>
          <w:bCs/>
          <w:color w:val="222222"/>
          <w:sz w:val="24"/>
          <w:szCs w:val="24"/>
          <w:lang w:eastAsia="sk-SK"/>
        </w:rPr>
        <w:tab/>
      </w:r>
      <w:r w:rsidR="00465226" w:rsidRPr="00465226">
        <w:rPr>
          <w:rFonts w:ascii="Times New Roman" w:eastAsia="Times New Roman" w:hAnsi="Times New Roman" w:cs="Times New Roman"/>
          <w:bCs/>
          <w:color w:val="222222"/>
          <w:sz w:val="24"/>
          <w:szCs w:val="24"/>
          <w:lang w:eastAsia="sk-SK"/>
        </w:rPr>
        <w:t>Najväčšie</w:t>
      </w:r>
      <w:r w:rsidR="00465226">
        <w:rPr>
          <w:rFonts w:ascii="Times New Roman" w:eastAsia="Times New Roman" w:hAnsi="Times New Roman" w:cs="Times New Roman"/>
          <w:bCs/>
          <w:color w:val="222222"/>
          <w:sz w:val="24"/>
          <w:szCs w:val="24"/>
          <w:lang w:eastAsia="sk-SK"/>
        </w:rPr>
        <w:t xml:space="preserve"> percento</w:t>
      </w:r>
      <w:r w:rsidR="00465226" w:rsidRPr="00465226">
        <w:rPr>
          <w:rFonts w:ascii="Times New Roman" w:eastAsia="Times New Roman" w:hAnsi="Times New Roman" w:cs="Times New Roman"/>
          <w:bCs/>
          <w:color w:val="222222"/>
          <w:sz w:val="24"/>
          <w:szCs w:val="24"/>
          <w:lang w:eastAsia="sk-SK"/>
        </w:rPr>
        <w:t xml:space="preserve"> uchádzačov o zamestnanie </w:t>
      </w:r>
      <w:r w:rsidR="00465226">
        <w:rPr>
          <w:rFonts w:ascii="Times New Roman" w:eastAsia="Times New Roman" w:hAnsi="Times New Roman" w:cs="Times New Roman"/>
          <w:bCs/>
          <w:color w:val="222222"/>
          <w:sz w:val="24"/>
          <w:szCs w:val="24"/>
          <w:lang w:eastAsia="sk-SK"/>
        </w:rPr>
        <w:t xml:space="preserve">podľa doby evidencie </w:t>
      </w:r>
      <w:r w:rsidR="00465226" w:rsidRPr="00465226">
        <w:rPr>
          <w:rFonts w:ascii="Times New Roman" w:eastAsia="Times New Roman" w:hAnsi="Times New Roman" w:cs="Times New Roman"/>
          <w:bCs/>
          <w:color w:val="222222"/>
          <w:sz w:val="24"/>
          <w:szCs w:val="24"/>
          <w:lang w:eastAsia="sk-SK"/>
        </w:rPr>
        <w:t>je od 0-3 mes. (21,36 %), 4-6 mes. (19,16) a 37 a viac mes. (15,03 %).</w:t>
      </w:r>
      <w:r w:rsidR="00465226">
        <w:rPr>
          <w:rFonts w:ascii="Times New Roman" w:eastAsia="Times New Roman" w:hAnsi="Times New Roman" w:cs="Times New Roman"/>
          <w:bCs/>
          <w:color w:val="222222"/>
          <w:sz w:val="24"/>
          <w:szCs w:val="24"/>
          <w:lang w:eastAsia="sk-SK"/>
        </w:rPr>
        <w:t xml:space="preserve"> Podrobnejšie informácie znázorňuje tabuľka 3.1.32.</w:t>
      </w:r>
    </w:p>
    <w:p w14:paraId="0D94E315" w14:textId="77777777" w:rsidR="00347CC5" w:rsidRPr="00280D9B" w:rsidRDefault="00347CC5" w:rsidP="00465226">
      <w:pPr>
        <w:shd w:val="clear" w:color="auto" w:fill="FFFFFF"/>
        <w:spacing w:after="0" w:line="330" w:lineRule="atLeast"/>
        <w:jc w:val="both"/>
        <w:rPr>
          <w:rFonts w:ascii="Calibri" w:eastAsia="Times New Roman" w:hAnsi="Calibri" w:cs="Times New Roman"/>
          <w:color w:val="222222"/>
          <w:lang w:eastAsia="sk-SK"/>
        </w:rPr>
      </w:pPr>
      <w:r w:rsidRPr="00347CC5">
        <w:rPr>
          <w:rFonts w:ascii="Times New Roman" w:eastAsia="Times New Roman" w:hAnsi="Times New Roman" w:cs="Times New Roman"/>
          <w:b/>
          <w:bCs/>
          <w:color w:val="222222"/>
          <w:sz w:val="20"/>
          <w:szCs w:val="20"/>
          <w:lang w:eastAsia="sk-SK"/>
        </w:rPr>
        <w:t xml:space="preserve"> </w:t>
      </w:r>
      <w:r w:rsidRPr="00280D9B">
        <w:rPr>
          <w:rFonts w:ascii="Times New Roman" w:eastAsia="Times New Roman" w:hAnsi="Times New Roman" w:cs="Times New Roman"/>
          <w:b/>
          <w:bCs/>
          <w:color w:val="222222"/>
          <w:sz w:val="20"/>
          <w:szCs w:val="20"/>
          <w:lang w:eastAsia="sk-SK"/>
        </w:rPr>
        <w:t xml:space="preserve">Tabuľka </w:t>
      </w:r>
      <w:r>
        <w:rPr>
          <w:rFonts w:ascii="Times New Roman" w:eastAsia="Times New Roman" w:hAnsi="Times New Roman" w:cs="Times New Roman"/>
          <w:b/>
          <w:bCs/>
          <w:color w:val="222222"/>
          <w:sz w:val="20"/>
          <w:szCs w:val="20"/>
          <w:lang w:eastAsia="sk-SK"/>
        </w:rPr>
        <w:t xml:space="preserve">3.1.32 </w:t>
      </w:r>
      <w:r w:rsidRPr="00280D9B">
        <w:rPr>
          <w:rFonts w:ascii="Times New Roman" w:eastAsia="Times New Roman" w:hAnsi="Times New Roman" w:cs="Times New Roman"/>
          <w:b/>
          <w:bCs/>
          <w:color w:val="222222"/>
          <w:sz w:val="20"/>
          <w:szCs w:val="20"/>
          <w:lang w:eastAsia="sk-SK"/>
        </w:rPr>
        <w:t>Počet uchádzačov o zamestnanie v Kopaničiarskom regióne v roku 2014 podľa doby evidencie na úradoch PSVR</w:t>
      </w:r>
    </w:p>
    <w:tbl>
      <w:tblPr>
        <w:tblW w:w="9180" w:type="dxa"/>
        <w:tblInd w:w="108" w:type="dxa"/>
        <w:shd w:val="clear" w:color="auto" w:fill="FFFFFF"/>
        <w:tblCellMar>
          <w:left w:w="0" w:type="dxa"/>
          <w:right w:w="0" w:type="dxa"/>
        </w:tblCellMar>
        <w:tblLook w:val="04A0" w:firstRow="1" w:lastRow="0" w:firstColumn="1" w:lastColumn="0" w:noHBand="0" w:noVBand="1"/>
      </w:tblPr>
      <w:tblGrid>
        <w:gridCol w:w="1418"/>
        <w:gridCol w:w="850"/>
        <w:gridCol w:w="792"/>
        <w:gridCol w:w="716"/>
        <w:gridCol w:w="823"/>
        <w:gridCol w:w="716"/>
        <w:gridCol w:w="698"/>
        <w:gridCol w:w="698"/>
        <w:gridCol w:w="733"/>
        <w:gridCol w:w="778"/>
        <w:gridCol w:w="958"/>
      </w:tblGrid>
      <w:tr w:rsidR="00347CC5" w:rsidRPr="00280D9B" w14:paraId="1E4DB03D" w14:textId="77777777" w:rsidTr="00465226">
        <w:trPr>
          <w:trHeight w:val="255"/>
        </w:trPr>
        <w:tc>
          <w:tcPr>
            <w:tcW w:w="1418" w:type="dxa"/>
            <w:tcBorders>
              <w:top w:val="single" w:sz="8" w:space="0" w:color="auto"/>
              <w:left w:val="single" w:sz="8" w:space="0" w:color="auto"/>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23D84C5C" w14:textId="77777777" w:rsidR="00347CC5" w:rsidRPr="00280D9B" w:rsidRDefault="00347CC5" w:rsidP="005D2E80">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Rok</w:t>
            </w:r>
          </w:p>
        </w:tc>
        <w:tc>
          <w:tcPr>
            <w:tcW w:w="850"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3BF633F3"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0-3 mes.</w:t>
            </w:r>
          </w:p>
        </w:tc>
        <w:tc>
          <w:tcPr>
            <w:tcW w:w="792"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6F33B28A"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4-6 mes.</w:t>
            </w:r>
          </w:p>
        </w:tc>
        <w:tc>
          <w:tcPr>
            <w:tcW w:w="716"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D5539FE"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7-9 mes.</w:t>
            </w:r>
          </w:p>
        </w:tc>
        <w:tc>
          <w:tcPr>
            <w:tcW w:w="823" w:type="dxa"/>
            <w:tcBorders>
              <w:top w:val="single" w:sz="8" w:space="0" w:color="auto"/>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14:paraId="399E8171"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10-12 mes.</w:t>
            </w:r>
          </w:p>
        </w:tc>
        <w:tc>
          <w:tcPr>
            <w:tcW w:w="716"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0D8A06C"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13-18 mes.</w:t>
            </w:r>
          </w:p>
        </w:tc>
        <w:tc>
          <w:tcPr>
            <w:tcW w:w="698"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18F16F0"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19-24 mes.</w:t>
            </w:r>
          </w:p>
        </w:tc>
        <w:tc>
          <w:tcPr>
            <w:tcW w:w="698" w:type="dxa"/>
            <w:tcBorders>
              <w:top w:val="single" w:sz="8" w:space="0" w:color="auto"/>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96FEEDF"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25-30 mes.</w:t>
            </w:r>
          </w:p>
        </w:tc>
        <w:tc>
          <w:tcPr>
            <w:tcW w:w="733" w:type="dxa"/>
            <w:tcBorders>
              <w:top w:val="single" w:sz="8" w:space="0" w:color="auto"/>
              <w:left w:val="nil"/>
              <w:bottom w:val="single" w:sz="8" w:space="0" w:color="000000"/>
              <w:right w:val="single" w:sz="2" w:space="0" w:color="auto"/>
            </w:tcBorders>
            <w:shd w:val="clear" w:color="auto" w:fill="D9D9D9"/>
            <w:tcMar>
              <w:top w:w="0" w:type="dxa"/>
              <w:left w:w="108" w:type="dxa"/>
              <w:bottom w:w="0" w:type="dxa"/>
              <w:right w:w="108" w:type="dxa"/>
            </w:tcMar>
            <w:vAlign w:val="center"/>
            <w:hideMark/>
          </w:tcPr>
          <w:p w14:paraId="662BBA40" w14:textId="77777777" w:rsidR="00347CC5" w:rsidRPr="00280D9B" w:rsidRDefault="00347CC5" w:rsidP="005D2E80">
            <w:pPr>
              <w:spacing w:after="0" w:line="240" w:lineRule="auto"/>
              <w:jc w:val="center"/>
              <w:rPr>
                <w:rFonts w:ascii="Calibri" w:eastAsia="Times New Roman" w:hAnsi="Calibri" w:cs="Times New Roman"/>
                <w:b/>
                <w:color w:val="222222"/>
                <w:sz w:val="20"/>
                <w:szCs w:val="20"/>
                <w:lang w:eastAsia="sk-SK"/>
              </w:rPr>
            </w:pPr>
            <w:r w:rsidRPr="00D52DAB">
              <w:rPr>
                <w:rFonts w:ascii="Calibri" w:eastAsia="Times New Roman" w:hAnsi="Calibri" w:cs="Times New Roman"/>
                <w:b/>
                <w:color w:val="222222"/>
                <w:sz w:val="20"/>
                <w:szCs w:val="20"/>
                <w:lang w:eastAsia="sk-SK"/>
              </w:rPr>
              <w:t>31-36 mes.</w:t>
            </w:r>
          </w:p>
        </w:tc>
        <w:tc>
          <w:tcPr>
            <w:tcW w:w="778" w:type="dxa"/>
            <w:tcBorders>
              <w:top w:val="single" w:sz="2" w:space="0" w:color="auto"/>
              <w:left w:val="single" w:sz="2" w:space="0" w:color="auto"/>
              <w:bottom w:val="single" w:sz="2" w:space="0" w:color="auto"/>
              <w:right w:val="single" w:sz="2" w:space="0" w:color="auto"/>
            </w:tcBorders>
            <w:shd w:val="clear" w:color="auto" w:fill="D9D9D9"/>
          </w:tcPr>
          <w:p w14:paraId="36950FE7" w14:textId="77777777" w:rsidR="00347CC5" w:rsidRPr="00280D9B" w:rsidRDefault="00347CC5" w:rsidP="005D2E80">
            <w:pPr>
              <w:spacing w:after="0" w:line="240" w:lineRule="auto"/>
              <w:jc w:val="center"/>
              <w:rPr>
                <w:rFonts w:ascii="Calibri" w:eastAsia="Times New Roman" w:hAnsi="Calibri" w:cs="Times New Roman"/>
                <w:b/>
                <w:bCs/>
                <w:color w:val="000000"/>
                <w:sz w:val="20"/>
                <w:szCs w:val="20"/>
                <w:lang w:eastAsia="sk-SK"/>
              </w:rPr>
            </w:pPr>
            <w:r>
              <w:rPr>
                <w:rFonts w:ascii="Calibri" w:eastAsia="Times New Roman" w:hAnsi="Calibri" w:cs="Times New Roman"/>
                <w:b/>
                <w:bCs/>
                <w:color w:val="000000"/>
                <w:sz w:val="20"/>
                <w:szCs w:val="20"/>
                <w:lang w:eastAsia="sk-SK"/>
              </w:rPr>
              <w:t>37 a viac  mes.</w:t>
            </w:r>
          </w:p>
        </w:tc>
        <w:tc>
          <w:tcPr>
            <w:tcW w:w="958" w:type="dxa"/>
            <w:tcBorders>
              <w:top w:val="single" w:sz="8" w:space="0" w:color="auto"/>
              <w:left w:val="single" w:sz="2"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0F8FE4EA" w14:textId="77777777" w:rsidR="00347CC5" w:rsidRPr="00280D9B" w:rsidRDefault="00347CC5" w:rsidP="005D2E80">
            <w:pPr>
              <w:spacing w:after="0" w:line="240" w:lineRule="auto"/>
              <w:jc w:val="center"/>
              <w:rPr>
                <w:rFonts w:ascii="Calibri" w:eastAsia="Times New Roman" w:hAnsi="Calibri" w:cs="Times New Roman"/>
                <w:color w:val="222222"/>
                <w:sz w:val="20"/>
                <w:szCs w:val="20"/>
                <w:lang w:eastAsia="sk-SK"/>
              </w:rPr>
            </w:pPr>
            <w:r w:rsidRPr="00280D9B">
              <w:rPr>
                <w:rFonts w:ascii="Calibri" w:eastAsia="Times New Roman" w:hAnsi="Calibri" w:cs="Times New Roman"/>
                <w:b/>
                <w:bCs/>
                <w:color w:val="000000"/>
                <w:sz w:val="20"/>
                <w:szCs w:val="20"/>
                <w:lang w:eastAsia="sk-SK"/>
              </w:rPr>
              <w:t>Spolu</w:t>
            </w:r>
          </w:p>
        </w:tc>
      </w:tr>
      <w:tr w:rsidR="00347CC5" w:rsidRPr="00280D9B" w14:paraId="28E70E4C" w14:textId="77777777" w:rsidTr="00465226">
        <w:trPr>
          <w:trHeight w:val="255"/>
        </w:trPr>
        <w:tc>
          <w:tcPr>
            <w:tcW w:w="1418" w:type="dxa"/>
            <w:tcBorders>
              <w:top w:val="nil"/>
              <w:left w:val="single" w:sz="8" w:space="0" w:color="auto"/>
              <w:bottom w:val="single" w:sz="8" w:space="0" w:color="000000"/>
              <w:right w:val="single" w:sz="8" w:space="0" w:color="000000"/>
            </w:tcBorders>
            <w:shd w:val="clear" w:color="auto" w:fill="FFFFFF"/>
            <w:noWrap/>
            <w:tcMar>
              <w:top w:w="0" w:type="dxa"/>
              <w:left w:w="108" w:type="dxa"/>
              <w:bottom w:w="0" w:type="dxa"/>
              <w:right w:w="108" w:type="dxa"/>
            </w:tcMar>
            <w:vAlign w:val="center"/>
            <w:hideMark/>
          </w:tcPr>
          <w:p w14:paraId="256ED5B9" w14:textId="77777777" w:rsidR="00347CC5" w:rsidRPr="00280D9B" w:rsidRDefault="00347CC5" w:rsidP="005D2E80">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2014</w:t>
            </w:r>
          </w:p>
        </w:tc>
        <w:tc>
          <w:tcPr>
            <w:tcW w:w="850"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2809F193"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436</w:t>
            </w:r>
            <w:r w:rsidRPr="00280D9B">
              <w:rPr>
                <w:rFonts w:ascii="Times New Roman" w:eastAsia="Times New Roman" w:hAnsi="Times New Roman" w:cs="Times New Roman"/>
                <w:color w:val="222222"/>
                <w:sz w:val="20"/>
                <w:szCs w:val="20"/>
                <w:lang w:eastAsia="sk-SK"/>
              </w:rPr>
              <w:t> </w:t>
            </w:r>
          </w:p>
        </w:tc>
        <w:tc>
          <w:tcPr>
            <w:tcW w:w="792"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2085664D"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391</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8B25FE8"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263</w:t>
            </w:r>
            <w:r w:rsidRPr="00280D9B">
              <w:rPr>
                <w:rFonts w:ascii="Times New Roman" w:eastAsia="Times New Roman" w:hAnsi="Times New Roman" w:cs="Times New Roman"/>
                <w:color w:val="222222"/>
                <w:sz w:val="20"/>
                <w:szCs w:val="20"/>
                <w:lang w:eastAsia="sk-SK"/>
              </w:rPr>
              <w:t> </w:t>
            </w:r>
          </w:p>
        </w:tc>
        <w:tc>
          <w:tcPr>
            <w:tcW w:w="823" w:type="dxa"/>
            <w:tcBorders>
              <w:top w:val="nil"/>
              <w:left w:val="nil"/>
              <w:bottom w:val="single" w:sz="8" w:space="0" w:color="000000"/>
              <w:right w:val="single" w:sz="8" w:space="0" w:color="000000"/>
            </w:tcBorders>
            <w:shd w:val="clear" w:color="auto" w:fill="FFFFFF"/>
            <w:noWrap/>
            <w:tcMar>
              <w:top w:w="0" w:type="dxa"/>
              <w:left w:w="108" w:type="dxa"/>
              <w:bottom w:w="0" w:type="dxa"/>
              <w:right w:w="108" w:type="dxa"/>
            </w:tcMar>
            <w:hideMark/>
          </w:tcPr>
          <w:p w14:paraId="2E160925"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142</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699D52"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212</w:t>
            </w:r>
            <w:r w:rsidRPr="00280D9B">
              <w:rPr>
                <w:rFonts w:ascii="Times New Roman" w:eastAsia="Times New Roman" w:hAnsi="Times New Roman" w:cs="Times New Roman"/>
                <w:color w:val="222222"/>
                <w:sz w:val="20"/>
                <w:szCs w:val="20"/>
                <w:lang w:eastAsia="sk-SK"/>
              </w:rPr>
              <w:t> </w:t>
            </w:r>
          </w:p>
        </w:tc>
        <w:tc>
          <w:tcPr>
            <w:tcW w:w="6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C51433"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124</w:t>
            </w:r>
            <w:r w:rsidRPr="00280D9B">
              <w:rPr>
                <w:rFonts w:ascii="Times New Roman" w:eastAsia="Times New Roman" w:hAnsi="Times New Roman" w:cs="Times New Roman"/>
                <w:color w:val="222222"/>
                <w:sz w:val="20"/>
                <w:szCs w:val="20"/>
                <w:lang w:eastAsia="sk-SK"/>
              </w:rPr>
              <w:t> </w:t>
            </w:r>
          </w:p>
        </w:tc>
        <w:tc>
          <w:tcPr>
            <w:tcW w:w="6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A4D852"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90</w:t>
            </w:r>
            <w:r w:rsidRPr="00280D9B">
              <w:rPr>
                <w:rFonts w:ascii="Times New Roman" w:eastAsia="Times New Roman" w:hAnsi="Times New Roman" w:cs="Times New Roman"/>
                <w:color w:val="222222"/>
                <w:sz w:val="20"/>
                <w:szCs w:val="20"/>
                <w:lang w:eastAsia="sk-SK"/>
              </w:rPr>
              <w:t> </w:t>
            </w:r>
          </w:p>
        </w:tc>
        <w:tc>
          <w:tcPr>
            <w:tcW w:w="733" w:type="dxa"/>
            <w:tcBorders>
              <w:top w:val="nil"/>
              <w:left w:val="nil"/>
              <w:bottom w:val="single" w:sz="8" w:space="0" w:color="000000"/>
              <w:right w:val="single" w:sz="2" w:space="0" w:color="auto"/>
            </w:tcBorders>
            <w:shd w:val="clear" w:color="auto" w:fill="FFFFFF"/>
            <w:tcMar>
              <w:top w:w="0" w:type="dxa"/>
              <w:left w:w="108" w:type="dxa"/>
              <w:bottom w:w="0" w:type="dxa"/>
              <w:right w:w="108" w:type="dxa"/>
            </w:tcMar>
            <w:hideMark/>
          </w:tcPr>
          <w:p w14:paraId="7A0B9BED"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76</w:t>
            </w:r>
            <w:r w:rsidRPr="00280D9B">
              <w:rPr>
                <w:rFonts w:ascii="Times New Roman" w:eastAsia="Times New Roman" w:hAnsi="Times New Roman" w:cs="Times New Roman"/>
                <w:color w:val="222222"/>
                <w:sz w:val="20"/>
                <w:szCs w:val="20"/>
                <w:lang w:eastAsia="sk-SK"/>
              </w:rPr>
              <w:t> </w:t>
            </w:r>
          </w:p>
        </w:tc>
        <w:tc>
          <w:tcPr>
            <w:tcW w:w="778" w:type="dxa"/>
            <w:tcBorders>
              <w:top w:val="single" w:sz="2" w:space="0" w:color="auto"/>
              <w:left w:val="single" w:sz="2" w:space="0" w:color="auto"/>
              <w:bottom w:val="single" w:sz="2" w:space="0" w:color="auto"/>
              <w:right w:val="single" w:sz="2" w:space="0" w:color="auto"/>
            </w:tcBorders>
            <w:shd w:val="clear" w:color="auto" w:fill="FFFFFF"/>
          </w:tcPr>
          <w:p w14:paraId="2A69C0A5" w14:textId="77777777" w:rsidR="00347CC5" w:rsidRPr="00280D9B" w:rsidRDefault="00347CC5" w:rsidP="005D2E80">
            <w:pPr>
              <w:spacing w:after="0" w:line="240" w:lineRule="auto"/>
              <w:jc w:val="right"/>
              <w:rPr>
                <w:rFonts w:ascii="Times New Roman" w:eastAsia="Times New Roman" w:hAnsi="Times New Roman" w:cs="Times New Roman"/>
                <w:color w:val="222222"/>
                <w:sz w:val="20"/>
                <w:szCs w:val="20"/>
                <w:lang w:eastAsia="sk-SK"/>
              </w:rPr>
            </w:pPr>
            <w:r>
              <w:rPr>
                <w:rFonts w:ascii="Times New Roman" w:eastAsia="Times New Roman" w:hAnsi="Times New Roman" w:cs="Times New Roman"/>
                <w:color w:val="222222"/>
                <w:sz w:val="20"/>
                <w:szCs w:val="20"/>
                <w:lang w:eastAsia="sk-SK"/>
              </w:rPr>
              <w:t>307</w:t>
            </w:r>
          </w:p>
        </w:tc>
        <w:tc>
          <w:tcPr>
            <w:tcW w:w="958" w:type="dxa"/>
            <w:tcBorders>
              <w:top w:val="nil"/>
              <w:left w:val="single" w:sz="2" w:space="0" w:color="auto"/>
              <w:bottom w:val="single" w:sz="8" w:space="0" w:color="000000"/>
              <w:right w:val="single" w:sz="8" w:space="0" w:color="auto"/>
            </w:tcBorders>
            <w:shd w:val="clear" w:color="auto" w:fill="FFFFFF"/>
            <w:noWrap/>
            <w:tcMar>
              <w:top w:w="0" w:type="dxa"/>
              <w:left w:w="108" w:type="dxa"/>
              <w:bottom w:w="0" w:type="dxa"/>
              <w:right w:w="108" w:type="dxa"/>
            </w:tcMar>
            <w:hideMark/>
          </w:tcPr>
          <w:p w14:paraId="361042FF"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2041</w:t>
            </w:r>
            <w:r w:rsidRPr="00280D9B">
              <w:rPr>
                <w:rFonts w:ascii="Times New Roman" w:eastAsia="Times New Roman" w:hAnsi="Times New Roman" w:cs="Times New Roman"/>
                <w:color w:val="222222"/>
                <w:sz w:val="20"/>
                <w:szCs w:val="20"/>
                <w:lang w:eastAsia="sk-SK"/>
              </w:rPr>
              <w:t> </w:t>
            </w:r>
          </w:p>
        </w:tc>
      </w:tr>
      <w:tr w:rsidR="00347CC5" w:rsidRPr="00280D9B" w14:paraId="4E03FE38" w14:textId="77777777" w:rsidTr="00465226">
        <w:trPr>
          <w:trHeight w:val="255"/>
        </w:trPr>
        <w:tc>
          <w:tcPr>
            <w:tcW w:w="1418" w:type="dxa"/>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hideMark/>
          </w:tcPr>
          <w:p w14:paraId="431C5566" w14:textId="77777777" w:rsidR="00347CC5" w:rsidRPr="00280D9B" w:rsidRDefault="00347CC5" w:rsidP="005D2E80">
            <w:pPr>
              <w:spacing w:after="0" w:line="240" w:lineRule="auto"/>
              <w:jc w:val="center"/>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b/>
                <w:bCs/>
                <w:color w:val="222222"/>
                <w:sz w:val="20"/>
                <w:szCs w:val="20"/>
                <w:lang w:eastAsia="sk-SK"/>
              </w:rPr>
              <w:t>2014 (%)</w:t>
            </w:r>
          </w:p>
        </w:tc>
        <w:tc>
          <w:tcPr>
            <w:tcW w:w="850"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3104F117"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21,36</w:t>
            </w:r>
            <w:r w:rsidRPr="00280D9B">
              <w:rPr>
                <w:rFonts w:ascii="Times New Roman" w:eastAsia="Times New Roman" w:hAnsi="Times New Roman" w:cs="Times New Roman"/>
                <w:color w:val="222222"/>
                <w:sz w:val="20"/>
                <w:szCs w:val="20"/>
                <w:lang w:eastAsia="sk-SK"/>
              </w:rPr>
              <w:t> </w:t>
            </w:r>
          </w:p>
        </w:tc>
        <w:tc>
          <w:tcPr>
            <w:tcW w:w="792"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25A1BA53"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19,16</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875DA1E"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12,89</w:t>
            </w:r>
            <w:r w:rsidRPr="00280D9B">
              <w:rPr>
                <w:rFonts w:ascii="Times New Roman" w:eastAsia="Times New Roman" w:hAnsi="Times New Roman" w:cs="Times New Roman"/>
                <w:color w:val="222222"/>
                <w:sz w:val="20"/>
                <w:szCs w:val="20"/>
                <w:lang w:eastAsia="sk-SK"/>
              </w:rPr>
              <w:t> </w:t>
            </w:r>
          </w:p>
        </w:tc>
        <w:tc>
          <w:tcPr>
            <w:tcW w:w="823" w:type="dxa"/>
            <w:tcBorders>
              <w:top w:val="nil"/>
              <w:left w:val="nil"/>
              <w:bottom w:val="single" w:sz="8" w:space="0" w:color="auto"/>
              <w:right w:val="single" w:sz="8" w:space="0" w:color="000000"/>
            </w:tcBorders>
            <w:shd w:val="clear" w:color="auto" w:fill="FFFFFF"/>
            <w:noWrap/>
            <w:tcMar>
              <w:top w:w="0" w:type="dxa"/>
              <w:left w:w="108" w:type="dxa"/>
              <w:bottom w:w="0" w:type="dxa"/>
              <w:right w:w="108" w:type="dxa"/>
            </w:tcMar>
            <w:hideMark/>
          </w:tcPr>
          <w:p w14:paraId="6C3D942D"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6,96</w:t>
            </w:r>
            <w:r w:rsidRPr="00280D9B">
              <w:rPr>
                <w:rFonts w:ascii="Times New Roman" w:eastAsia="Times New Roman" w:hAnsi="Times New Roman" w:cs="Times New Roman"/>
                <w:color w:val="222222"/>
                <w:sz w:val="20"/>
                <w:szCs w:val="20"/>
                <w:lang w:eastAsia="sk-SK"/>
              </w:rPr>
              <w:t> </w:t>
            </w:r>
          </w:p>
        </w:tc>
        <w:tc>
          <w:tcPr>
            <w:tcW w:w="716"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116A760A"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10,39</w:t>
            </w:r>
            <w:r w:rsidRPr="00280D9B">
              <w:rPr>
                <w:rFonts w:ascii="Times New Roman" w:eastAsia="Times New Roman" w:hAnsi="Times New Roman" w:cs="Times New Roman"/>
                <w:color w:val="222222"/>
                <w:sz w:val="20"/>
                <w:szCs w:val="20"/>
                <w:lang w:eastAsia="sk-SK"/>
              </w:rPr>
              <w:t> </w:t>
            </w:r>
          </w:p>
        </w:tc>
        <w:tc>
          <w:tcPr>
            <w:tcW w:w="698"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3C3F227E"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6,08</w:t>
            </w:r>
            <w:r w:rsidRPr="00280D9B">
              <w:rPr>
                <w:rFonts w:ascii="Times New Roman" w:eastAsia="Times New Roman" w:hAnsi="Times New Roman" w:cs="Times New Roman"/>
                <w:color w:val="222222"/>
                <w:sz w:val="20"/>
                <w:szCs w:val="20"/>
                <w:lang w:eastAsia="sk-SK"/>
              </w:rPr>
              <w:t> </w:t>
            </w:r>
          </w:p>
        </w:tc>
        <w:tc>
          <w:tcPr>
            <w:tcW w:w="698"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D1B12D7"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sidRPr="00280D9B">
              <w:rPr>
                <w:rFonts w:ascii="Times New Roman" w:eastAsia="Times New Roman" w:hAnsi="Times New Roman" w:cs="Times New Roman"/>
                <w:color w:val="222222"/>
                <w:sz w:val="20"/>
                <w:szCs w:val="20"/>
                <w:lang w:eastAsia="sk-SK"/>
              </w:rPr>
              <w:t> </w:t>
            </w:r>
            <w:r>
              <w:rPr>
                <w:rFonts w:ascii="Times New Roman" w:eastAsia="Times New Roman" w:hAnsi="Times New Roman" w:cs="Times New Roman"/>
                <w:color w:val="222222"/>
                <w:sz w:val="20"/>
                <w:szCs w:val="20"/>
                <w:lang w:eastAsia="sk-SK"/>
              </w:rPr>
              <w:t>4,41</w:t>
            </w:r>
          </w:p>
        </w:tc>
        <w:tc>
          <w:tcPr>
            <w:tcW w:w="733" w:type="dxa"/>
            <w:tcBorders>
              <w:top w:val="nil"/>
              <w:left w:val="nil"/>
              <w:bottom w:val="single" w:sz="8" w:space="0" w:color="auto"/>
              <w:right w:val="single" w:sz="2" w:space="0" w:color="auto"/>
            </w:tcBorders>
            <w:shd w:val="clear" w:color="auto" w:fill="FFFFFF"/>
            <w:tcMar>
              <w:top w:w="0" w:type="dxa"/>
              <w:left w:w="108" w:type="dxa"/>
              <w:bottom w:w="0" w:type="dxa"/>
              <w:right w:w="108" w:type="dxa"/>
            </w:tcMar>
            <w:hideMark/>
          </w:tcPr>
          <w:p w14:paraId="72AE9E7D"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3,72</w:t>
            </w:r>
            <w:r w:rsidRPr="00280D9B">
              <w:rPr>
                <w:rFonts w:ascii="Times New Roman" w:eastAsia="Times New Roman" w:hAnsi="Times New Roman" w:cs="Times New Roman"/>
                <w:color w:val="222222"/>
                <w:sz w:val="20"/>
                <w:szCs w:val="20"/>
                <w:lang w:eastAsia="sk-SK"/>
              </w:rPr>
              <w:t> </w:t>
            </w:r>
          </w:p>
        </w:tc>
        <w:tc>
          <w:tcPr>
            <w:tcW w:w="778" w:type="dxa"/>
            <w:tcBorders>
              <w:top w:val="single" w:sz="2" w:space="0" w:color="auto"/>
              <w:left w:val="single" w:sz="2" w:space="0" w:color="auto"/>
              <w:bottom w:val="single" w:sz="2" w:space="0" w:color="auto"/>
              <w:right w:val="single" w:sz="2" w:space="0" w:color="auto"/>
            </w:tcBorders>
            <w:shd w:val="clear" w:color="auto" w:fill="FFFFFF"/>
          </w:tcPr>
          <w:p w14:paraId="30032031" w14:textId="77777777" w:rsidR="00347CC5" w:rsidRPr="00280D9B" w:rsidRDefault="00347CC5" w:rsidP="005D2E80">
            <w:pPr>
              <w:spacing w:after="0" w:line="240" w:lineRule="auto"/>
              <w:jc w:val="right"/>
              <w:rPr>
                <w:rFonts w:ascii="Times New Roman" w:eastAsia="Times New Roman" w:hAnsi="Times New Roman" w:cs="Times New Roman"/>
                <w:color w:val="222222"/>
                <w:sz w:val="20"/>
                <w:szCs w:val="20"/>
                <w:lang w:eastAsia="sk-SK"/>
              </w:rPr>
            </w:pPr>
            <w:r>
              <w:rPr>
                <w:rFonts w:ascii="Times New Roman" w:eastAsia="Times New Roman" w:hAnsi="Times New Roman" w:cs="Times New Roman"/>
                <w:color w:val="222222"/>
                <w:sz w:val="20"/>
                <w:szCs w:val="20"/>
                <w:lang w:eastAsia="sk-SK"/>
              </w:rPr>
              <w:t>15,03</w:t>
            </w:r>
          </w:p>
        </w:tc>
        <w:tc>
          <w:tcPr>
            <w:tcW w:w="958" w:type="dxa"/>
            <w:tcBorders>
              <w:top w:val="nil"/>
              <w:left w:val="single" w:sz="2"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02F6B82B" w14:textId="77777777" w:rsidR="00347CC5" w:rsidRPr="00280D9B" w:rsidRDefault="00347CC5" w:rsidP="005D2E80">
            <w:pPr>
              <w:spacing w:after="0" w:line="240" w:lineRule="auto"/>
              <w:jc w:val="right"/>
              <w:rPr>
                <w:rFonts w:ascii="Calibri" w:eastAsia="Times New Roman" w:hAnsi="Calibri" w:cs="Times New Roman"/>
                <w:color w:val="222222"/>
                <w:sz w:val="20"/>
                <w:szCs w:val="20"/>
                <w:lang w:eastAsia="sk-SK"/>
              </w:rPr>
            </w:pPr>
            <w:r>
              <w:rPr>
                <w:rFonts w:ascii="Times New Roman" w:eastAsia="Times New Roman" w:hAnsi="Times New Roman" w:cs="Times New Roman"/>
                <w:color w:val="222222"/>
                <w:sz w:val="20"/>
                <w:szCs w:val="20"/>
                <w:lang w:eastAsia="sk-SK"/>
              </w:rPr>
              <w:t>100</w:t>
            </w:r>
            <w:r w:rsidRPr="00280D9B">
              <w:rPr>
                <w:rFonts w:ascii="Times New Roman" w:eastAsia="Times New Roman" w:hAnsi="Times New Roman" w:cs="Times New Roman"/>
                <w:color w:val="222222"/>
                <w:sz w:val="20"/>
                <w:szCs w:val="20"/>
                <w:lang w:eastAsia="sk-SK"/>
              </w:rPr>
              <w:t> </w:t>
            </w:r>
          </w:p>
        </w:tc>
      </w:tr>
    </w:tbl>
    <w:p w14:paraId="0A3C97D2" w14:textId="77777777" w:rsidR="00A50EE3" w:rsidRDefault="005D2E80" w:rsidP="005D2E80">
      <w:pPr>
        <w:spacing w:before="120" w:after="0" w:line="360" w:lineRule="auto"/>
        <w:jc w:val="both"/>
        <w:rPr>
          <w:rFonts w:ascii="Times New Roman" w:eastAsia="Times New Roman" w:hAnsi="Times New Roman" w:cs="Times New Roman"/>
          <w:bCs/>
          <w:color w:val="222222"/>
          <w:sz w:val="24"/>
          <w:szCs w:val="24"/>
          <w:lang w:eastAsia="sk-SK"/>
        </w:rPr>
      </w:pPr>
      <w:r>
        <w:rPr>
          <w:rFonts w:ascii="Times New Roman" w:eastAsia="Times New Roman" w:hAnsi="Times New Roman" w:cs="Times New Roman"/>
          <w:bCs/>
          <w:color w:val="222222"/>
          <w:sz w:val="24"/>
          <w:szCs w:val="24"/>
          <w:lang w:eastAsia="sk-SK"/>
        </w:rPr>
        <w:tab/>
      </w:r>
      <w:r w:rsidR="00465226">
        <w:rPr>
          <w:rFonts w:ascii="Times New Roman" w:eastAsia="Times New Roman" w:hAnsi="Times New Roman" w:cs="Times New Roman"/>
          <w:bCs/>
          <w:color w:val="222222"/>
          <w:sz w:val="24"/>
          <w:szCs w:val="24"/>
          <w:lang w:eastAsia="sk-SK"/>
        </w:rPr>
        <w:t>Na uchádzačov</w:t>
      </w:r>
      <w:r>
        <w:rPr>
          <w:rFonts w:ascii="Times New Roman" w:eastAsia="Times New Roman" w:hAnsi="Times New Roman" w:cs="Times New Roman"/>
          <w:bCs/>
          <w:color w:val="222222"/>
          <w:sz w:val="24"/>
          <w:szCs w:val="24"/>
          <w:lang w:eastAsia="sk-SK"/>
        </w:rPr>
        <w:t xml:space="preserve"> o zamestnanie</w:t>
      </w:r>
      <w:r w:rsidR="00465226">
        <w:rPr>
          <w:rFonts w:ascii="Times New Roman" w:eastAsia="Times New Roman" w:hAnsi="Times New Roman" w:cs="Times New Roman"/>
          <w:bCs/>
          <w:color w:val="222222"/>
          <w:sz w:val="24"/>
          <w:szCs w:val="24"/>
          <w:lang w:eastAsia="sk-SK"/>
        </w:rPr>
        <w:t>, ktorí sú dlhodobo nezamestnaní, v preddôchodkovom veku a</w:t>
      </w:r>
      <w:r>
        <w:rPr>
          <w:rFonts w:ascii="Times New Roman" w:eastAsia="Times New Roman" w:hAnsi="Times New Roman" w:cs="Times New Roman"/>
          <w:bCs/>
          <w:color w:val="222222"/>
          <w:sz w:val="24"/>
          <w:szCs w:val="24"/>
          <w:lang w:eastAsia="sk-SK"/>
        </w:rPr>
        <w:t> </w:t>
      </w:r>
      <w:r w:rsidR="00465226">
        <w:rPr>
          <w:rFonts w:ascii="Times New Roman" w:eastAsia="Times New Roman" w:hAnsi="Times New Roman" w:cs="Times New Roman"/>
          <w:bCs/>
          <w:color w:val="222222"/>
          <w:sz w:val="24"/>
          <w:szCs w:val="24"/>
          <w:lang w:eastAsia="sk-SK"/>
        </w:rPr>
        <w:t>uchádzačo</w:t>
      </w:r>
      <w:r>
        <w:rPr>
          <w:rFonts w:ascii="Times New Roman" w:eastAsia="Times New Roman" w:hAnsi="Times New Roman" w:cs="Times New Roman"/>
          <w:bCs/>
          <w:color w:val="222222"/>
          <w:sz w:val="24"/>
          <w:szCs w:val="24"/>
          <w:lang w:eastAsia="sk-SK"/>
        </w:rPr>
        <w:t>v</w:t>
      </w:r>
      <w:r w:rsidR="00465226">
        <w:rPr>
          <w:rFonts w:ascii="Times New Roman" w:eastAsia="Times New Roman" w:hAnsi="Times New Roman" w:cs="Times New Roman"/>
          <w:bCs/>
          <w:color w:val="222222"/>
          <w:sz w:val="24"/>
          <w:szCs w:val="24"/>
          <w:lang w:eastAsia="sk-SK"/>
        </w:rPr>
        <w:t xml:space="preserve"> </w:t>
      </w:r>
      <w:r>
        <w:rPr>
          <w:rFonts w:ascii="Times New Roman" w:eastAsia="Times New Roman" w:hAnsi="Times New Roman" w:cs="Times New Roman"/>
          <w:bCs/>
          <w:color w:val="222222"/>
          <w:sz w:val="24"/>
          <w:szCs w:val="24"/>
          <w:lang w:eastAsia="sk-SK"/>
        </w:rPr>
        <w:t>vyjdených</w:t>
      </w:r>
      <w:r w:rsidR="00465226">
        <w:rPr>
          <w:rFonts w:ascii="Times New Roman" w:eastAsia="Times New Roman" w:hAnsi="Times New Roman" w:cs="Times New Roman"/>
          <w:bCs/>
          <w:color w:val="222222"/>
          <w:sz w:val="24"/>
          <w:szCs w:val="24"/>
          <w:lang w:eastAsia="sk-SK"/>
        </w:rPr>
        <w:t xml:space="preserve"> zo školy</w:t>
      </w:r>
      <w:r>
        <w:rPr>
          <w:rFonts w:ascii="Times New Roman" w:eastAsia="Times New Roman" w:hAnsi="Times New Roman" w:cs="Times New Roman"/>
          <w:bCs/>
          <w:color w:val="222222"/>
          <w:sz w:val="24"/>
          <w:szCs w:val="24"/>
          <w:lang w:eastAsia="sk-SK"/>
        </w:rPr>
        <w:t xml:space="preserve"> (absolventov) </w:t>
      </w:r>
      <w:r w:rsidR="00465226">
        <w:rPr>
          <w:rFonts w:ascii="Times New Roman" w:eastAsia="Times New Roman" w:hAnsi="Times New Roman" w:cs="Times New Roman"/>
          <w:bCs/>
          <w:color w:val="222222"/>
          <w:sz w:val="24"/>
          <w:szCs w:val="24"/>
          <w:lang w:eastAsia="sk-SK"/>
        </w:rPr>
        <w:t>by sa mali zamerať opatrenia v rámci stratégie s cieľom zlepšiť ich prístu</w:t>
      </w:r>
      <w:r>
        <w:rPr>
          <w:rFonts w:ascii="Times New Roman" w:eastAsia="Times New Roman" w:hAnsi="Times New Roman" w:cs="Times New Roman"/>
          <w:bCs/>
          <w:color w:val="222222"/>
          <w:sz w:val="24"/>
          <w:szCs w:val="24"/>
          <w:lang w:eastAsia="sk-SK"/>
        </w:rPr>
        <w:t>p</w:t>
      </w:r>
      <w:r w:rsidR="00465226">
        <w:rPr>
          <w:rFonts w:ascii="Times New Roman" w:eastAsia="Times New Roman" w:hAnsi="Times New Roman" w:cs="Times New Roman"/>
          <w:bCs/>
          <w:color w:val="222222"/>
          <w:sz w:val="24"/>
          <w:szCs w:val="24"/>
          <w:lang w:eastAsia="sk-SK"/>
        </w:rPr>
        <w:t xml:space="preserve"> </w:t>
      </w:r>
      <w:r>
        <w:rPr>
          <w:rFonts w:ascii="Times New Roman" w:eastAsia="Times New Roman" w:hAnsi="Times New Roman" w:cs="Times New Roman"/>
          <w:bCs/>
          <w:color w:val="222222"/>
          <w:sz w:val="24"/>
          <w:szCs w:val="24"/>
          <w:lang w:eastAsia="sk-SK"/>
        </w:rPr>
        <w:t>na trh</w:t>
      </w:r>
      <w:r w:rsidR="00465226">
        <w:rPr>
          <w:rFonts w:ascii="Times New Roman" w:eastAsia="Times New Roman" w:hAnsi="Times New Roman" w:cs="Times New Roman"/>
          <w:bCs/>
          <w:color w:val="222222"/>
          <w:sz w:val="24"/>
          <w:szCs w:val="24"/>
          <w:lang w:eastAsia="sk-SK"/>
        </w:rPr>
        <w:t xml:space="preserve"> </w:t>
      </w:r>
      <w:r>
        <w:rPr>
          <w:rFonts w:ascii="Times New Roman" w:eastAsia="Times New Roman" w:hAnsi="Times New Roman" w:cs="Times New Roman"/>
          <w:bCs/>
          <w:color w:val="222222"/>
          <w:sz w:val="24"/>
          <w:szCs w:val="24"/>
          <w:lang w:eastAsia="sk-SK"/>
        </w:rPr>
        <w:t>práce.</w:t>
      </w:r>
    </w:p>
    <w:p w14:paraId="519905DD" w14:textId="77777777" w:rsidR="00FA457C" w:rsidRDefault="00FA457C" w:rsidP="005D2E80">
      <w:pPr>
        <w:spacing w:before="120" w:after="0" w:line="360" w:lineRule="auto"/>
        <w:jc w:val="both"/>
        <w:rPr>
          <w:rFonts w:ascii="Times New Roman" w:eastAsia="Times New Roman" w:hAnsi="Times New Roman" w:cs="Times New Roman"/>
          <w:bCs/>
          <w:color w:val="222222"/>
          <w:sz w:val="24"/>
          <w:szCs w:val="24"/>
          <w:lang w:eastAsia="sk-SK"/>
        </w:rPr>
      </w:pPr>
    </w:p>
    <w:p w14:paraId="7682E06D" w14:textId="77777777" w:rsidR="00FA457C" w:rsidRPr="00ED06AF" w:rsidRDefault="00FA457C" w:rsidP="005D2E80">
      <w:pPr>
        <w:spacing w:before="120" w:after="0" w:line="360" w:lineRule="auto"/>
        <w:jc w:val="both"/>
        <w:rPr>
          <w:rFonts w:ascii="Times New Roman" w:hAnsi="Times New Roman" w:cs="Times New Roman"/>
          <w:b/>
          <w:sz w:val="24"/>
          <w:szCs w:val="24"/>
        </w:rPr>
      </w:pPr>
      <w:r>
        <w:rPr>
          <w:rFonts w:ascii="Times New Roman" w:eastAsia="Times New Roman" w:hAnsi="Times New Roman" w:cs="Times New Roman"/>
          <w:bCs/>
          <w:color w:val="222222"/>
          <w:sz w:val="24"/>
          <w:szCs w:val="24"/>
          <w:lang w:eastAsia="sk-SK"/>
        </w:rPr>
        <w:t>Príloha č. 6: Zoznam zdrojov (analýzy) a vstupných dokumentov</w:t>
      </w:r>
    </w:p>
    <w:p w14:paraId="15E89A14" w14:textId="77777777" w:rsidR="006553D7" w:rsidRPr="006553D7" w:rsidRDefault="006553D7" w:rsidP="00A7388C">
      <w:pPr>
        <w:pStyle w:val="Nadpis2"/>
        <w:rPr>
          <w:vanish/>
        </w:rPr>
      </w:pPr>
      <w:bookmarkStart w:id="225" w:name="_Toc437861931"/>
      <w:bookmarkStart w:id="226" w:name="_Toc437861932"/>
      <w:bookmarkStart w:id="227" w:name="_Toc437861933"/>
      <w:bookmarkStart w:id="228" w:name="_Toc437861934"/>
      <w:bookmarkStart w:id="229" w:name="_Toc437861935"/>
      <w:bookmarkStart w:id="230" w:name="_Toc437861936"/>
      <w:bookmarkStart w:id="231" w:name="_Toc437861937"/>
      <w:bookmarkStart w:id="232" w:name="_Toc437861938"/>
      <w:bookmarkStart w:id="233" w:name="_Toc437861939"/>
      <w:bookmarkStart w:id="234" w:name="_Toc437861940"/>
      <w:bookmarkStart w:id="235" w:name="_Toc437861941"/>
      <w:bookmarkStart w:id="236" w:name="_Toc437861942"/>
      <w:bookmarkStart w:id="237" w:name="_Toc437861943"/>
      <w:bookmarkStart w:id="238" w:name="_Toc437861944"/>
      <w:bookmarkStart w:id="239" w:name="_Toc437861945"/>
      <w:bookmarkStart w:id="240" w:name="_Toc437861946"/>
      <w:bookmarkStart w:id="241" w:name="_Toc437861947"/>
      <w:bookmarkStart w:id="242" w:name="_Toc437861948"/>
      <w:bookmarkStart w:id="243" w:name="_Toc437861949"/>
      <w:bookmarkStart w:id="244" w:name="_Toc437861950"/>
      <w:bookmarkStart w:id="245" w:name="_Toc437861951"/>
      <w:bookmarkStart w:id="246" w:name="_Toc43786195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76BBB13" w14:textId="77777777" w:rsidR="006553D7" w:rsidRPr="006553D7" w:rsidRDefault="006553D7" w:rsidP="003301D6">
      <w:pPr>
        <w:pStyle w:val="Odsekzoznamu"/>
        <w:keepNext/>
        <w:keepLines/>
        <w:numPr>
          <w:ilvl w:val="0"/>
          <w:numId w:val="4"/>
        </w:numPr>
        <w:spacing w:after="0" w:line="360" w:lineRule="auto"/>
        <w:contextualSpacing w:val="0"/>
        <w:outlineLvl w:val="1"/>
        <w:rPr>
          <w:rFonts w:ascii="Times New Roman" w:eastAsiaTheme="majorEastAsia" w:hAnsi="Times New Roman" w:cstheme="majorBidi"/>
          <w:b/>
          <w:vanish/>
          <w:sz w:val="24"/>
          <w:szCs w:val="26"/>
        </w:rPr>
      </w:pPr>
      <w:bookmarkStart w:id="247" w:name="_Toc437861953"/>
      <w:bookmarkStart w:id="248" w:name="_Toc437862620"/>
      <w:bookmarkStart w:id="249" w:name="_Toc437862762"/>
      <w:bookmarkStart w:id="250" w:name="_Toc437877348"/>
      <w:bookmarkStart w:id="251" w:name="_Toc437877546"/>
      <w:bookmarkStart w:id="252" w:name="_Toc437877746"/>
      <w:bookmarkStart w:id="253" w:name="_Toc437877946"/>
      <w:bookmarkStart w:id="254" w:name="_Toc437878149"/>
      <w:bookmarkStart w:id="255" w:name="_Toc437878353"/>
      <w:bookmarkStart w:id="256" w:name="_Toc437878557"/>
      <w:bookmarkStart w:id="257" w:name="_Toc437878761"/>
      <w:bookmarkStart w:id="258" w:name="_Toc439149957"/>
      <w:bookmarkStart w:id="259" w:name="_Toc439150313"/>
      <w:bookmarkStart w:id="260" w:name="_Toc439150510"/>
      <w:bookmarkStart w:id="261" w:name="_Toc485645600"/>
      <w:bookmarkStart w:id="262" w:name="_Toc485645759"/>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AF47829" w14:textId="77777777" w:rsidR="006553D7" w:rsidRPr="006553D7" w:rsidRDefault="006553D7" w:rsidP="003301D6">
      <w:pPr>
        <w:pStyle w:val="Odsekzoznamu"/>
        <w:keepNext/>
        <w:keepLines/>
        <w:numPr>
          <w:ilvl w:val="0"/>
          <w:numId w:val="4"/>
        </w:numPr>
        <w:spacing w:after="0" w:line="360" w:lineRule="auto"/>
        <w:contextualSpacing w:val="0"/>
        <w:outlineLvl w:val="1"/>
        <w:rPr>
          <w:rFonts w:ascii="Times New Roman" w:eastAsiaTheme="majorEastAsia" w:hAnsi="Times New Roman" w:cstheme="majorBidi"/>
          <w:b/>
          <w:vanish/>
          <w:sz w:val="24"/>
          <w:szCs w:val="26"/>
        </w:rPr>
      </w:pPr>
      <w:bookmarkStart w:id="263" w:name="_Toc437861954"/>
      <w:bookmarkStart w:id="264" w:name="_Toc437862621"/>
      <w:bookmarkStart w:id="265" w:name="_Toc437862763"/>
      <w:bookmarkStart w:id="266" w:name="_Toc437877349"/>
      <w:bookmarkStart w:id="267" w:name="_Toc437877547"/>
      <w:bookmarkStart w:id="268" w:name="_Toc437877747"/>
      <w:bookmarkStart w:id="269" w:name="_Toc437877947"/>
      <w:bookmarkStart w:id="270" w:name="_Toc437878150"/>
      <w:bookmarkStart w:id="271" w:name="_Toc437878354"/>
      <w:bookmarkStart w:id="272" w:name="_Toc437878558"/>
      <w:bookmarkStart w:id="273" w:name="_Toc437878762"/>
      <w:bookmarkStart w:id="274" w:name="_Toc439149958"/>
      <w:bookmarkStart w:id="275" w:name="_Toc439150314"/>
      <w:bookmarkStart w:id="276" w:name="_Toc439150511"/>
      <w:bookmarkStart w:id="277" w:name="_Toc485645601"/>
      <w:bookmarkStart w:id="278" w:name="_Toc485645760"/>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FB26F79" w14:textId="77777777" w:rsidR="006553D7" w:rsidRPr="006553D7" w:rsidRDefault="006553D7" w:rsidP="003301D6">
      <w:pPr>
        <w:pStyle w:val="Odsekzoznamu"/>
        <w:keepNext/>
        <w:keepLines/>
        <w:numPr>
          <w:ilvl w:val="1"/>
          <w:numId w:val="4"/>
        </w:numPr>
        <w:spacing w:after="0" w:line="360" w:lineRule="auto"/>
        <w:contextualSpacing w:val="0"/>
        <w:outlineLvl w:val="1"/>
        <w:rPr>
          <w:rFonts w:ascii="Times New Roman" w:eastAsiaTheme="majorEastAsia" w:hAnsi="Times New Roman" w:cstheme="majorBidi"/>
          <w:b/>
          <w:vanish/>
          <w:sz w:val="24"/>
          <w:szCs w:val="26"/>
        </w:rPr>
      </w:pPr>
      <w:bookmarkStart w:id="279" w:name="_Toc437861955"/>
      <w:bookmarkStart w:id="280" w:name="_Toc437862622"/>
      <w:bookmarkStart w:id="281" w:name="_Toc437862764"/>
      <w:bookmarkStart w:id="282" w:name="_Toc437877350"/>
      <w:bookmarkStart w:id="283" w:name="_Toc437877548"/>
      <w:bookmarkStart w:id="284" w:name="_Toc437877748"/>
      <w:bookmarkStart w:id="285" w:name="_Toc437877948"/>
      <w:bookmarkStart w:id="286" w:name="_Toc437878151"/>
      <w:bookmarkStart w:id="287" w:name="_Toc437878355"/>
      <w:bookmarkStart w:id="288" w:name="_Toc437878559"/>
      <w:bookmarkStart w:id="289" w:name="_Toc437878763"/>
      <w:bookmarkStart w:id="290" w:name="_Toc439149959"/>
      <w:bookmarkStart w:id="291" w:name="_Toc439150315"/>
      <w:bookmarkStart w:id="292" w:name="_Toc439150512"/>
      <w:bookmarkStart w:id="293" w:name="_Toc485645602"/>
      <w:bookmarkStart w:id="294" w:name="_Toc48564576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6B6B3FBC" w14:textId="77777777" w:rsidR="00A7388C" w:rsidRDefault="00A7388C" w:rsidP="00A7388C">
      <w:pPr>
        <w:spacing w:after="0" w:line="360" w:lineRule="auto"/>
        <w:rPr>
          <w:rFonts w:ascii="Times New Roman" w:hAnsi="Times New Roman" w:cs="Times New Roman"/>
          <w:b/>
          <w:sz w:val="24"/>
          <w:szCs w:val="24"/>
        </w:rPr>
      </w:pPr>
    </w:p>
    <w:p w14:paraId="0C78F3C7" w14:textId="77777777" w:rsidR="00A7388C" w:rsidRPr="00A7388C" w:rsidRDefault="00A7388C" w:rsidP="003301D6">
      <w:pPr>
        <w:pStyle w:val="Odsekzoznamu"/>
        <w:keepNext/>
        <w:keepLines/>
        <w:numPr>
          <w:ilvl w:val="0"/>
          <w:numId w:val="14"/>
        </w:numPr>
        <w:spacing w:after="0" w:line="360" w:lineRule="auto"/>
        <w:contextualSpacing w:val="0"/>
        <w:outlineLvl w:val="1"/>
        <w:rPr>
          <w:rFonts w:ascii="Times New Roman" w:eastAsiaTheme="majorEastAsia" w:hAnsi="Times New Roman" w:cstheme="majorBidi"/>
          <w:b/>
          <w:vanish/>
          <w:sz w:val="24"/>
          <w:szCs w:val="26"/>
        </w:rPr>
      </w:pPr>
      <w:bookmarkStart w:id="295" w:name="_Toc437862623"/>
      <w:bookmarkStart w:id="296" w:name="_Toc437862765"/>
      <w:bookmarkStart w:id="297" w:name="_Toc437877351"/>
      <w:bookmarkStart w:id="298" w:name="_Toc437877549"/>
      <w:bookmarkStart w:id="299" w:name="_Toc437877749"/>
      <w:bookmarkStart w:id="300" w:name="_Toc437877949"/>
      <w:bookmarkStart w:id="301" w:name="_Toc437878152"/>
      <w:bookmarkStart w:id="302" w:name="_Toc437878356"/>
      <w:bookmarkStart w:id="303" w:name="_Toc437878560"/>
      <w:bookmarkStart w:id="304" w:name="_Toc437878764"/>
      <w:bookmarkStart w:id="305" w:name="_Toc439149960"/>
      <w:bookmarkStart w:id="306" w:name="_Toc439150316"/>
      <w:bookmarkStart w:id="307" w:name="_Toc439150513"/>
      <w:bookmarkStart w:id="308" w:name="_Toc485645603"/>
      <w:bookmarkStart w:id="309" w:name="_Toc48564576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72CE31A" w14:textId="77777777" w:rsidR="00A7388C" w:rsidRPr="00A7388C" w:rsidRDefault="00A7388C" w:rsidP="003301D6">
      <w:pPr>
        <w:pStyle w:val="Odsekzoznamu"/>
        <w:keepNext/>
        <w:keepLines/>
        <w:numPr>
          <w:ilvl w:val="0"/>
          <w:numId w:val="14"/>
        </w:numPr>
        <w:spacing w:after="0" w:line="360" w:lineRule="auto"/>
        <w:contextualSpacing w:val="0"/>
        <w:outlineLvl w:val="1"/>
        <w:rPr>
          <w:rFonts w:ascii="Times New Roman" w:eastAsiaTheme="majorEastAsia" w:hAnsi="Times New Roman" w:cstheme="majorBidi"/>
          <w:b/>
          <w:vanish/>
          <w:sz w:val="24"/>
          <w:szCs w:val="26"/>
        </w:rPr>
      </w:pPr>
      <w:bookmarkStart w:id="310" w:name="_Toc437862624"/>
      <w:bookmarkStart w:id="311" w:name="_Toc437862766"/>
      <w:bookmarkStart w:id="312" w:name="_Toc437877352"/>
      <w:bookmarkStart w:id="313" w:name="_Toc437877550"/>
      <w:bookmarkStart w:id="314" w:name="_Toc437877750"/>
      <w:bookmarkStart w:id="315" w:name="_Toc437877950"/>
      <w:bookmarkStart w:id="316" w:name="_Toc437878153"/>
      <w:bookmarkStart w:id="317" w:name="_Toc437878357"/>
      <w:bookmarkStart w:id="318" w:name="_Toc437878561"/>
      <w:bookmarkStart w:id="319" w:name="_Toc437878765"/>
      <w:bookmarkStart w:id="320" w:name="_Toc439149961"/>
      <w:bookmarkStart w:id="321" w:name="_Toc439150317"/>
      <w:bookmarkStart w:id="322" w:name="_Toc439150514"/>
      <w:bookmarkStart w:id="323" w:name="_Toc485645604"/>
      <w:bookmarkStart w:id="324" w:name="_Toc485645763"/>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30110CB3" w14:textId="77777777" w:rsidR="00A7388C" w:rsidRPr="00A7388C" w:rsidRDefault="00A7388C" w:rsidP="003301D6">
      <w:pPr>
        <w:pStyle w:val="Odsekzoznamu"/>
        <w:keepNext/>
        <w:keepLines/>
        <w:numPr>
          <w:ilvl w:val="0"/>
          <w:numId w:val="14"/>
        </w:numPr>
        <w:spacing w:after="0" w:line="360" w:lineRule="auto"/>
        <w:contextualSpacing w:val="0"/>
        <w:outlineLvl w:val="1"/>
        <w:rPr>
          <w:rFonts w:ascii="Times New Roman" w:eastAsiaTheme="majorEastAsia" w:hAnsi="Times New Roman" w:cstheme="majorBidi"/>
          <w:b/>
          <w:vanish/>
          <w:sz w:val="24"/>
          <w:szCs w:val="26"/>
        </w:rPr>
      </w:pPr>
      <w:bookmarkStart w:id="325" w:name="_Toc437862625"/>
      <w:bookmarkStart w:id="326" w:name="_Toc437862767"/>
      <w:bookmarkStart w:id="327" w:name="_Toc437877353"/>
      <w:bookmarkStart w:id="328" w:name="_Toc437877551"/>
      <w:bookmarkStart w:id="329" w:name="_Toc437877751"/>
      <w:bookmarkStart w:id="330" w:name="_Toc437877951"/>
      <w:bookmarkStart w:id="331" w:name="_Toc437878154"/>
      <w:bookmarkStart w:id="332" w:name="_Toc437878358"/>
      <w:bookmarkStart w:id="333" w:name="_Toc437878562"/>
      <w:bookmarkStart w:id="334" w:name="_Toc437878766"/>
      <w:bookmarkStart w:id="335" w:name="_Toc439149962"/>
      <w:bookmarkStart w:id="336" w:name="_Toc439150318"/>
      <w:bookmarkStart w:id="337" w:name="_Toc439150515"/>
      <w:bookmarkStart w:id="338" w:name="_Toc485645605"/>
      <w:bookmarkStart w:id="339" w:name="_Toc48564576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92107F8" w14:textId="77777777" w:rsidR="00A7388C" w:rsidRPr="00A7388C" w:rsidRDefault="00A7388C" w:rsidP="003301D6">
      <w:pPr>
        <w:pStyle w:val="Odsekzoznamu"/>
        <w:keepNext/>
        <w:keepLines/>
        <w:numPr>
          <w:ilvl w:val="1"/>
          <w:numId w:val="14"/>
        </w:numPr>
        <w:spacing w:after="0" w:line="360" w:lineRule="auto"/>
        <w:contextualSpacing w:val="0"/>
        <w:outlineLvl w:val="1"/>
        <w:rPr>
          <w:rFonts w:ascii="Times New Roman" w:eastAsiaTheme="majorEastAsia" w:hAnsi="Times New Roman" w:cstheme="majorBidi"/>
          <w:b/>
          <w:vanish/>
          <w:sz w:val="24"/>
          <w:szCs w:val="26"/>
        </w:rPr>
      </w:pPr>
      <w:bookmarkStart w:id="340" w:name="_Toc437862626"/>
      <w:bookmarkStart w:id="341" w:name="_Toc437862768"/>
      <w:bookmarkStart w:id="342" w:name="_Toc437877354"/>
      <w:bookmarkStart w:id="343" w:name="_Toc437877552"/>
      <w:bookmarkStart w:id="344" w:name="_Toc437877752"/>
      <w:bookmarkStart w:id="345" w:name="_Toc437877952"/>
      <w:bookmarkStart w:id="346" w:name="_Toc437878155"/>
      <w:bookmarkStart w:id="347" w:name="_Toc437878359"/>
      <w:bookmarkStart w:id="348" w:name="_Toc437878563"/>
      <w:bookmarkStart w:id="349" w:name="_Toc437878767"/>
      <w:bookmarkStart w:id="350" w:name="_Toc439149963"/>
      <w:bookmarkStart w:id="351" w:name="_Toc439150319"/>
      <w:bookmarkStart w:id="352" w:name="_Toc439150516"/>
      <w:bookmarkStart w:id="353" w:name="_Toc485645606"/>
      <w:bookmarkStart w:id="354" w:name="_Toc48564576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233B7FE0" w14:textId="77777777" w:rsidR="00A7388C" w:rsidRDefault="00A7388C" w:rsidP="003301D6">
      <w:pPr>
        <w:pStyle w:val="Nadpis2"/>
        <w:numPr>
          <w:ilvl w:val="1"/>
          <w:numId w:val="14"/>
        </w:numPr>
        <w:ind w:left="709"/>
      </w:pPr>
      <w:bookmarkStart w:id="355" w:name="_Toc485645766"/>
      <w:r>
        <w:t>SWOT analýza</w:t>
      </w:r>
      <w:bookmarkEnd w:id="355"/>
    </w:p>
    <w:p w14:paraId="3CA5727E" w14:textId="77777777" w:rsidR="000D046D" w:rsidRPr="000D046D" w:rsidRDefault="000D046D" w:rsidP="000D046D">
      <w:pPr>
        <w:spacing w:after="0"/>
      </w:pPr>
    </w:p>
    <w:p w14:paraId="32261581" w14:textId="77777777" w:rsidR="000E4371" w:rsidRPr="000E4371" w:rsidRDefault="000D046D" w:rsidP="000E43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4371" w:rsidRPr="000E4371">
        <w:rPr>
          <w:rFonts w:ascii="Times New Roman" w:hAnsi="Times New Roman" w:cs="Times New Roman"/>
          <w:sz w:val="24"/>
          <w:szCs w:val="24"/>
        </w:rPr>
        <w:t xml:space="preserve">Príprave SWOT analýzy Kopaničiarskeho regiónu predchádzal dlhý proces zberu údajov o území, ktorý spočíval tak v terénnom výskume ako aj v zbere štatistických údajov. Ich spracovaním a analýzou sa dospelo k určitým výstupom, ktoré sú základom samotnej analýzy územia. </w:t>
      </w:r>
    </w:p>
    <w:p w14:paraId="7A13C582" w14:textId="77777777" w:rsidR="000E4371" w:rsidRPr="000E4371" w:rsidRDefault="000D046D" w:rsidP="000E43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4371" w:rsidRPr="000E4371">
        <w:rPr>
          <w:rFonts w:ascii="Times New Roman" w:hAnsi="Times New Roman" w:cs="Times New Roman"/>
          <w:sz w:val="24"/>
          <w:szCs w:val="24"/>
        </w:rPr>
        <w:t xml:space="preserve">Týmto spracovaním sa zistili isté silné a slabé stránky Kopaničiarskeho regiónu, ktoré možno vidieť v tabuľke SWOT analýzy, ako aj možné ohrozenia, či naopak príležitosti pre rozvoj. Okrem terénneho výskumu a spracovania štatistických údajov slúžili ako podklady aj PHSR jednotlivých obcí Kopaničiarskeho regiónu, ktoré všetky obsahujú ako svoju súčasť aj SWOT analýzu obce, resp. mesta, ale aj SWOT analýza Trenčianskeho samosprávneho kraja. </w:t>
      </w:r>
      <w:r w:rsidR="000E4371" w:rsidRPr="000E4371">
        <w:rPr>
          <w:rFonts w:ascii="Times New Roman" w:hAnsi="Times New Roman" w:cs="Times New Roman"/>
          <w:sz w:val="24"/>
          <w:szCs w:val="24"/>
        </w:rPr>
        <w:lastRenderedPageBreak/>
        <w:t>Na základe všetkých týchto dostupných údajov bola potom vytvorená pracovná verzia SWOT analýzy, s ktorou sa pracovalo na pracovných stretnutiach, resp. členskej schôdzi.</w:t>
      </w:r>
    </w:p>
    <w:p w14:paraId="638D0FA6" w14:textId="77777777" w:rsidR="000E4371" w:rsidRPr="000E4371" w:rsidRDefault="000D046D" w:rsidP="000E43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4371" w:rsidRPr="000E4371">
        <w:rPr>
          <w:rFonts w:ascii="Times New Roman" w:hAnsi="Times New Roman" w:cs="Times New Roman"/>
          <w:sz w:val="24"/>
          <w:szCs w:val="24"/>
        </w:rPr>
        <w:t xml:space="preserve">Už pred tvorbou samotnej SWOT analýzy boli oslovovaní občania regiónu dotazníkovou formou, okrem iného aj pre účely zistenia nielen problémov Kopaničiarskeho regiónu, ale aj jeho silných, resp. slabých stránok a možnosti rozvoja, príp. jeho brzdenia. Práve tieto atribúty sú podstatou SWOT analýzy a tak sa pri jej tvorbe mohlo vychádzať aj z týchto podkladov, ktoré boli cennými zdrojmi informácií. </w:t>
      </w:r>
    </w:p>
    <w:p w14:paraId="359E4439" w14:textId="77777777" w:rsidR="000E4371" w:rsidRPr="000E4371" w:rsidRDefault="000D046D" w:rsidP="000E43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4371" w:rsidRPr="000E4371">
        <w:rPr>
          <w:rFonts w:ascii="Times New Roman" w:hAnsi="Times New Roman" w:cs="Times New Roman"/>
          <w:sz w:val="24"/>
          <w:szCs w:val="24"/>
        </w:rPr>
        <w:t xml:space="preserve">Po dlhom procese spracovávania informácií </w:t>
      </w:r>
      <w:r w:rsidR="00B549F5">
        <w:rPr>
          <w:rFonts w:ascii="Times New Roman" w:hAnsi="Times New Roman" w:cs="Times New Roman"/>
          <w:sz w:val="24"/>
          <w:szCs w:val="24"/>
        </w:rPr>
        <w:t>z</w:t>
      </w:r>
      <w:r w:rsidR="000E4371" w:rsidRPr="000E4371">
        <w:rPr>
          <w:rFonts w:ascii="Times New Roman" w:hAnsi="Times New Roman" w:cs="Times New Roman"/>
          <w:sz w:val="24"/>
          <w:szCs w:val="24"/>
        </w:rPr>
        <w:t xml:space="preserve"> rôznych zdrojov (terénny výskum, dotazníky, štúdium PHSR, a pod.) sa pristúpilo k vytvoreniu jej pracovnej verzie</w:t>
      </w:r>
      <w:r w:rsidR="00B549F5">
        <w:rPr>
          <w:rFonts w:ascii="Times New Roman" w:hAnsi="Times New Roman" w:cs="Times New Roman"/>
          <w:sz w:val="24"/>
          <w:szCs w:val="24"/>
        </w:rPr>
        <w:t>,</w:t>
      </w:r>
      <w:r w:rsidR="000E4371" w:rsidRPr="000E4371">
        <w:rPr>
          <w:rFonts w:ascii="Times New Roman" w:hAnsi="Times New Roman" w:cs="Times New Roman"/>
          <w:sz w:val="24"/>
          <w:szCs w:val="24"/>
        </w:rPr>
        <w:t xml:space="preserve"> s ktorou sa ďalej pracovalo na stretnutiach (pozri </w:t>
      </w:r>
      <w:r w:rsidR="00B549F5">
        <w:rPr>
          <w:rFonts w:ascii="Times New Roman" w:hAnsi="Times New Roman" w:cs="Times New Roman"/>
          <w:sz w:val="24"/>
          <w:szCs w:val="24"/>
        </w:rPr>
        <w:t xml:space="preserve">časť 2.2. </w:t>
      </w:r>
      <w:r w:rsidR="00B549F5" w:rsidRPr="00B549F5">
        <w:rPr>
          <w:rFonts w:ascii="Times New Roman" w:hAnsi="Times New Roman" w:cs="Times New Roman"/>
          <w:sz w:val="24"/>
          <w:szCs w:val="24"/>
        </w:rPr>
        <w:t>Tvorba partnerstva a stratégie CLLD</w:t>
      </w:r>
      <w:r w:rsidR="000E4371" w:rsidRPr="000E4371">
        <w:rPr>
          <w:rFonts w:ascii="Times New Roman" w:hAnsi="Times New Roman" w:cs="Times New Roman"/>
          <w:sz w:val="24"/>
          <w:szCs w:val="24"/>
        </w:rPr>
        <w:t>). Týchto stretnutí bolo niekoľko v rámci každej pracovnej skupiny, na ktorých sa zúčastňovali členovia Združenia z rôznych sektorov, či už verejného, podnikateľského, alebo občianskeho, a tak sa postupne vytváral koncept SWOT analýzy regiónu</w:t>
      </w:r>
      <w:r w:rsidR="000E4371" w:rsidRPr="000D046D">
        <w:rPr>
          <w:rFonts w:ascii="Times New Roman" w:hAnsi="Times New Roman" w:cs="Times New Roman"/>
          <w:sz w:val="24"/>
          <w:szCs w:val="24"/>
        </w:rPr>
        <w:t xml:space="preserve">, ktorá bola v značnej miere riešená aj na Členskej schôdzi Združenia dňa </w:t>
      </w:r>
      <w:r w:rsidR="00B549F5" w:rsidRPr="000D046D">
        <w:rPr>
          <w:rFonts w:ascii="Times New Roman" w:hAnsi="Times New Roman" w:cs="Times New Roman"/>
          <w:sz w:val="24"/>
          <w:szCs w:val="24"/>
        </w:rPr>
        <w:t>19.</w:t>
      </w:r>
      <w:r w:rsidRPr="000D046D">
        <w:rPr>
          <w:rFonts w:ascii="Times New Roman" w:hAnsi="Times New Roman" w:cs="Times New Roman"/>
          <w:sz w:val="24"/>
          <w:szCs w:val="24"/>
        </w:rPr>
        <w:t>11</w:t>
      </w:r>
      <w:r w:rsidR="00B549F5" w:rsidRPr="000D046D">
        <w:rPr>
          <w:rFonts w:ascii="Times New Roman" w:hAnsi="Times New Roman" w:cs="Times New Roman"/>
          <w:sz w:val="24"/>
          <w:szCs w:val="24"/>
        </w:rPr>
        <w:t>.</w:t>
      </w:r>
      <w:r w:rsidRPr="000D046D">
        <w:rPr>
          <w:rFonts w:ascii="Times New Roman" w:hAnsi="Times New Roman" w:cs="Times New Roman"/>
          <w:sz w:val="24"/>
          <w:szCs w:val="24"/>
        </w:rPr>
        <w:t>2015</w:t>
      </w:r>
      <w:r w:rsidR="000E4371" w:rsidRPr="000D046D">
        <w:rPr>
          <w:rFonts w:ascii="Times New Roman" w:hAnsi="Times New Roman" w:cs="Times New Roman"/>
          <w:sz w:val="24"/>
          <w:szCs w:val="24"/>
        </w:rPr>
        <w:t>.</w:t>
      </w:r>
      <w:r w:rsidR="000E4371" w:rsidRPr="000E4371">
        <w:rPr>
          <w:rFonts w:ascii="Times New Roman" w:hAnsi="Times New Roman" w:cs="Times New Roman"/>
          <w:sz w:val="24"/>
          <w:szCs w:val="24"/>
        </w:rPr>
        <w:t xml:space="preserve"> </w:t>
      </w:r>
    </w:p>
    <w:p w14:paraId="13AC0E49" w14:textId="77777777" w:rsidR="00F542E9" w:rsidRDefault="000D046D" w:rsidP="00F542E9">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E4371" w:rsidRPr="000E4371">
        <w:rPr>
          <w:rFonts w:ascii="Times New Roman" w:hAnsi="Times New Roman" w:cs="Times New Roman"/>
          <w:sz w:val="24"/>
          <w:szCs w:val="24"/>
        </w:rPr>
        <w:t>V procese samotnej tvorby SWOT analýzy mali jednotliví členovia</w:t>
      </w:r>
      <w:r w:rsidR="000E4371">
        <w:rPr>
          <w:rFonts w:ascii="Times New Roman" w:hAnsi="Times New Roman" w:cs="Times New Roman"/>
          <w:sz w:val="24"/>
          <w:szCs w:val="24"/>
        </w:rPr>
        <w:t>,</w:t>
      </w:r>
      <w:r w:rsidR="000E4371" w:rsidRPr="000E4371">
        <w:rPr>
          <w:rFonts w:ascii="Times New Roman" w:hAnsi="Times New Roman" w:cs="Times New Roman"/>
          <w:sz w:val="24"/>
          <w:szCs w:val="24"/>
        </w:rPr>
        <w:t xml:space="preserve"> ktorí sa na jej spracovávaní podieľali rôzne úlohy. Man</w:t>
      </w:r>
      <w:r w:rsidR="000E4371">
        <w:rPr>
          <w:rFonts w:ascii="Times New Roman" w:hAnsi="Times New Roman" w:cs="Times New Roman"/>
          <w:sz w:val="24"/>
          <w:szCs w:val="24"/>
        </w:rPr>
        <w:t>a</w:t>
      </w:r>
      <w:r w:rsidR="000E4371" w:rsidRPr="000E4371">
        <w:rPr>
          <w:rFonts w:ascii="Times New Roman" w:hAnsi="Times New Roman" w:cs="Times New Roman"/>
          <w:sz w:val="24"/>
          <w:szCs w:val="24"/>
        </w:rPr>
        <w:t>žér Združenia viedol celý tento proces a bol hlavným tvorcom SWOT analýzy. Na pracovných stretnutiach, ktorých sa pravidelne zúčastňoval</w:t>
      </w:r>
      <w:r w:rsidR="000E4371">
        <w:rPr>
          <w:rFonts w:ascii="Times New Roman" w:hAnsi="Times New Roman" w:cs="Times New Roman"/>
          <w:sz w:val="24"/>
          <w:szCs w:val="24"/>
        </w:rPr>
        <w:t>,</w:t>
      </w:r>
      <w:r w:rsidR="000E4371" w:rsidRPr="000E4371">
        <w:rPr>
          <w:rFonts w:ascii="Times New Roman" w:hAnsi="Times New Roman" w:cs="Times New Roman"/>
          <w:sz w:val="24"/>
          <w:szCs w:val="24"/>
        </w:rPr>
        <w:t xml:space="preserve"> sa viedli odborné diskusie na rôzne stránky SWOT analýzy. Diskutovalo sa o každom bode, ktorý bol v nej obsiahnutý a tak sa postupne tvorila finálnejšia verzia. Vždy mali členovia týchto pracovných skupín za úlohu spripomienkovať riešené problémy, ktoré potom manažér zohľadnil pri jej ďalšej tvorbe.</w:t>
      </w:r>
      <w:r w:rsidR="00F542E9" w:rsidRPr="00F542E9">
        <w:rPr>
          <w:rFonts w:ascii="Times New Roman" w:hAnsi="Times New Roman" w:cs="Times New Roman"/>
          <w:sz w:val="24"/>
          <w:szCs w:val="24"/>
        </w:rPr>
        <w:t xml:space="preserve"> </w:t>
      </w:r>
    </w:p>
    <w:p w14:paraId="4AACB640" w14:textId="77777777" w:rsidR="00F542E9" w:rsidRDefault="00F542E9" w:rsidP="00F542E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SWOT analýza vychádzala z následnej sumarizácie analýzy zdrojov, v rámci ktorej boli stanovené hlavné špecifiká územia kopaničiarskeho regiónu: </w:t>
      </w:r>
    </w:p>
    <w:p w14:paraId="5ED883C6"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sidRPr="0074165F">
        <w:rPr>
          <w:rFonts w:ascii="Times New Roman" w:hAnsi="Times New Roman" w:cs="Times New Roman"/>
          <w:sz w:val="24"/>
          <w:szCs w:val="24"/>
        </w:rPr>
        <w:t xml:space="preserve">poloha regiónu na </w:t>
      </w:r>
      <w:r>
        <w:rPr>
          <w:rFonts w:ascii="Times New Roman" w:hAnsi="Times New Roman" w:cs="Times New Roman"/>
          <w:sz w:val="24"/>
          <w:szCs w:val="24"/>
        </w:rPr>
        <w:t>hranici</w:t>
      </w:r>
      <w:r w:rsidRPr="0074165F">
        <w:rPr>
          <w:rFonts w:ascii="Times New Roman" w:hAnsi="Times New Roman" w:cs="Times New Roman"/>
          <w:sz w:val="24"/>
          <w:szCs w:val="24"/>
        </w:rPr>
        <w:t xml:space="preserve"> s Českou republikou</w:t>
      </w:r>
      <w:r>
        <w:rPr>
          <w:rFonts w:ascii="Times New Roman" w:hAnsi="Times New Roman" w:cs="Times New Roman"/>
          <w:sz w:val="24"/>
          <w:szCs w:val="24"/>
        </w:rPr>
        <w:t>,</w:t>
      </w:r>
    </w:p>
    <w:p w14:paraId="33442A8E"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rozptýlené  kopaničiarske osídlenie poprepájané – osady poprepájané hustou sieťou</w:t>
      </w:r>
      <w:r w:rsidRPr="0074165F">
        <w:rPr>
          <w:rFonts w:ascii="Times New Roman" w:hAnsi="Times New Roman" w:cs="Times New Roman"/>
          <w:sz w:val="24"/>
          <w:szCs w:val="24"/>
        </w:rPr>
        <w:t xml:space="preserve"> miestnych komunikácií</w:t>
      </w:r>
      <w:r>
        <w:rPr>
          <w:rFonts w:ascii="Times New Roman" w:hAnsi="Times New Roman" w:cs="Times New Roman"/>
          <w:sz w:val="24"/>
          <w:szCs w:val="24"/>
        </w:rPr>
        <w:t>,</w:t>
      </w:r>
    </w:p>
    <w:p w14:paraId="59216B71"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relatívne riedko osídlené územie s dobrými predpokladmi na rozvoj agroturistiky,</w:t>
      </w:r>
    </w:p>
    <w:p w14:paraId="7223B06E"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CHKO Biele Karpaty a CHKO Malé Karpaty,</w:t>
      </w:r>
    </w:p>
    <w:p w14:paraId="5E3458C1"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Bohatá flóra, fauna a lesy v pohoriach  Malé Karpaty a Biele Karpaty, </w:t>
      </w:r>
    </w:p>
    <w:p w14:paraId="193DDA6E"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Uchovávanie  ľudových tradícií, zvykov, folklóru a remesiel a organizovanie podujatí s tým súvisiacich,</w:t>
      </w:r>
    </w:p>
    <w:p w14:paraId="74F15A2A"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Zachovanie ľudovej architektúry,</w:t>
      </w:r>
    </w:p>
    <w:p w14:paraId="6A1D03E7"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Tradícia </w:t>
      </w:r>
      <w:r w:rsidRPr="00BC1EB9">
        <w:rPr>
          <w:rFonts w:ascii="Times New Roman" w:hAnsi="Times New Roman" w:cs="Times New Roman"/>
          <w:sz w:val="24"/>
          <w:szCs w:val="24"/>
        </w:rPr>
        <w:t xml:space="preserve">ovocinárstva </w:t>
      </w:r>
      <w:r>
        <w:rPr>
          <w:rFonts w:ascii="Times New Roman" w:hAnsi="Times New Roman" w:cs="Times New Roman"/>
          <w:sz w:val="24"/>
          <w:szCs w:val="24"/>
        </w:rPr>
        <w:t xml:space="preserve">a </w:t>
      </w:r>
      <w:r w:rsidRPr="00BC1EB9">
        <w:rPr>
          <w:rFonts w:ascii="Times New Roman" w:hAnsi="Times New Roman" w:cs="Times New Roman"/>
          <w:sz w:val="24"/>
          <w:szCs w:val="24"/>
        </w:rPr>
        <w:t xml:space="preserve">dobré podmienky pre </w:t>
      </w:r>
      <w:r>
        <w:rPr>
          <w:rFonts w:ascii="Times New Roman" w:hAnsi="Times New Roman" w:cs="Times New Roman"/>
          <w:sz w:val="24"/>
          <w:szCs w:val="24"/>
        </w:rPr>
        <w:t>jeho rozvoj,</w:t>
      </w:r>
    </w:p>
    <w:p w14:paraId="762B9E7D"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osobnosť M. R. Štefánika ako jednej z najvýznamnejších postáv slovenskej histórie a </w:t>
      </w:r>
      <w:r w:rsidRPr="00BC1EB9">
        <w:rPr>
          <w:rFonts w:ascii="Times New Roman" w:hAnsi="Times New Roman" w:cs="Times New Roman"/>
          <w:sz w:val="24"/>
          <w:szCs w:val="24"/>
        </w:rPr>
        <w:t>Mohyla M. R. Štefánika,</w:t>
      </w:r>
    </w:p>
    <w:p w14:paraId="026C1EFE"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ďalšie významné osobnosti pôsobiace v regióne (Dušan Samuel Jurkovič, Jozef Miloslav Hurban, Zuzka Zguriška, Ľudovít Holuby, Samuel Štúr,  Ľudmila Podjavorinská, Daniel Krman, </w:t>
      </w:r>
      <w:r w:rsidRPr="00F71EFE">
        <w:rPr>
          <w:rFonts w:ascii="Times New Roman" w:hAnsi="Times New Roman" w:cs="Times New Roman"/>
          <w:sz w:val="24"/>
          <w:szCs w:val="24"/>
        </w:rPr>
        <w:t>Samuel Jurkovič</w:t>
      </w:r>
      <w:r>
        <w:rPr>
          <w:rFonts w:ascii="Times New Roman" w:hAnsi="Times New Roman" w:cs="Times New Roman"/>
          <w:sz w:val="24"/>
          <w:szCs w:val="24"/>
        </w:rPr>
        <w:t>) a bohatá história regiónu,</w:t>
      </w:r>
    </w:p>
    <w:p w14:paraId="08EDBA3D" w14:textId="77777777" w:rsidR="00F542E9" w:rsidRDefault="00F542E9" w:rsidP="00F542E9">
      <w:pPr>
        <w:pStyle w:val="Odsekzoznamu"/>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 počiatočnej regresii zo začiatku 21. storočia dobre naštartovaný región s  rozvinutým ľahkým </w:t>
      </w:r>
      <w:r w:rsidRPr="008103C8">
        <w:rPr>
          <w:rFonts w:ascii="Times New Roman" w:hAnsi="Times New Roman" w:cs="Times New Roman"/>
          <w:sz w:val="24"/>
          <w:szCs w:val="24"/>
        </w:rPr>
        <w:t xml:space="preserve">strojárskym priemyslom a výrobou plastov v mestských </w:t>
      </w:r>
      <w:r>
        <w:rPr>
          <w:rFonts w:ascii="Times New Roman" w:hAnsi="Times New Roman" w:cs="Times New Roman"/>
          <w:sz w:val="24"/>
          <w:szCs w:val="24"/>
        </w:rPr>
        <w:t>sídlach,</w:t>
      </w:r>
    </w:p>
    <w:p w14:paraId="230E5FF9" w14:textId="77777777" w:rsidR="00F542E9" w:rsidRDefault="00F542E9" w:rsidP="00F542E9">
      <w:pPr>
        <w:pStyle w:val="Odsekzoznamu"/>
        <w:numPr>
          <w:ilvl w:val="0"/>
          <w:numId w:val="1"/>
        </w:numPr>
        <w:spacing w:after="0" w:line="360" w:lineRule="auto"/>
        <w:jc w:val="both"/>
        <w:rPr>
          <w:rFonts w:ascii="Times New Roman" w:hAnsi="Times New Roman" w:cs="Times New Roman"/>
          <w:sz w:val="24"/>
          <w:szCs w:val="24"/>
        </w:rPr>
      </w:pPr>
      <w:r w:rsidRPr="00F542E9">
        <w:rPr>
          <w:rFonts w:ascii="Times New Roman" w:hAnsi="Times New Roman" w:cs="Times New Roman"/>
          <w:sz w:val="24"/>
          <w:szCs w:val="24"/>
        </w:rPr>
        <w:t>Dobrá infraštruktúra športových a kultúrnych zariadení,</w:t>
      </w:r>
    </w:p>
    <w:p w14:paraId="7984AB8F" w14:textId="77777777" w:rsidR="000E4371" w:rsidRPr="00F542E9" w:rsidRDefault="00F542E9" w:rsidP="00F542E9">
      <w:pPr>
        <w:pStyle w:val="Odsekzoznamu"/>
        <w:numPr>
          <w:ilvl w:val="0"/>
          <w:numId w:val="1"/>
        </w:numPr>
        <w:spacing w:after="0" w:line="360" w:lineRule="auto"/>
        <w:jc w:val="both"/>
        <w:rPr>
          <w:rFonts w:ascii="Times New Roman" w:hAnsi="Times New Roman" w:cs="Times New Roman"/>
          <w:sz w:val="24"/>
          <w:szCs w:val="24"/>
        </w:rPr>
      </w:pPr>
      <w:r w:rsidRPr="00F542E9">
        <w:rPr>
          <w:rFonts w:ascii="Times New Roman" w:hAnsi="Times New Roman" w:cs="Times New Roman"/>
          <w:sz w:val="24"/>
          <w:szCs w:val="24"/>
        </w:rPr>
        <w:t>existencia fungujúcich spolkov a organizácií neziskového sektora a ich dobré zázemie v obciach a</w:t>
      </w:r>
      <w:r>
        <w:rPr>
          <w:rFonts w:ascii="Times New Roman" w:hAnsi="Times New Roman" w:cs="Times New Roman"/>
          <w:sz w:val="24"/>
          <w:szCs w:val="24"/>
        </w:rPr>
        <w:t> </w:t>
      </w:r>
      <w:r w:rsidRPr="00F542E9">
        <w:rPr>
          <w:rFonts w:ascii="Times New Roman" w:hAnsi="Times New Roman" w:cs="Times New Roman"/>
          <w:sz w:val="24"/>
          <w:szCs w:val="24"/>
        </w:rPr>
        <w:t>mestách</w:t>
      </w:r>
      <w:r>
        <w:rPr>
          <w:rFonts w:ascii="Times New Roman" w:hAnsi="Times New Roman" w:cs="Times New Roman"/>
          <w:sz w:val="24"/>
          <w:szCs w:val="24"/>
        </w:rPr>
        <w:t>.</w:t>
      </w:r>
    </w:p>
    <w:p w14:paraId="71B69547" w14:textId="77777777" w:rsidR="00316BB0" w:rsidRDefault="00316BB0" w:rsidP="00E37887">
      <w:pPr>
        <w:spacing w:after="0" w:line="360" w:lineRule="auto"/>
        <w:jc w:val="both"/>
        <w:rPr>
          <w:rFonts w:ascii="Times New Roman" w:hAnsi="Times New Roman" w:cs="Times New Roman"/>
          <w:sz w:val="24"/>
          <w:szCs w:val="24"/>
        </w:rPr>
        <w:sectPr w:rsidR="00316BB0" w:rsidSect="007E10F7">
          <w:headerReference w:type="default" r:id="rId20"/>
          <w:footerReference w:type="default" r:id="rId21"/>
          <w:footerReference w:type="first" r:id="rId22"/>
          <w:pgSz w:w="11906" w:h="16838"/>
          <w:pgMar w:top="1418" w:right="1134" w:bottom="1418" w:left="1701" w:header="1077" w:footer="1077" w:gutter="0"/>
          <w:cols w:space="708"/>
          <w:titlePg/>
          <w:docGrid w:linePitch="360"/>
        </w:sectPr>
      </w:pPr>
    </w:p>
    <w:p w14:paraId="0489C4D9" w14:textId="77777777" w:rsidR="000E4371" w:rsidRDefault="0086301B" w:rsidP="008951E2">
      <w:pPr>
        <w:spacing w:after="0" w:line="360" w:lineRule="auto"/>
        <w:jc w:val="both"/>
        <w:rPr>
          <w:rFonts w:ascii="Times New Roman" w:hAnsi="Times New Roman" w:cs="Times New Roman"/>
          <w:b/>
          <w:sz w:val="20"/>
          <w:szCs w:val="20"/>
        </w:rPr>
      </w:pPr>
      <w:r w:rsidRPr="0086301B">
        <w:rPr>
          <w:rFonts w:ascii="Times New Roman" w:hAnsi="Times New Roman" w:cs="Times New Roman"/>
          <w:b/>
          <w:sz w:val="20"/>
          <w:szCs w:val="20"/>
        </w:rPr>
        <w:lastRenderedPageBreak/>
        <w:t>Tabuľka 3.2.1 SWOT analýza</w:t>
      </w:r>
    </w:p>
    <w:tbl>
      <w:tblPr>
        <w:tblStyle w:val="Mriekatabuky"/>
        <w:tblW w:w="14425" w:type="dxa"/>
        <w:tblLook w:val="04A0" w:firstRow="1" w:lastRow="0" w:firstColumn="1" w:lastColumn="0" w:noHBand="0" w:noVBand="1"/>
      </w:tblPr>
      <w:tblGrid>
        <w:gridCol w:w="3397"/>
        <w:gridCol w:w="3402"/>
        <w:gridCol w:w="3969"/>
        <w:gridCol w:w="3657"/>
      </w:tblGrid>
      <w:tr w:rsidR="00316BB0" w:rsidRPr="00316BB0" w14:paraId="3527882E" w14:textId="77777777" w:rsidTr="008951E2">
        <w:tc>
          <w:tcPr>
            <w:tcW w:w="14425" w:type="dxa"/>
            <w:gridSpan w:val="4"/>
            <w:shd w:val="clear" w:color="auto" w:fill="FFFF00"/>
          </w:tcPr>
          <w:p w14:paraId="34517CA5"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Dopravné prepojenie a dostupnosť sídiel</w:t>
            </w:r>
          </w:p>
        </w:tc>
      </w:tr>
      <w:tr w:rsidR="00316BB0" w:rsidRPr="00316BB0" w14:paraId="787D6DA1" w14:textId="77777777" w:rsidTr="008951E2">
        <w:tc>
          <w:tcPr>
            <w:tcW w:w="3397" w:type="dxa"/>
            <w:shd w:val="clear" w:color="auto" w:fill="8DB3E2" w:themeFill="text2" w:themeFillTint="66"/>
          </w:tcPr>
          <w:p w14:paraId="48A01611"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407B5D59"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57B8EAA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6C0E37BE"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1B3E8DEE" w14:textId="77777777" w:rsidTr="008951E2">
        <w:tc>
          <w:tcPr>
            <w:tcW w:w="3397" w:type="dxa"/>
          </w:tcPr>
          <w:p w14:paraId="7EE3B232"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xml:space="preserve">- dobrá poloha regiónu vzhľadom na blízkosť hraníc s Českou republikou </w:t>
            </w:r>
          </w:p>
          <w:p w14:paraId="003819F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krátke vzdialenosti medzi obcami</w:t>
            </w:r>
          </w:p>
          <w:p w14:paraId="034988B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veľké množstvo miestnych komunikácií</w:t>
            </w:r>
          </w:p>
        </w:tc>
        <w:tc>
          <w:tcPr>
            <w:tcW w:w="3402" w:type="dxa"/>
          </w:tcPr>
          <w:p w14:paraId="370F198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fyzická opotrebovanosť povrchu štátnych ciest II. a III. triedy a tiež miestnych komunikácií</w:t>
            </w:r>
          </w:p>
          <w:p w14:paraId="5953C6C5"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horšia dopravná infraštruktúra</w:t>
            </w:r>
          </w:p>
          <w:p w14:paraId="7DFD52F2" w14:textId="77777777" w:rsidR="00316BB0" w:rsidRPr="0086301B" w:rsidRDefault="00316BB0" w:rsidP="00316BB0">
            <w:pPr>
              <w:ind w:right="-80"/>
              <w:rPr>
                <w:rFonts w:ascii="Times New Roman" w:hAnsi="Times New Roman" w:cs="Times New Roman"/>
                <w:bCs/>
                <w:i/>
                <w:iCs/>
                <w:sz w:val="24"/>
                <w:szCs w:val="24"/>
              </w:rPr>
            </w:pPr>
            <w:r w:rsidRPr="0086301B">
              <w:rPr>
                <w:rFonts w:ascii="Times New Roman" w:hAnsi="Times New Roman" w:cs="Times New Roman"/>
                <w:bCs/>
                <w:i/>
                <w:iCs/>
                <w:sz w:val="24"/>
                <w:szCs w:val="24"/>
              </w:rPr>
              <w:t xml:space="preserve">- </w:t>
            </w:r>
            <w:r w:rsidRPr="0086301B">
              <w:rPr>
                <w:rFonts w:ascii="Times New Roman" w:hAnsi="Times New Roman" w:cs="Times New Roman"/>
                <w:b/>
                <w:bCs/>
                <w:i/>
                <w:iCs/>
                <w:sz w:val="24"/>
                <w:szCs w:val="24"/>
              </w:rPr>
              <w:t>nevyhovujúci dopravný systém v mestách</w:t>
            </w:r>
          </w:p>
          <w:p w14:paraId="7A6416E1" w14:textId="77777777" w:rsidR="00316BB0" w:rsidRPr="0086301B" w:rsidRDefault="00316BB0" w:rsidP="00316BB0">
            <w:pPr>
              <w:ind w:right="-80"/>
              <w:rPr>
                <w:rFonts w:ascii="Times New Roman" w:hAnsi="Times New Roman" w:cs="Times New Roman"/>
                <w:b/>
                <w:bCs/>
                <w:i/>
                <w:iCs/>
                <w:sz w:val="24"/>
                <w:szCs w:val="24"/>
              </w:rPr>
            </w:pPr>
            <w:r w:rsidRPr="0086301B">
              <w:rPr>
                <w:rFonts w:ascii="Times New Roman" w:hAnsi="Times New Roman" w:cs="Times New Roman"/>
                <w:b/>
                <w:bCs/>
                <w:i/>
                <w:iCs/>
                <w:sz w:val="24"/>
                <w:szCs w:val="24"/>
              </w:rPr>
              <w:t>- zvyšujúci sa podiel automobilovej dopravy hlavne v mestách</w:t>
            </w:r>
          </w:p>
          <w:p w14:paraId="6CCEB77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Fonts w:ascii="Times New Roman" w:hAnsi="Times New Roman" w:cs="Times New Roman"/>
                <w:b/>
                <w:bCs/>
                <w:i/>
                <w:iCs/>
                <w:sz w:val="24"/>
                <w:szCs w:val="24"/>
              </w:rPr>
              <w:t>- zlá dostupnosť niektorých kopaníc</w:t>
            </w:r>
          </w:p>
        </w:tc>
        <w:tc>
          <w:tcPr>
            <w:tcW w:w="3969" w:type="dxa"/>
          </w:tcPr>
          <w:p w14:paraId="51602DB6"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zaradenie štátnych ciest II. a III. Triedy do programu RIÚS i akčných plánov TSK</w:t>
            </w:r>
          </w:p>
          <w:p w14:paraId="71C679DA" w14:textId="77777777" w:rsidR="00316BB0" w:rsidRPr="0086301B" w:rsidRDefault="00316BB0" w:rsidP="008951E2">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color w:val="auto"/>
                <w:sz w:val="24"/>
                <w:szCs w:val="24"/>
              </w:rPr>
              <w:t>- využitie hustej siete miestnych komunikácií medzi jednotlivými osadami na budovanie cyklotrás</w:t>
            </w:r>
          </w:p>
        </w:tc>
        <w:tc>
          <w:tcPr>
            <w:tcW w:w="3657" w:type="dxa"/>
          </w:tcPr>
          <w:p w14:paraId="663D9F1F"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zlá dopravná obslužnosť</w:t>
            </w:r>
          </w:p>
          <w:p w14:paraId="650E5D13"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nízke dotácie na infraštruktúru ciest</w:t>
            </w:r>
          </w:p>
          <w:p w14:paraId="7315828F" w14:textId="77777777" w:rsidR="00316BB0" w:rsidRPr="0086301B" w:rsidRDefault="00316BB0" w:rsidP="008951E2">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color w:val="auto"/>
                <w:sz w:val="24"/>
                <w:szCs w:val="24"/>
              </w:rPr>
              <w:t>- rýchla jazda automobilov na vjazde do intravilánu obcí i cez celú obec</w:t>
            </w:r>
          </w:p>
        </w:tc>
      </w:tr>
      <w:tr w:rsidR="00316BB0" w:rsidRPr="00316BB0" w14:paraId="700278A2" w14:textId="77777777" w:rsidTr="008951E2">
        <w:tc>
          <w:tcPr>
            <w:tcW w:w="14425" w:type="dxa"/>
            <w:gridSpan w:val="4"/>
            <w:shd w:val="clear" w:color="auto" w:fill="FFFF00"/>
          </w:tcPr>
          <w:p w14:paraId="49D79F2E"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Životné prostredie</w:t>
            </w:r>
          </w:p>
        </w:tc>
      </w:tr>
      <w:tr w:rsidR="00316BB0" w:rsidRPr="00316BB0" w14:paraId="1D6AA6E1" w14:textId="77777777" w:rsidTr="008951E2">
        <w:tc>
          <w:tcPr>
            <w:tcW w:w="3397" w:type="dxa"/>
            <w:shd w:val="clear" w:color="auto" w:fill="8DB3E2" w:themeFill="text2" w:themeFillTint="66"/>
          </w:tcPr>
          <w:p w14:paraId="29DABF49"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47E924AB"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56308318"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1E221ACB"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66BBF33D" w14:textId="77777777" w:rsidTr="008951E2">
        <w:tc>
          <w:tcPr>
            <w:tcW w:w="3397" w:type="dxa"/>
          </w:tcPr>
          <w:p w14:paraId="1F90C40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čistota ovzdušia</w:t>
            </w:r>
          </w:p>
          <w:p w14:paraId="0FBC3208"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významné veľkoplošné chránené územie CHKO Biele Karpaty a CHKO Malé Karpaty</w:t>
            </w:r>
          </w:p>
          <w:p w14:paraId="41D8245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pomerne vysoká biodiverzita územia</w:t>
            </w:r>
          </w:p>
          <w:p w14:paraId="1BF5EEE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podpriemerná produkcia emisií v rámci Slovenska</w:t>
            </w:r>
          </w:p>
          <w:p w14:paraId="44D9CAB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nižšia urbanizácia územia predmetného regiónu</w:t>
            </w:r>
          </w:p>
          <w:p w14:paraId="72437373"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možnosti zdravšieho životného štýlu na vidieku</w:t>
            </w:r>
          </w:p>
          <w:p w14:paraId="20B0E4D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pestrá mozaika využitia pôdy (lesy, lúky, polia, ovocné sady)</w:t>
            </w:r>
          </w:p>
        </w:tc>
        <w:tc>
          <w:tcPr>
            <w:tcW w:w="3402" w:type="dxa"/>
          </w:tcPr>
          <w:p w14:paraId="3D489CE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znečistenie a znečisťovanie povrchových vôd</w:t>
            </w:r>
          </w:p>
          <w:p w14:paraId="25B8CAC6"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nestabilnosť územia strmých svahov Bielych Karpát</w:t>
            </w:r>
          </w:p>
          <w:p w14:paraId="3D47DAE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vysoký stupeň ohrozenia stability lesných ekosystémov imisiami, abiotickými a biotickými činiteľmi</w:t>
            </w:r>
          </w:p>
          <w:p w14:paraId="08A4D87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nedostatočné realizované preventívne opatrenia ochrany kvality a množstva vôd</w:t>
            </w:r>
          </w:p>
          <w:p w14:paraId="3711D25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absencia monitoringu najcennejších prírodných</w:t>
            </w:r>
          </w:p>
          <w:p w14:paraId="41BFC79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území z hľadiska biodiverzity</w:t>
            </w:r>
          </w:p>
          <w:p w14:paraId="7558160F" w14:textId="77777777" w:rsidR="00316BB0" w:rsidRPr="0086301B" w:rsidRDefault="00316BB0" w:rsidP="00316BB0">
            <w:pPr>
              <w:ind w:right="-80"/>
              <w:rPr>
                <w:rFonts w:ascii="Times New Roman" w:hAnsi="Times New Roman" w:cs="Times New Roman"/>
                <w:bCs/>
                <w:i/>
                <w:iCs/>
                <w:sz w:val="24"/>
                <w:szCs w:val="24"/>
              </w:rPr>
            </w:pPr>
            <w:r w:rsidRPr="0086301B">
              <w:rPr>
                <w:rStyle w:val="Intenzvnezvraznenie"/>
                <w:rFonts w:ascii="Times New Roman" w:hAnsi="Times New Roman" w:cs="Times New Roman"/>
                <w:b w:val="0"/>
                <w:color w:val="auto"/>
                <w:sz w:val="24"/>
                <w:szCs w:val="24"/>
              </w:rPr>
              <w:lastRenderedPageBreak/>
              <w:t xml:space="preserve">- </w:t>
            </w:r>
            <w:r w:rsidRPr="0086301B">
              <w:rPr>
                <w:rFonts w:ascii="Times New Roman" w:hAnsi="Times New Roman" w:cs="Times New Roman"/>
                <w:bCs/>
                <w:i/>
                <w:iCs/>
                <w:sz w:val="24"/>
                <w:szCs w:val="24"/>
              </w:rPr>
              <w:t>deficit vodných zdrojov výskyt lokálnych záplav</w:t>
            </w:r>
          </w:p>
          <w:p w14:paraId="4F533E7A"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Fonts w:ascii="Times New Roman" w:hAnsi="Times New Roman" w:cs="Times New Roman"/>
                <w:bCs/>
                <w:i/>
                <w:iCs/>
                <w:sz w:val="24"/>
                <w:szCs w:val="24"/>
              </w:rPr>
              <w:t>- nedostatočné odkanalizovanie regiónu</w:t>
            </w:r>
          </w:p>
        </w:tc>
        <w:tc>
          <w:tcPr>
            <w:tcW w:w="3969" w:type="dxa"/>
          </w:tcPr>
          <w:p w14:paraId="4790A01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lastRenderedPageBreak/>
              <w:t>- tvorba nových pracovných príležitostí vo sfére tvorby a ochrany kvalitného životného prostredia</w:t>
            </w:r>
          </w:p>
          <w:p w14:paraId="12598C89"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realizácia programov starostlivosti o chránené územie a záchrany ohrozených častí prírody</w:t>
            </w:r>
          </w:p>
          <w:p w14:paraId="10712DE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separovaný zber odpadov</w:t>
            </w:r>
          </w:p>
          <w:p w14:paraId="60F9B68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využívanie odpadu ako druhotnej suroviny</w:t>
            </w:r>
          </w:p>
          <w:p w14:paraId="66DB3B51"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xml:space="preserve">- využitie relatívne dobrej prepojenosti ciest v lesoch Bielych a Malých Karpát na budovanie a obnovu občianskej a poznávacej infraštruktúry (napr. náučné a turistické chodníky, </w:t>
            </w:r>
            <w:r w:rsidRPr="0086301B">
              <w:rPr>
                <w:rStyle w:val="Intenzvnezvraznenie"/>
                <w:rFonts w:ascii="Times New Roman" w:hAnsi="Times New Roman" w:cs="Times New Roman"/>
                <w:color w:val="auto"/>
                <w:sz w:val="24"/>
                <w:szCs w:val="24"/>
              </w:rPr>
              <w:lastRenderedPageBreak/>
              <w:t>cyklotrasy, odpočívadlá, turistické značenie, mapové panely, informačné tabule apod.)</w:t>
            </w:r>
          </w:p>
          <w:p w14:paraId="037F851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color w:val="auto"/>
                <w:sz w:val="24"/>
                <w:szCs w:val="24"/>
              </w:rPr>
              <w:t>- možnosť spracovania lesných produktov a dendrohmoty vznikajúcej pri ťažbe dreva</w:t>
            </w:r>
          </w:p>
        </w:tc>
        <w:tc>
          <w:tcPr>
            <w:tcW w:w="3657" w:type="dxa"/>
          </w:tcPr>
          <w:p w14:paraId="4E20B39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lastRenderedPageBreak/>
              <w:t>- možné zvyšovanie erózií poľnohospodárskej pôdy</w:t>
            </w:r>
          </w:p>
          <w:p w14:paraId="5795AC13"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nedostatok vlahy počas vegetačného obdobia</w:t>
            </w:r>
          </w:p>
          <w:p w14:paraId="23F72C0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slabé protipovodňové opatrenia a ich nedostatočné,</w:t>
            </w:r>
          </w:p>
          <w:p w14:paraId="5C618559"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iba čiastkové riešenie</w:t>
            </w:r>
          </w:p>
          <w:p w14:paraId="2445A1FE"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ohrozené lesné a nelesné spoločenstvá</w:t>
            </w:r>
          </w:p>
          <w:p w14:paraId="1E644E04"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zníženie biodiverzity</w:t>
            </w:r>
          </w:p>
          <w:p w14:paraId="0911A089"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prehlbujúce sa znečisťovanie životného prostredia divokými skládkami</w:t>
            </w:r>
          </w:p>
          <w:p w14:paraId="04485A46" w14:textId="77777777" w:rsidR="00316BB0" w:rsidRPr="0086301B" w:rsidRDefault="00316BB0" w:rsidP="0086301B">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xml:space="preserve">- nízka disciplína pri nakladaní </w:t>
            </w:r>
            <w:r w:rsidRPr="0086301B">
              <w:rPr>
                <w:rStyle w:val="Intenzvnezvraznenie"/>
                <w:rFonts w:ascii="Times New Roman" w:hAnsi="Times New Roman" w:cs="Times New Roman"/>
                <w:b w:val="0"/>
                <w:color w:val="auto"/>
                <w:sz w:val="24"/>
                <w:szCs w:val="24"/>
              </w:rPr>
              <w:lastRenderedPageBreak/>
              <w:t>s odpadmi</w:t>
            </w:r>
          </w:p>
        </w:tc>
      </w:tr>
      <w:tr w:rsidR="00316BB0" w:rsidRPr="00316BB0" w14:paraId="70ED2931" w14:textId="77777777" w:rsidTr="008951E2">
        <w:tc>
          <w:tcPr>
            <w:tcW w:w="14425" w:type="dxa"/>
            <w:gridSpan w:val="4"/>
            <w:shd w:val="clear" w:color="auto" w:fill="FFFF00"/>
          </w:tcPr>
          <w:p w14:paraId="536F53C2"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lastRenderedPageBreak/>
              <w:t>Oblasť: Cestovný ruch</w:t>
            </w:r>
          </w:p>
        </w:tc>
      </w:tr>
      <w:tr w:rsidR="00316BB0" w:rsidRPr="00316BB0" w14:paraId="50514414" w14:textId="77777777" w:rsidTr="008951E2">
        <w:tc>
          <w:tcPr>
            <w:tcW w:w="3397" w:type="dxa"/>
            <w:shd w:val="clear" w:color="auto" w:fill="8DB3E2" w:themeFill="text2" w:themeFillTint="66"/>
          </w:tcPr>
          <w:p w14:paraId="55523655"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4DFB4CB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3CBA1F2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4B49265B"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4B97F788" w14:textId="77777777" w:rsidTr="008951E2">
        <w:tc>
          <w:tcPr>
            <w:tcW w:w="3397" w:type="dxa"/>
          </w:tcPr>
          <w:p w14:paraId="58AD96FE"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turisticky zaujímavé vodné plochy (Stará Myjava, Dubník, Brestovec,...)</w:t>
            </w:r>
          </w:p>
          <w:p w14:paraId="1686856A"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východisko do masívu Bielych a Malých Karpát</w:t>
            </w:r>
          </w:p>
          <w:p w14:paraId="41B8DFA4"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xml:space="preserve">- významné turistické destinácie (Mohyla M. R. Štefánika, Hrad Branč, gazdovský dvor v Turej Lúke  </w:t>
            </w:r>
          </w:p>
          <w:p w14:paraId="6C686FE4"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tesné susedstvo významných turistických destinácií (Čachtický hrad, Zelená voda, Kunovská priehrada)</w:t>
            </w:r>
          </w:p>
          <w:p w14:paraId="7D996B7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dostatok  turisticky zaujímavých objektov na lokálnej úrovni (kultúrneho, historického i prírodného charakteru)</w:t>
            </w:r>
          </w:p>
          <w:p w14:paraId="01BBEAB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ľudová architektúra</w:t>
            </w:r>
          </w:p>
          <w:p w14:paraId="2128B438"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vysoká úroveň atraktivity mikroregiónu a jeho</w:t>
            </w:r>
          </w:p>
          <w:p w14:paraId="3196893C"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okolia z hľadiska cestovného ruchu</w:t>
            </w:r>
          </w:p>
          <w:p w14:paraId="771B98D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lastRenderedPageBreak/>
              <w:t>- sieť značených turistických a cykloturistických trás</w:t>
            </w:r>
          </w:p>
          <w:p w14:paraId="78C2517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dostatok objektov vhodných (po úprave) na ubytovanie</w:t>
            </w:r>
          </w:p>
          <w:p w14:paraId="51BCC78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podpora subjektov tretieho (občianskeho) sektora v oblasti organizovania podujatí kultúrno-spoločenského a športového charakteru</w:t>
            </w:r>
          </w:p>
        </w:tc>
        <w:tc>
          <w:tcPr>
            <w:tcW w:w="3402" w:type="dxa"/>
          </w:tcPr>
          <w:p w14:paraId="523E8863"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lastRenderedPageBreak/>
              <w:t>- nedostatočná úroveň spoločného marketingu územia</w:t>
            </w:r>
          </w:p>
          <w:p w14:paraId="440326B7"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nedostatočná spolupráca a prepojenosť zaujímavých produktoch cestovného ruchu predovšetkým pre zimné obdobie, nadväzujúci na nedostatok zariadení pre zimnú rekreáciu</w:t>
            </w:r>
          </w:p>
          <w:p w14:paraId="47F111C6"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nepripravenosť miestnych podnikateľských subjektov v oblasti cestovného ruchu vo vidieckych obciach</w:t>
            </w:r>
          </w:p>
          <w:p w14:paraId="0643A3DD"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prevaha individuálnej rekreácie v chatách, chalupách a záhradkárskych osadách</w:t>
            </w:r>
          </w:p>
          <w:p w14:paraId="6BF1FAF9"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neuvedomelosť príležitostí pre región skrytých v cestovnom ruchu</w:t>
            </w:r>
          </w:p>
        </w:tc>
        <w:tc>
          <w:tcPr>
            <w:tcW w:w="3969" w:type="dxa"/>
          </w:tcPr>
          <w:p w14:paraId="3D360A4F"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tvorba turistických balíčkov s ponukou zaujímavých produktov cestovného ruchu - rozvoj cestovného ruchu</w:t>
            </w:r>
          </w:p>
          <w:p w14:paraId="5D36493F"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podpora rozvoja malého a stredného podnikania súvisiaceho s cestovným ruchom a tradičnými remeslami zo strany štátu a EÚ</w:t>
            </w:r>
          </w:p>
          <w:p w14:paraId="06A4D9D8"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orientácia obyvateľstva na agroturistiku a vidiecku turistiku</w:t>
            </w:r>
          </w:p>
          <w:p w14:paraId="7D45F2C8"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vytváranie konkrétnych produktov cestovného ruchu, založených na atraktivite mikroregiónu</w:t>
            </w:r>
          </w:p>
          <w:p w14:paraId="7F7FCF26"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cielená propagácia regiónu ako celku – Kopaničiarsky región na výstavách cestovného ruchu</w:t>
            </w:r>
          </w:p>
          <w:p w14:paraId="653AE59B"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zvýšenie podielu dlhodobej rekreácie s pozitívnym dopadom na rozvoj zamestnanosti</w:t>
            </w:r>
          </w:p>
          <w:p w14:paraId="1F874E7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rozvoj hipoturistiky v celoslovenskom meradle</w:t>
            </w:r>
          </w:p>
          <w:p w14:paraId="24D9047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xml:space="preserve">- podpora domáceho cestovného ruchu </w:t>
            </w:r>
            <w:r w:rsidRPr="0086301B">
              <w:rPr>
                <w:rStyle w:val="Intenzvnezvraznenie"/>
                <w:rFonts w:ascii="Times New Roman" w:hAnsi="Times New Roman" w:cs="Times New Roman"/>
                <w:b w:val="0"/>
                <w:color w:val="auto"/>
                <w:sz w:val="24"/>
                <w:szCs w:val="24"/>
              </w:rPr>
              <w:lastRenderedPageBreak/>
              <w:t>zo strany štátu</w:t>
            </w:r>
          </w:p>
          <w:p w14:paraId="348C3027"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využitie súčasného stavebného fondu (chalupy, chaty) na ubytovanie na súkromí</w:t>
            </w:r>
          </w:p>
          <w:p w14:paraId="01201E7D"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využitie železnice Myjava – Velká nad Veličkou s prepojením na Brno</w:t>
            </w:r>
          </w:p>
          <w:p w14:paraId="483E5E7A"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blízkosť kúpeľných miest (Piešťany, Smrdáky, Trenčianske Teplice)</w:t>
            </w:r>
          </w:p>
        </w:tc>
        <w:tc>
          <w:tcPr>
            <w:tcW w:w="3657" w:type="dxa"/>
          </w:tcPr>
          <w:p w14:paraId="1BBB4996"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lastRenderedPageBreak/>
              <w:t>- pasivita obyvateľstva k rozvíjaniu rekreačných</w:t>
            </w:r>
          </w:p>
          <w:p w14:paraId="7B02C79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xml:space="preserve">a turistických zámerov </w:t>
            </w:r>
          </w:p>
          <w:p w14:paraId="34AF2234"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orientácia návštevníka na</w:t>
            </w:r>
          </w:p>
          <w:p w14:paraId="3DBFE99A"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konkurenčné destinácie</w:t>
            </w:r>
          </w:p>
          <w:p w14:paraId="06718214" w14:textId="77777777" w:rsidR="00316BB0" w:rsidRPr="0086301B" w:rsidRDefault="00316BB0" w:rsidP="0086301B">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nedostatočná príťažlivosť niektorých oblastí</w:t>
            </w:r>
          </w:p>
        </w:tc>
      </w:tr>
      <w:tr w:rsidR="00316BB0" w:rsidRPr="00316BB0" w14:paraId="3943444F" w14:textId="77777777" w:rsidTr="008951E2">
        <w:tc>
          <w:tcPr>
            <w:tcW w:w="14425" w:type="dxa"/>
            <w:gridSpan w:val="4"/>
            <w:shd w:val="clear" w:color="auto" w:fill="FFFF00"/>
          </w:tcPr>
          <w:p w14:paraId="1FFFF413"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Hospodárstvo</w:t>
            </w:r>
          </w:p>
        </w:tc>
      </w:tr>
      <w:tr w:rsidR="00316BB0" w:rsidRPr="00316BB0" w14:paraId="754C3FA8" w14:textId="77777777" w:rsidTr="008951E2">
        <w:tc>
          <w:tcPr>
            <w:tcW w:w="3397" w:type="dxa"/>
            <w:shd w:val="clear" w:color="auto" w:fill="8DB3E2" w:themeFill="text2" w:themeFillTint="66"/>
          </w:tcPr>
          <w:p w14:paraId="64A0688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78D62CF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4B874B6E"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20659D3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54BFC547" w14:textId="77777777" w:rsidTr="008951E2">
        <w:tc>
          <w:tcPr>
            <w:tcW w:w="3397" w:type="dxa"/>
          </w:tcPr>
          <w:p w14:paraId="09330E97"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vhodné podmienky pre špecializované odbory poľnohospodárskej výroby – pestovanie liečivých rastlín</w:t>
            </w:r>
          </w:p>
          <w:p w14:paraId="06C36265"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dobré podmienky pre rozvoj ovocinárstva</w:t>
            </w:r>
          </w:p>
          <w:p w14:paraId="10A25E43"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dobré skúsenosti všetkých sektorov v implementácií projektov</w:t>
            </w:r>
            <w:r w:rsidR="00660B7A">
              <w:rPr>
                <w:rStyle w:val="Intenzvnezvraznenie"/>
                <w:rFonts w:ascii="Times New Roman" w:hAnsi="Times New Roman" w:cs="Times New Roman"/>
                <w:color w:val="auto"/>
                <w:sz w:val="24"/>
                <w:szCs w:val="24"/>
              </w:rPr>
              <w:t xml:space="preserve"> </w:t>
            </w:r>
            <w:r w:rsidRPr="00660B7A">
              <w:rPr>
                <w:b/>
                <w:bCs/>
                <w:i/>
                <w:iCs/>
              </w:rPr>
              <w:t>podporených</w:t>
            </w:r>
            <w:r w:rsidRPr="00660B7A">
              <w:rPr>
                <w:rStyle w:val="Intenzvnezvraznenie"/>
                <w:rFonts w:ascii="Times New Roman" w:hAnsi="Times New Roman" w:cs="Times New Roman"/>
                <w:b w:val="0"/>
                <w:color w:val="auto"/>
                <w:sz w:val="24"/>
                <w:szCs w:val="24"/>
              </w:rPr>
              <w:t xml:space="preserve"> z</w:t>
            </w:r>
            <w:r w:rsidRPr="0086301B">
              <w:rPr>
                <w:rStyle w:val="Intenzvnezvraznenie"/>
                <w:rFonts w:ascii="Times New Roman" w:hAnsi="Times New Roman" w:cs="Times New Roman"/>
                <w:color w:val="auto"/>
                <w:sz w:val="24"/>
                <w:szCs w:val="24"/>
              </w:rPr>
              <w:t xml:space="preserve"> eurofondov</w:t>
            </w:r>
          </w:p>
          <w:p w14:paraId="4006F234"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aktívny podnikateľský sektor v oblasti ekologického</w:t>
            </w:r>
          </w:p>
          <w:p w14:paraId="658681C4"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xml:space="preserve">poľnohospodárstva </w:t>
            </w:r>
          </w:p>
          <w:p w14:paraId="742D23FA"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dostatok subjektov podnikajúcich v spracovaní poľnohospodárskych výrobkov a potravinárstve</w:t>
            </w:r>
          </w:p>
          <w:p w14:paraId="02CA1D9E"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dlhodobá tradícia v špecializovaných odboroch</w:t>
            </w:r>
          </w:p>
          <w:p w14:paraId="1EDEEA2D"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lastRenderedPageBreak/>
              <w:t>priemyslu (strojárstvo, elektrotechnický priemysel)</w:t>
            </w:r>
          </w:p>
          <w:p w14:paraId="68CA8788"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 vybudovaný priemyselný park Myjava Javorinská zameraný</w:t>
            </w:r>
          </w:p>
          <w:p w14:paraId="3CBE4C51"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color w:val="auto"/>
                <w:sz w:val="24"/>
                <w:szCs w:val="24"/>
              </w:rPr>
              <w:t>predovšetkým na ľahký strojársky priemysel</w:t>
            </w:r>
          </w:p>
          <w:p w14:paraId="6B828615"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ekonomická zainteresovanosť občanov na službách</w:t>
            </w:r>
          </w:p>
          <w:p w14:paraId="095EB87C" w14:textId="77777777" w:rsidR="00316BB0" w:rsidRPr="0086301B"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b w:val="0"/>
                <w:color w:val="auto"/>
                <w:sz w:val="24"/>
                <w:szCs w:val="24"/>
              </w:rPr>
              <w:t xml:space="preserve">- </w:t>
            </w:r>
            <w:r w:rsidRPr="0086301B">
              <w:rPr>
                <w:rStyle w:val="Intenzvnezvraznenie"/>
                <w:rFonts w:ascii="Times New Roman" w:hAnsi="Times New Roman" w:cs="Times New Roman"/>
                <w:color w:val="auto"/>
                <w:sz w:val="24"/>
                <w:szCs w:val="24"/>
              </w:rPr>
              <w:t>dobrá projektová pripravenosť obcí, podnikateľských subjektov i neziskového sektora</w:t>
            </w:r>
          </w:p>
          <w:p w14:paraId="11D83368"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color w:val="auto"/>
                <w:sz w:val="24"/>
                <w:szCs w:val="24"/>
              </w:rPr>
              <w:t>- dostatok námetov na rozvojové projekty získaných z dotazníkových prieskumov a individuálnych rozhovorov</w:t>
            </w:r>
          </w:p>
        </w:tc>
        <w:tc>
          <w:tcPr>
            <w:tcW w:w="3402" w:type="dxa"/>
          </w:tcPr>
          <w:p w14:paraId="2E38E5C3" w14:textId="77777777" w:rsidR="00316BB0" w:rsidRPr="00C504BA"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b w:val="0"/>
                <w:color w:val="auto"/>
                <w:sz w:val="24"/>
                <w:szCs w:val="24"/>
              </w:rPr>
              <w:lastRenderedPageBreak/>
              <w:t xml:space="preserve">- </w:t>
            </w:r>
            <w:r w:rsidRPr="00C504BA">
              <w:rPr>
                <w:rStyle w:val="Intenzvnezvraznenie"/>
                <w:rFonts w:ascii="Times New Roman" w:hAnsi="Times New Roman" w:cs="Times New Roman"/>
                <w:color w:val="auto"/>
                <w:sz w:val="24"/>
                <w:szCs w:val="24"/>
              </w:rPr>
              <w:t>nedostatočné previazanie poľnohospodárstva so</w:t>
            </w:r>
          </w:p>
          <w:p w14:paraId="57D34088"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spracovateľským priemyslom</w:t>
            </w:r>
          </w:p>
          <w:p w14:paraId="5E5F815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nedoriešené vlastnícke a nájomné vzťahy k pozemkom</w:t>
            </w:r>
          </w:p>
          <w:p w14:paraId="10F0C716" w14:textId="77777777" w:rsidR="00316BB0" w:rsidRPr="00C504BA"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malý počet podnikateľov (samozamestnávateľov),</w:t>
            </w:r>
          </w:p>
          <w:p w14:paraId="0012557D"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predovšetkým v menších obciach</w:t>
            </w:r>
          </w:p>
          <w:p w14:paraId="5A663C41"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málo pracovných príležitostí na vidieku</w:t>
            </w:r>
          </w:p>
          <w:p w14:paraId="1F226B06"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nedostatočná inštitucionálna a poradenská podpora malého a stredného podnikania</w:t>
            </w:r>
          </w:p>
          <w:p w14:paraId="06708B64"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slabšia kvalita a ocenenie služieb</w:t>
            </w:r>
          </w:p>
          <w:p w14:paraId="26A03660"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kúpna sila obyvateľstva</w:t>
            </w:r>
          </w:p>
          <w:p w14:paraId="6B52B972" w14:textId="77777777" w:rsidR="00316BB0" w:rsidRPr="00C504BA"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nižšia úroveň stravovacích služieb</w:t>
            </w:r>
          </w:p>
          <w:p w14:paraId="5FA12992"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color w:val="auto"/>
                <w:sz w:val="24"/>
                <w:szCs w:val="24"/>
              </w:rPr>
              <w:t xml:space="preserve">- slabá kvalita služieb v </w:t>
            </w:r>
            <w:r w:rsidRPr="00C504BA">
              <w:rPr>
                <w:rStyle w:val="Intenzvnezvraznenie"/>
                <w:rFonts w:ascii="Times New Roman" w:hAnsi="Times New Roman" w:cs="Times New Roman"/>
                <w:color w:val="auto"/>
                <w:sz w:val="24"/>
                <w:szCs w:val="24"/>
              </w:rPr>
              <w:lastRenderedPageBreak/>
              <w:t>rekreačných oblastiach</w:t>
            </w:r>
          </w:p>
          <w:p w14:paraId="44C4BA41"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nízke mzdy</w:t>
            </w:r>
          </w:p>
          <w:p w14:paraId="4A2A1EE3"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úroveň vedy a výskumu</w:t>
            </w:r>
          </w:p>
        </w:tc>
        <w:tc>
          <w:tcPr>
            <w:tcW w:w="3969" w:type="dxa"/>
          </w:tcPr>
          <w:p w14:paraId="4CEFCB0C"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lastRenderedPageBreak/>
              <w:t>- možnosti lepšieho využitia a zhodnotenia dreva a ostatných produktov lesa</w:t>
            </w:r>
          </w:p>
          <w:p w14:paraId="264D6A5F"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bezodpadové alebo nízko odpadové hospodárenie</w:t>
            </w:r>
          </w:p>
          <w:p w14:paraId="02F67E48"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rozvoj netradičných foriem poľnohospodárstva</w:t>
            </w:r>
          </w:p>
          <w:p w14:paraId="4557335F"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rozvoj ekologického poľnohospodárstvo (ekofarmy)</w:t>
            </w:r>
          </w:p>
          <w:p w14:paraId="3D5AAB97"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existencia bioplynovej stanice v areály RD Turá Lúka a obci Prašník</w:t>
            </w:r>
          </w:p>
          <w:p w14:paraId="5A7595CC"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zvýšenie podielu finálneho spracovania produktov</w:t>
            </w:r>
          </w:p>
          <w:p w14:paraId="6C009A0F"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poľnohospodárskej výroby</w:t>
            </w:r>
          </w:p>
          <w:p w14:paraId="6E232151"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rozvoj malého a stredného podnikania s maximálnym využitím podporných programov</w:t>
            </w:r>
          </w:p>
          <w:p w14:paraId="54C2019B"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rozvoj malého a stredného podnikania v obciach</w:t>
            </w:r>
          </w:p>
          <w:p w14:paraId="31C487C7"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lastRenderedPageBreak/>
              <w:t>s cieľom samozamestnania v oblasti tradičných remesiel</w:t>
            </w:r>
          </w:p>
          <w:p w14:paraId="5B99A96B"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existujúca infraštruktúra pre nový priemyselný park Rudník</w:t>
            </w:r>
          </w:p>
          <w:p w14:paraId="31055CB1"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color w:val="auto"/>
                <w:sz w:val="24"/>
                <w:szCs w:val="24"/>
              </w:rPr>
              <w:t xml:space="preserve">- </w:t>
            </w:r>
            <w:r w:rsidRPr="00C504BA">
              <w:rPr>
                <w:rStyle w:val="Intenzvnezvraznenie"/>
                <w:rFonts w:ascii="Times New Roman" w:hAnsi="Times New Roman" w:cs="Times New Roman"/>
                <w:b w:val="0"/>
                <w:color w:val="auto"/>
                <w:sz w:val="24"/>
                <w:szCs w:val="24"/>
              </w:rPr>
              <w:t>nadviazanie užšej spolupráce s inštitúciami poskytujúcimi poradenstvo malým a stredným</w:t>
            </w:r>
          </w:p>
          <w:p w14:paraId="35C1BE94"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b w:val="0"/>
                <w:color w:val="auto"/>
                <w:sz w:val="24"/>
                <w:szCs w:val="24"/>
              </w:rPr>
              <w:t>podnikateľom</w:t>
            </w:r>
          </w:p>
          <w:p w14:paraId="64B90A28"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xml:space="preserve">- spolupráca medzi malými hospodárskymi subjektmi pri organizácii spoločných pracovných procesov a spoločnom využívaní zariadení a zdrojov </w:t>
            </w:r>
          </w:p>
        </w:tc>
        <w:tc>
          <w:tcPr>
            <w:tcW w:w="3657" w:type="dxa"/>
          </w:tcPr>
          <w:p w14:paraId="29C78AEE" w14:textId="77777777" w:rsidR="00316BB0" w:rsidRPr="00C504BA" w:rsidRDefault="00316BB0" w:rsidP="00316BB0">
            <w:pPr>
              <w:ind w:right="-80"/>
              <w:rPr>
                <w:rStyle w:val="Intenzvnezvraznenie"/>
                <w:rFonts w:ascii="Times New Roman" w:hAnsi="Times New Roman" w:cs="Times New Roman"/>
                <w:color w:val="auto"/>
                <w:sz w:val="24"/>
                <w:szCs w:val="24"/>
              </w:rPr>
            </w:pPr>
            <w:r w:rsidRPr="0086301B">
              <w:rPr>
                <w:rStyle w:val="Intenzvnezvraznenie"/>
                <w:rFonts w:ascii="Times New Roman" w:hAnsi="Times New Roman" w:cs="Times New Roman"/>
                <w:b w:val="0"/>
                <w:color w:val="auto"/>
                <w:sz w:val="24"/>
                <w:szCs w:val="24"/>
              </w:rPr>
              <w:lastRenderedPageBreak/>
              <w:t xml:space="preserve">- </w:t>
            </w:r>
            <w:r w:rsidRPr="00C504BA">
              <w:rPr>
                <w:rStyle w:val="Intenzvnezvraznenie"/>
                <w:rFonts w:ascii="Times New Roman" w:hAnsi="Times New Roman" w:cs="Times New Roman"/>
                <w:color w:val="auto"/>
                <w:sz w:val="24"/>
                <w:szCs w:val="24"/>
              </w:rPr>
              <w:t>obtiažny prístup k finančným zdrojom pre začínajúcich podnikateľov</w:t>
            </w:r>
          </w:p>
          <w:p w14:paraId="6729A39A"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prílišná orientácia na strojársky priemysel s prepojenosťou na automobilový priemysel</w:t>
            </w:r>
          </w:p>
          <w:p w14:paraId="43762E4D"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znižovanie reálnej úrovne príjmov miestnych rozpočtov, čo môže obmedziť kofinancovanie rozvojových projektov z programov EÚ a iných zdrojov</w:t>
            </w:r>
          </w:p>
          <w:p w14:paraId="27DB1445"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nedostatočný rozvoj podnikateľskej infraštruktúry</w:t>
            </w:r>
          </w:p>
          <w:p w14:paraId="1AA55BCF" w14:textId="77777777" w:rsidR="00316BB0" w:rsidRPr="0086301B" w:rsidRDefault="00316BB0" w:rsidP="00316BB0">
            <w:pPr>
              <w:ind w:right="-80"/>
              <w:rPr>
                <w:rStyle w:val="Intenzvnezvraznenie"/>
                <w:rFonts w:ascii="Times New Roman" w:hAnsi="Times New Roman" w:cs="Times New Roman"/>
                <w:b w:val="0"/>
                <w:color w:val="auto"/>
                <w:sz w:val="24"/>
                <w:szCs w:val="24"/>
              </w:rPr>
            </w:pPr>
            <w:r w:rsidRPr="0086301B">
              <w:rPr>
                <w:rStyle w:val="Intenzvnezvraznenie"/>
                <w:rFonts w:ascii="Times New Roman" w:hAnsi="Times New Roman" w:cs="Times New Roman"/>
                <w:b w:val="0"/>
                <w:color w:val="auto"/>
                <w:sz w:val="24"/>
                <w:szCs w:val="24"/>
              </w:rPr>
              <w:t>- príchod ekonomickej krízy</w:t>
            </w:r>
          </w:p>
        </w:tc>
      </w:tr>
      <w:tr w:rsidR="00316BB0" w:rsidRPr="00316BB0" w14:paraId="0918D035" w14:textId="77777777" w:rsidTr="008951E2">
        <w:tc>
          <w:tcPr>
            <w:tcW w:w="14425" w:type="dxa"/>
            <w:gridSpan w:val="4"/>
            <w:shd w:val="clear" w:color="auto" w:fill="FFFF00"/>
          </w:tcPr>
          <w:p w14:paraId="5C000DA8"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Technická infraštruktúra</w:t>
            </w:r>
          </w:p>
        </w:tc>
      </w:tr>
      <w:tr w:rsidR="00316BB0" w:rsidRPr="00316BB0" w14:paraId="25D4540F" w14:textId="77777777" w:rsidTr="008951E2">
        <w:tc>
          <w:tcPr>
            <w:tcW w:w="3397" w:type="dxa"/>
            <w:shd w:val="clear" w:color="auto" w:fill="8DB3E2" w:themeFill="text2" w:themeFillTint="66"/>
          </w:tcPr>
          <w:p w14:paraId="17F8437E"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2A420221"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41587F29"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7B131332"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397F3A14" w14:textId="77777777" w:rsidTr="008951E2">
        <w:tc>
          <w:tcPr>
            <w:tcW w:w="3397" w:type="dxa"/>
          </w:tcPr>
          <w:p w14:paraId="5DA996B1"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- 71 % obcí je plynofikovaných</w:t>
            </w:r>
          </w:p>
          <w:p w14:paraId="4E06FCEF"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hustá sieť vodovodov v obciach</w:t>
            </w:r>
          </w:p>
        </w:tc>
        <w:tc>
          <w:tcPr>
            <w:tcW w:w="3402" w:type="dxa"/>
          </w:tcPr>
          <w:p w14:paraId="7D224798"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chýbajúca kanalizácia v obciach</w:t>
            </w:r>
          </w:p>
          <w:p w14:paraId="27218C34"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deficit vodných zdrojov</w:t>
            </w:r>
          </w:p>
          <w:p w14:paraId="4D0C75A4"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nižšia napojenosť na vodovodnú sieť v rámci Trenčianskeho VÚC</w:t>
            </w:r>
          </w:p>
          <w:p w14:paraId="7209EABE"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nízka úroveň infraštruktúry, predovšetkým vo vidieckych oblastiach</w:t>
            </w:r>
          </w:p>
          <w:p w14:paraId="017F76E2"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nadzemné vedenia  telekomunikačných a elektrických rozvodov</w:t>
            </w:r>
          </w:p>
        </w:tc>
        <w:tc>
          <w:tcPr>
            <w:tcW w:w="3969" w:type="dxa"/>
          </w:tcPr>
          <w:p w14:paraId="12007952"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využitie zdevastovaných a kontaminovaných plôch na získanie netradičných zdrojov energie</w:t>
            </w:r>
          </w:p>
          <w:p w14:paraId="373B01A1"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využívanie obnoviteľných alternatívnych zdrojov energie</w:t>
            </w:r>
          </w:p>
          <w:p w14:paraId="6DBA3D5D"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zvýšenie ekoefektívnosti pri využívaní prírodných zdrojov</w:t>
            </w:r>
          </w:p>
          <w:p w14:paraId="1CD1000A"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zrekonštruovaná ČOV v Myjave i Starej Turej</w:t>
            </w:r>
          </w:p>
          <w:p w14:paraId="18FB3ECD"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sprístupnenie internetu</w:t>
            </w:r>
          </w:p>
          <w:p w14:paraId="79A4F6AA"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investície do využívania OZE vrátane investícií spojenými s úsporou energie</w:t>
            </w:r>
          </w:p>
        </w:tc>
        <w:tc>
          <w:tcPr>
            <w:tcW w:w="3657" w:type="dxa"/>
          </w:tcPr>
          <w:p w14:paraId="4897E0CD"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pretrvávajúce vykurovanie tuhými palivami hlavne</w:t>
            </w:r>
          </w:p>
          <w:p w14:paraId="0597FADB"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na kopaniciach</w:t>
            </w:r>
          </w:p>
          <w:p w14:paraId="327F69FE"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nárast cien plynu</w:t>
            </w:r>
          </w:p>
          <w:p w14:paraId="5D120538"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neexistencia kanalizácie ohrozuje spodné vody ( 71</w:t>
            </w:r>
          </w:p>
          <w:p w14:paraId="175F2E48"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obyvateľstva je bez kanalizácie )</w:t>
            </w:r>
          </w:p>
        </w:tc>
      </w:tr>
      <w:tr w:rsidR="00316BB0" w:rsidRPr="00316BB0" w14:paraId="1F5843AB" w14:textId="77777777" w:rsidTr="008951E2">
        <w:tc>
          <w:tcPr>
            <w:tcW w:w="14425" w:type="dxa"/>
            <w:gridSpan w:val="4"/>
            <w:shd w:val="clear" w:color="auto" w:fill="FFFF00"/>
          </w:tcPr>
          <w:p w14:paraId="60E3D466"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Občianska vybavenosť</w:t>
            </w:r>
          </w:p>
        </w:tc>
      </w:tr>
      <w:tr w:rsidR="00316BB0" w:rsidRPr="00316BB0" w14:paraId="4C927F15" w14:textId="77777777" w:rsidTr="008951E2">
        <w:tc>
          <w:tcPr>
            <w:tcW w:w="3397" w:type="dxa"/>
            <w:shd w:val="clear" w:color="auto" w:fill="8DB3E2" w:themeFill="text2" w:themeFillTint="66"/>
          </w:tcPr>
          <w:p w14:paraId="1828BF34"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lastRenderedPageBreak/>
              <w:t xml:space="preserve">Silné stránky </w:t>
            </w:r>
          </w:p>
        </w:tc>
        <w:tc>
          <w:tcPr>
            <w:tcW w:w="3402" w:type="dxa"/>
            <w:shd w:val="clear" w:color="auto" w:fill="BFBFBF" w:themeFill="background1" w:themeFillShade="BF"/>
          </w:tcPr>
          <w:p w14:paraId="6E3BFDB0"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0E8033F0"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67554059"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25429741" w14:textId="77777777" w:rsidTr="008951E2">
        <w:tc>
          <w:tcPr>
            <w:tcW w:w="3397" w:type="dxa"/>
          </w:tcPr>
          <w:p w14:paraId="2B221FEC"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pomerne dobrá vybavenosť väčšiny obcí základnými kultúrnymi a športovými zariadeniami</w:t>
            </w:r>
          </w:p>
          <w:p w14:paraId="572F6BA9"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ponuka kultúrnych a spoločenských podujatí</w:t>
            </w:r>
          </w:p>
          <w:p w14:paraId="514224CF"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efektivita zdravotníckych zariadení</w:t>
            </w:r>
          </w:p>
          <w:p w14:paraId="718B010C" w14:textId="77777777" w:rsidR="00316BB0" w:rsidRPr="00C504BA" w:rsidRDefault="00316BB0" w:rsidP="0086301B">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možnosť ponuky bývania vo vidieckom prostredí</w:t>
            </w:r>
          </w:p>
        </w:tc>
        <w:tc>
          <w:tcPr>
            <w:tcW w:w="3402" w:type="dxa"/>
          </w:tcPr>
          <w:p w14:paraId="7CB4201E"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prepojenosť teórie s praxou vo vzdelávaní</w:t>
            </w:r>
          </w:p>
          <w:p w14:paraId="25411B5B"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nízka vybavenosť ZŠ odbornými učebňami, laboratóriami, jazykovými učebňami</w:t>
            </w:r>
          </w:p>
          <w:p w14:paraId="4DC340A8" w14:textId="77777777" w:rsidR="00316BB0" w:rsidRPr="00C504BA" w:rsidRDefault="00316BB0" w:rsidP="0086301B">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color w:val="auto"/>
                <w:sz w:val="24"/>
                <w:szCs w:val="24"/>
              </w:rPr>
              <w:t>- neupravené verejné priestranstvá a parky v niektorých obciach</w:t>
            </w:r>
          </w:p>
        </w:tc>
        <w:tc>
          <w:tcPr>
            <w:tcW w:w="3969" w:type="dxa"/>
          </w:tcPr>
          <w:p w14:paraId="56945BA0"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širšie využitie súčasného potenciálu športových a kultúrnych zariadení</w:t>
            </w:r>
          </w:p>
          <w:p w14:paraId="148BE6DD"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xml:space="preserve">- </w:t>
            </w:r>
            <w:r w:rsidRPr="00C504BA">
              <w:rPr>
                <w:rStyle w:val="Intenzvnezvraznenie"/>
                <w:rFonts w:ascii="Times New Roman" w:hAnsi="Times New Roman" w:cs="Times New Roman"/>
                <w:b w:val="0"/>
                <w:color w:val="auto"/>
                <w:sz w:val="24"/>
                <w:szCs w:val="24"/>
              </w:rPr>
              <w:t>ponuka atraktívneho bývania pre obyvateľov z blízkych miest na vidieku</w:t>
            </w:r>
          </w:p>
          <w:p w14:paraId="562468AD"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lepšie využitie málo využívaných  objektov (amfiteátre či kultúrne domy...) na trávenie voľného času a organizovanie podujatí</w:t>
            </w:r>
          </w:p>
          <w:p w14:paraId="4DD09E1F"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využitie nevyužívaných objektov ako sú školy, kultúrne domy či hasičské zbrojnice na kopaniciach pre komunitnú a spolkovú činnosť</w:t>
            </w:r>
          </w:p>
        </w:tc>
        <w:tc>
          <w:tcPr>
            <w:tcW w:w="3657" w:type="dxa"/>
          </w:tcPr>
          <w:p w14:paraId="574EECF8"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obmedzovanie verejnej hromadnej prepravy osôb</w:t>
            </w:r>
          </w:p>
          <w:p w14:paraId="09E5BA8B"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rušenie škôl</w:t>
            </w:r>
          </w:p>
          <w:p w14:paraId="4D320ECF"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poddimenzované financovanie školstva a zdravotníctva</w:t>
            </w:r>
          </w:p>
          <w:p w14:paraId="146EEA67"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neprimerané zasahovanie politiky do spoločnosti</w:t>
            </w:r>
          </w:p>
          <w:p w14:paraId="7E2324AA" w14:textId="77777777" w:rsidR="00316BB0" w:rsidRPr="00C504BA" w:rsidRDefault="00316BB0" w:rsidP="0086301B">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hrozba rušenia lôžok, príp. celých oddelení v NsP Myjava</w:t>
            </w:r>
          </w:p>
        </w:tc>
      </w:tr>
      <w:tr w:rsidR="00316BB0" w:rsidRPr="00316BB0" w14:paraId="5C8CCB55" w14:textId="77777777" w:rsidTr="008951E2">
        <w:tc>
          <w:tcPr>
            <w:tcW w:w="14425" w:type="dxa"/>
            <w:gridSpan w:val="4"/>
            <w:shd w:val="clear" w:color="auto" w:fill="FFFF00"/>
          </w:tcPr>
          <w:p w14:paraId="06B15815" w14:textId="77777777" w:rsidR="00316BB0" w:rsidRPr="00316BB0" w:rsidRDefault="00316BB0" w:rsidP="00316BB0">
            <w:pPr>
              <w:ind w:right="-80"/>
              <w:jc w:val="center"/>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Oblasť: Ľudské zdroje</w:t>
            </w:r>
          </w:p>
        </w:tc>
      </w:tr>
      <w:tr w:rsidR="00316BB0" w:rsidRPr="00316BB0" w14:paraId="29E13F35" w14:textId="77777777" w:rsidTr="008951E2">
        <w:tc>
          <w:tcPr>
            <w:tcW w:w="3397" w:type="dxa"/>
            <w:shd w:val="clear" w:color="auto" w:fill="8DB3E2" w:themeFill="text2" w:themeFillTint="66"/>
          </w:tcPr>
          <w:p w14:paraId="20617471"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Silné stránky </w:t>
            </w:r>
          </w:p>
        </w:tc>
        <w:tc>
          <w:tcPr>
            <w:tcW w:w="3402" w:type="dxa"/>
            <w:shd w:val="clear" w:color="auto" w:fill="BFBFBF" w:themeFill="background1" w:themeFillShade="BF"/>
          </w:tcPr>
          <w:p w14:paraId="55BCD07E"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 xml:space="preserve">Slabé stránky </w:t>
            </w:r>
          </w:p>
        </w:tc>
        <w:tc>
          <w:tcPr>
            <w:tcW w:w="3969" w:type="dxa"/>
            <w:shd w:val="clear" w:color="auto" w:fill="92D050"/>
          </w:tcPr>
          <w:p w14:paraId="47974984"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Príležitosti</w:t>
            </w:r>
          </w:p>
        </w:tc>
        <w:tc>
          <w:tcPr>
            <w:tcW w:w="3657" w:type="dxa"/>
            <w:shd w:val="clear" w:color="auto" w:fill="948A54" w:themeFill="background2" w:themeFillShade="80"/>
          </w:tcPr>
          <w:p w14:paraId="11EC1B55" w14:textId="77777777" w:rsidR="00316BB0" w:rsidRPr="00316BB0" w:rsidRDefault="00316BB0" w:rsidP="00316BB0">
            <w:pPr>
              <w:ind w:right="-80"/>
              <w:rPr>
                <w:rStyle w:val="Intenzvnezvraznenie"/>
                <w:rFonts w:ascii="Times New Roman" w:hAnsi="Times New Roman" w:cs="Times New Roman"/>
                <w:b w:val="0"/>
                <w:color w:val="auto"/>
                <w:sz w:val="24"/>
                <w:szCs w:val="24"/>
              </w:rPr>
            </w:pPr>
            <w:r w:rsidRPr="00316BB0">
              <w:rPr>
                <w:rStyle w:val="Intenzvnezvraznenie"/>
                <w:rFonts w:ascii="Times New Roman" w:hAnsi="Times New Roman" w:cs="Times New Roman"/>
                <w:color w:val="auto"/>
                <w:sz w:val="24"/>
                <w:szCs w:val="24"/>
              </w:rPr>
              <w:t>Ohrozenia</w:t>
            </w:r>
          </w:p>
        </w:tc>
      </w:tr>
      <w:tr w:rsidR="00316BB0" w:rsidRPr="00316BB0" w14:paraId="6068A2BF" w14:textId="77777777" w:rsidTr="008951E2">
        <w:tc>
          <w:tcPr>
            <w:tcW w:w="3397" w:type="dxa"/>
          </w:tcPr>
          <w:p w14:paraId="414297FD"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relatívne nízka nezamestnanosť</w:t>
            </w:r>
          </w:p>
          <w:p w14:paraId="32CDA68B"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konkurencieschopná pracovná sila</w:t>
            </w:r>
          </w:p>
          <w:p w14:paraId="167AEFFA"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manuálna zručnosť obyvateľov</w:t>
            </w:r>
          </w:p>
          <w:p w14:paraId="0554F642"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existencia fungujúcich spolkov a organizácií neziskového sektora a ich dobré zázemie v obciach a mestách</w:t>
            </w:r>
          </w:p>
          <w:p w14:paraId="2777EA71"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vyrovnaná vzdelanostná štruktúra obyvateľstva, podiel vysokoškolsky vzdelaných ľudí</w:t>
            </w:r>
          </w:p>
        </w:tc>
        <w:tc>
          <w:tcPr>
            <w:tcW w:w="3402" w:type="dxa"/>
          </w:tcPr>
          <w:p w14:paraId="3E69A7D3"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regresívna demografická štruktúra obyvateľstva s vysokým podielom osôb v poproduktívnom veku a nízkym podielom detí, najmä vo vidieckych obciach a zvlášť v odľahlejších kopaniciach</w:t>
            </w:r>
          </w:p>
          <w:p w14:paraId="76581B05"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životný štýl mládeže</w:t>
            </w:r>
          </w:p>
          <w:p w14:paraId="2D119910" w14:textId="77777777" w:rsidR="00316BB0" w:rsidRPr="00C504BA" w:rsidRDefault="00316BB0" w:rsidP="00316BB0">
            <w:pPr>
              <w:ind w:right="-80"/>
              <w:rPr>
                <w:rFonts w:ascii="Times New Roman" w:hAnsi="Times New Roman" w:cs="Times New Roman"/>
                <w:b/>
                <w:bCs/>
                <w:i/>
                <w:iCs/>
                <w:sz w:val="24"/>
                <w:szCs w:val="24"/>
              </w:rPr>
            </w:pPr>
            <w:r w:rsidRPr="00C504BA">
              <w:rPr>
                <w:rFonts w:ascii="Times New Roman" w:hAnsi="Times New Roman" w:cs="Times New Roman"/>
                <w:bCs/>
                <w:i/>
                <w:iCs/>
                <w:sz w:val="24"/>
                <w:szCs w:val="24"/>
              </w:rPr>
              <w:t xml:space="preserve">- </w:t>
            </w:r>
            <w:r w:rsidRPr="00C504BA">
              <w:rPr>
                <w:rFonts w:ascii="Times New Roman" w:hAnsi="Times New Roman" w:cs="Times New Roman"/>
                <w:b/>
                <w:bCs/>
                <w:i/>
                <w:iCs/>
                <w:sz w:val="24"/>
                <w:szCs w:val="24"/>
              </w:rPr>
              <w:t>nízka úroveň zapojenia občanov do celoživotného vzdelávania</w:t>
            </w:r>
          </w:p>
          <w:p w14:paraId="1729B33C"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Fonts w:ascii="Times New Roman" w:hAnsi="Times New Roman" w:cs="Times New Roman"/>
                <w:bCs/>
                <w:i/>
                <w:iCs/>
                <w:sz w:val="24"/>
                <w:szCs w:val="24"/>
              </w:rPr>
              <w:t>- nezáujem občanov o veci verejné</w:t>
            </w:r>
          </w:p>
        </w:tc>
        <w:tc>
          <w:tcPr>
            <w:tcW w:w="3969" w:type="dxa"/>
          </w:tcPr>
          <w:p w14:paraId="35CDD605"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príchod investora do regiónu využívajúceho zamestnancov s vyšším stupňom vzdelania</w:t>
            </w:r>
          </w:p>
          <w:p w14:paraId="349853C3"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perspektíva získať šikovných ľudí pochádzajúcich z regiónu späť vytvorením lepších pracovných i finančných podmienok v podnikoch v regióne</w:t>
            </w:r>
          </w:p>
        </w:tc>
        <w:tc>
          <w:tcPr>
            <w:tcW w:w="3657" w:type="dxa"/>
          </w:tcPr>
          <w:p w14:paraId="52D2206D"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xml:space="preserve">- úbytok ekonomicky aktívneho obyvateľstva </w:t>
            </w:r>
          </w:p>
          <w:p w14:paraId="6232E577"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xml:space="preserve">- pokles ponuky pracovných príležitostí v regióne </w:t>
            </w:r>
          </w:p>
          <w:p w14:paraId="5599E756"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nedostatočná ochota obyvateľstva prispôsobiť sa</w:t>
            </w:r>
          </w:p>
          <w:p w14:paraId="0C4CB7AB"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novým podmienkam a nárokom</w:t>
            </w:r>
          </w:p>
          <w:p w14:paraId="762EE466"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b w:val="0"/>
                <w:color w:val="auto"/>
                <w:sz w:val="24"/>
                <w:szCs w:val="24"/>
              </w:rPr>
              <w:t xml:space="preserve">- </w:t>
            </w:r>
            <w:r w:rsidRPr="00C504BA">
              <w:rPr>
                <w:rStyle w:val="Intenzvnezvraznenie"/>
                <w:rFonts w:ascii="Times New Roman" w:hAnsi="Times New Roman" w:cs="Times New Roman"/>
                <w:color w:val="auto"/>
                <w:sz w:val="24"/>
                <w:szCs w:val="24"/>
              </w:rPr>
              <w:t>odchod mladých a kvalifikovaných ľudí z regiónu</w:t>
            </w:r>
          </w:p>
          <w:p w14:paraId="7FFD0F9E"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b w:val="0"/>
                <w:color w:val="auto"/>
                <w:sz w:val="24"/>
                <w:szCs w:val="24"/>
              </w:rPr>
              <w:t>- pokles pôrodnosti</w:t>
            </w:r>
          </w:p>
          <w:p w14:paraId="2A4D1643" w14:textId="77777777" w:rsidR="00316BB0" w:rsidRPr="00C504BA" w:rsidRDefault="00316BB0" w:rsidP="00316BB0">
            <w:pPr>
              <w:ind w:right="-80"/>
              <w:rPr>
                <w:rStyle w:val="Intenzvnezvraznenie"/>
                <w:rFonts w:ascii="Times New Roman" w:hAnsi="Times New Roman" w:cs="Times New Roman"/>
                <w:color w:val="auto"/>
                <w:sz w:val="24"/>
                <w:szCs w:val="24"/>
              </w:rPr>
            </w:pPr>
            <w:r w:rsidRPr="00C504BA">
              <w:rPr>
                <w:rStyle w:val="Intenzvnezvraznenie"/>
                <w:rFonts w:ascii="Times New Roman" w:hAnsi="Times New Roman" w:cs="Times New Roman"/>
                <w:color w:val="auto"/>
                <w:sz w:val="24"/>
                <w:szCs w:val="24"/>
              </w:rPr>
              <w:t>- nárast počtu sociálne vylúčených osôb (bezdomovcov) v mestách</w:t>
            </w:r>
          </w:p>
          <w:p w14:paraId="6A5BD789" w14:textId="77777777" w:rsidR="00316BB0" w:rsidRPr="00C504BA" w:rsidRDefault="00316BB0" w:rsidP="00316BB0">
            <w:pPr>
              <w:ind w:right="-80"/>
              <w:rPr>
                <w:rStyle w:val="Intenzvnezvraznenie"/>
                <w:rFonts w:ascii="Times New Roman" w:hAnsi="Times New Roman" w:cs="Times New Roman"/>
                <w:b w:val="0"/>
                <w:color w:val="auto"/>
                <w:sz w:val="24"/>
                <w:szCs w:val="24"/>
              </w:rPr>
            </w:pPr>
            <w:r w:rsidRPr="00C504BA">
              <w:rPr>
                <w:rStyle w:val="Intenzvnezvraznenie"/>
                <w:rFonts w:ascii="Times New Roman" w:hAnsi="Times New Roman" w:cs="Times New Roman"/>
                <w:color w:val="auto"/>
                <w:sz w:val="24"/>
                <w:szCs w:val="24"/>
              </w:rPr>
              <w:t>- prisťahovanie a vznik rómskych komunít v niektorých obciach a mestách regiónu</w:t>
            </w:r>
            <w:r w:rsidRPr="00C504BA">
              <w:rPr>
                <w:rStyle w:val="Intenzvnezvraznenie"/>
                <w:rFonts w:ascii="Times New Roman" w:hAnsi="Times New Roman" w:cs="Times New Roman"/>
                <w:b w:val="0"/>
                <w:color w:val="auto"/>
                <w:sz w:val="24"/>
                <w:szCs w:val="24"/>
              </w:rPr>
              <w:t xml:space="preserve"> </w:t>
            </w:r>
          </w:p>
        </w:tc>
      </w:tr>
    </w:tbl>
    <w:p w14:paraId="29385C85" w14:textId="77777777" w:rsidR="00316BB0" w:rsidRDefault="00316BB0" w:rsidP="00E37887">
      <w:pPr>
        <w:spacing w:after="0" w:line="360" w:lineRule="auto"/>
        <w:jc w:val="both"/>
        <w:rPr>
          <w:rFonts w:ascii="Times New Roman" w:hAnsi="Times New Roman" w:cs="Times New Roman"/>
          <w:sz w:val="24"/>
          <w:szCs w:val="24"/>
        </w:rPr>
        <w:sectPr w:rsidR="00316BB0" w:rsidSect="0086301B">
          <w:pgSz w:w="16838" w:h="11906" w:orient="landscape"/>
          <w:pgMar w:top="1701" w:right="1245" w:bottom="1134" w:left="1418" w:header="1077" w:footer="1077" w:gutter="0"/>
          <w:cols w:space="708"/>
          <w:titlePg/>
          <w:docGrid w:linePitch="360"/>
        </w:sectPr>
      </w:pPr>
    </w:p>
    <w:p w14:paraId="724219B4" w14:textId="77777777" w:rsidR="003C2BA5" w:rsidRPr="003C2BA5" w:rsidRDefault="003C2BA5" w:rsidP="003301D6">
      <w:pPr>
        <w:pStyle w:val="Odsekzoznamu"/>
        <w:keepNext/>
        <w:keepLines/>
        <w:numPr>
          <w:ilvl w:val="0"/>
          <w:numId w:val="5"/>
        </w:numPr>
        <w:spacing w:after="0" w:line="360" w:lineRule="auto"/>
        <w:contextualSpacing w:val="0"/>
        <w:outlineLvl w:val="1"/>
        <w:rPr>
          <w:rFonts w:ascii="Times New Roman" w:eastAsiaTheme="majorEastAsia" w:hAnsi="Times New Roman" w:cstheme="majorBidi"/>
          <w:b/>
          <w:vanish/>
          <w:sz w:val="24"/>
          <w:szCs w:val="26"/>
        </w:rPr>
      </w:pPr>
      <w:bookmarkStart w:id="356" w:name="_Toc437861957"/>
      <w:bookmarkStart w:id="357" w:name="_Toc437862628"/>
      <w:bookmarkStart w:id="358" w:name="_Toc437862770"/>
      <w:bookmarkStart w:id="359" w:name="_Toc437877356"/>
      <w:bookmarkStart w:id="360" w:name="_Toc437877554"/>
      <w:bookmarkStart w:id="361" w:name="_Toc437877754"/>
      <w:bookmarkStart w:id="362" w:name="_Toc437877954"/>
      <w:bookmarkStart w:id="363" w:name="_Toc437878157"/>
      <w:bookmarkStart w:id="364" w:name="_Toc437878361"/>
      <w:bookmarkStart w:id="365" w:name="_Toc437878565"/>
      <w:bookmarkStart w:id="366" w:name="_Toc437878769"/>
      <w:bookmarkStart w:id="367" w:name="_Toc439149965"/>
      <w:bookmarkStart w:id="368" w:name="_Toc439150321"/>
      <w:bookmarkStart w:id="369" w:name="_Toc439150518"/>
      <w:bookmarkStart w:id="370" w:name="_Toc485645608"/>
      <w:bookmarkStart w:id="371" w:name="_Toc485645767"/>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CE101DA" w14:textId="77777777" w:rsidR="003C2BA5" w:rsidRPr="003C2BA5" w:rsidRDefault="003C2BA5" w:rsidP="003301D6">
      <w:pPr>
        <w:pStyle w:val="Odsekzoznamu"/>
        <w:keepNext/>
        <w:keepLines/>
        <w:numPr>
          <w:ilvl w:val="0"/>
          <w:numId w:val="5"/>
        </w:numPr>
        <w:spacing w:after="0" w:line="360" w:lineRule="auto"/>
        <w:contextualSpacing w:val="0"/>
        <w:outlineLvl w:val="1"/>
        <w:rPr>
          <w:rFonts w:ascii="Times New Roman" w:eastAsiaTheme="majorEastAsia" w:hAnsi="Times New Roman" w:cstheme="majorBidi"/>
          <w:b/>
          <w:vanish/>
          <w:sz w:val="24"/>
          <w:szCs w:val="26"/>
        </w:rPr>
      </w:pPr>
      <w:bookmarkStart w:id="372" w:name="_Toc437861958"/>
      <w:bookmarkStart w:id="373" w:name="_Toc437862629"/>
      <w:bookmarkStart w:id="374" w:name="_Toc437862771"/>
      <w:bookmarkStart w:id="375" w:name="_Toc437877357"/>
      <w:bookmarkStart w:id="376" w:name="_Toc437877555"/>
      <w:bookmarkStart w:id="377" w:name="_Toc437877755"/>
      <w:bookmarkStart w:id="378" w:name="_Toc437877955"/>
      <w:bookmarkStart w:id="379" w:name="_Toc437878158"/>
      <w:bookmarkStart w:id="380" w:name="_Toc437878362"/>
      <w:bookmarkStart w:id="381" w:name="_Toc437878566"/>
      <w:bookmarkStart w:id="382" w:name="_Toc437878770"/>
      <w:bookmarkStart w:id="383" w:name="_Toc439149966"/>
      <w:bookmarkStart w:id="384" w:name="_Toc439150322"/>
      <w:bookmarkStart w:id="385" w:name="_Toc439150519"/>
      <w:bookmarkStart w:id="386" w:name="_Toc485645609"/>
      <w:bookmarkStart w:id="387" w:name="_Toc485645768"/>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F1104F4" w14:textId="77777777" w:rsidR="003C2BA5" w:rsidRPr="003C2BA5" w:rsidRDefault="003C2BA5" w:rsidP="003301D6">
      <w:pPr>
        <w:pStyle w:val="Odsekzoznamu"/>
        <w:keepNext/>
        <w:keepLines/>
        <w:numPr>
          <w:ilvl w:val="0"/>
          <w:numId w:val="5"/>
        </w:numPr>
        <w:spacing w:after="0" w:line="360" w:lineRule="auto"/>
        <w:contextualSpacing w:val="0"/>
        <w:outlineLvl w:val="1"/>
        <w:rPr>
          <w:rFonts w:ascii="Times New Roman" w:eastAsiaTheme="majorEastAsia" w:hAnsi="Times New Roman" w:cstheme="majorBidi"/>
          <w:b/>
          <w:vanish/>
          <w:sz w:val="24"/>
          <w:szCs w:val="26"/>
        </w:rPr>
      </w:pPr>
      <w:bookmarkStart w:id="388" w:name="_Toc437861959"/>
      <w:bookmarkStart w:id="389" w:name="_Toc437862630"/>
      <w:bookmarkStart w:id="390" w:name="_Toc437862772"/>
      <w:bookmarkStart w:id="391" w:name="_Toc437877358"/>
      <w:bookmarkStart w:id="392" w:name="_Toc437877556"/>
      <w:bookmarkStart w:id="393" w:name="_Toc437877756"/>
      <w:bookmarkStart w:id="394" w:name="_Toc437877956"/>
      <w:bookmarkStart w:id="395" w:name="_Toc437878159"/>
      <w:bookmarkStart w:id="396" w:name="_Toc437878363"/>
      <w:bookmarkStart w:id="397" w:name="_Toc437878567"/>
      <w:bookmarkStart w:id="398" w:name="_Toc437878771"/>
      <w:bookmarkStart w:id="399" w:name="_Toc439149967"/>
      <w:bookmarkStart w:id="400" w:name="_Toc439150323"/>
      <w:bookmarkStart w:id="401" w:name="_Toc439150520"/>
      <w:bookmarkStart w:id="402" w:name="_Toc485645610"/>
      <w:bookmarkStart w:id="403" w:name="_Toc485645769"/>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AF7C8C1" w14:textId="77777777" w:rsidR="003C2BA5" w:rsidRPr="003C2BA5" w:rsidRDefault="003C2BA5" w:rsidP="003301D6">
      <w:pPr>
        <w:pStyle w:val="Odsekzoznamu"/>
        <w:keepNext/>
        <w:keepLines/>
        <w:numPr>
          <w:ilvl w:val="1"/>
          <w:numId w:val="5"/>
        </w:numPr>
        <w:spacing w:after="0" w:line="360" w:lineRule="auto"/>
        <w:contextualSpacing w:val="0"/>
        <w:outlineLvl w:val="1"/>
        <w:rPr>
          <w:rFonts w:ascii="Times New Roman" w:eastAsiaTheme="majorEastAsia" w:hAnsi="Times New Roman" w:cstheme="majorBidi"/>
          <w:b/>
          <w:vanish/>
          <w:sz w:val="24"/>
          <w:szCs w:val="26"/>
        </w:rPr>
      </w:pPr>
      <w:bookmarkStart w:id="404" w:name="_Toc437861960"/>
      <w:bookmarkStart w:id="405" w:name="_Toc437862631"/>
      <w:bookmarkStart w:id="406" w:name="_Toc437862773"/>
      <w:bookmarkStart w:id="407" w:name="_Toc437877359"/>
      <w:bookmarkStart w:id="408" w:name="_Toc437877557"/>
      <w:bookmarkStart w:id="409" w:name="_Toc437877757"/>
      <w:bookmarkStart w:id="410" w:name="_Toc437877957"/>
      <w:bookmarkStart w:id="411" w:name="_Toc437878160"/>
      <w:bookmarkStart w:id="412" w:name="_Toc437878364"/>
      <w:bookmarkStart w:id="413" w:name="_Toc437878568"/>
      <w:bookmarkStart w:id="414" w:name="_Toc437878772"/>
      <w:bookmarkStart w:id="415" w:name="_Toc439149968"/>
      <w:bookmarkStart w:id="416" w:name="_Toc439150324"/>
      <w:bookmarkStart w:id="417" w:name="_Toc439150521"/>
      <w:bookmarkStart w:id="418" w:name="_Toc485645611"/>
      <w:bookmarkStart w:id="419" w:name="_Toc485645770"/>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EDD4BDC" w14:textId="77777777" w:rsidR="003C2BA5" w:rsidRPr="003C2BA5" w:rsidRDefault="003C2BA5" w:rsidP="003301D6">
      <w:pPr>
        <w:pStyle w:val="Odsekzoznamu"/>
        <w:keepNext/>
        <w:keepLines/>
        <w:numPr>
          <w:ilvl w:val="1"/>
          <w:numId w:val="5"/>
        </w:numPr>
        <w:spacing w:after="0" w:line="360" w:lineRule="auto"/>
        <w:contextualSpacing w:val="0"/>
        <w:outlineLvl w:val="1"/>
        <w:rPr>
          <w:rFonts w:ascii="Times New Roman" w:eastAsiaTheme="majorEastAsia" w:hAnsi="Times New Roman" w:cstheme="majorBidi"/>
          <w:b/>
          <w:vanish/>
          <w:sz w:val="24"/>
          <w:szCs w:val="26"/>
        </w:rPr>
      </w:pPr>
      <w:bookmarkStart w:id="420" w:name="_Toc437861961"/>
      <w:bookmarkStart w:id="421" w:name="_Toc437862632"/>
      <w:bookmarkStart w:id="422" w:name="_Toc437862774"/>
      <w:bookmarkStart w:id="423" w:name="_Toc437877360"/>
      <w:bookmarkStart w:id="424" w:name="_Toc437877558"/>
      <w:bookmarkStart w:id="425" w:name="_Toc437877758"/>
      <w:bookmarkStart w:id="426" w:name="_Toc437877958"/>
      <w:bookmarkStart w:id="427" w:name="_Toc437878161"/>
      <w:bookmarkStart w:id="428" w:name="_Toc437878365"/>
      <w:bookmarkStart w:id="429" w:name="_Toc437878569"/>
      <w:bookmarkStart w:id="430" w:name="_Toc437878773"/>
      <w:bookmarkStart w:id="431" w:name="_Toc439149969"/>
      <w:bookmarkStart w:id="432" w:name="_Toc439150325"/>
      <w:bookmarkStart w:id="433" w:name="_Toc439150522"/>
      <w:bookmarkStart w:id="434" w:name="_Toc485645612"/>
      <w:bookmarkStart w:id="435" w:name="_Toc485645771"/>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AB41627" w14:textId="77777777" w:rsidR="00A7388C" w:rsidRPr="00A7388C" w:rsidRDefault="00A7388C" w:rsidP="003301D6">
      <w:pPr>
        <w:pStyle w:val="Odsekzoznamu"/>
        <w:keepNext/>
        <w:keepLines/>
        <w:numPr>
          <w:ilvl w:val="0"/>
          <w:numId w:val="13"/>
        </w:numPr>
        <w:spacing w:after="0" w:line="360" w:lineRule="auto"/>
        <w:contextualSpacing w:val="0"/>
        <w:outlineLvl w:val="1"/>
        <w:rPr>
          <w:rFonts w:ascii="Times New Roman" w:eastAsiaTheme="majorEastAsia" w:hAnsi="Times New Roman" w:cstheme="majorBidi"/>
          <w:b/>
          <w:vanish/>
          <w:sz w:val="24"/>
          <w:szCs w:val="26"/>
        </w:rPr>
      </w:pPr>
      <w:bookmarkStart w:id="436" w:name="_Toc437862633"/>
      <w:bookmarkStart w:id="437" w:name="_Toc437862775"/>
      <w:bookmarkStart w:id="438" w:name="_Toc437877361"/>
      <w:bookmarkStart w:id="439" w:name="_Toc437877559"/>
      <w:bookmarkStart w:id="440" w:name="_Toc437877759"/>
      <w:bookmarkStart w:id="441" w:name="_Toc437877959"/>
      <w:bookmarkStart w:id="442" w:name="_Toc437878162"/>
      <w:bookmarkStart w:id="443" w:name="_Toc437878366"/>
      <w:bookmarkStart w:id="444" w:name="_Toc437878570"/>
      <w:bookmarkStart w:id="445" w:name="_Toc437878774"/>
      <w:bookmarkStart w:id="446" w:name="_Toc439149970"/>
      <w:bookmarkStart w:id="447" w:name="_Toc439150326"/>
      <w:bookmarkStart w:id="448" w:name="_Toc439150523"/>
      <w:bookmarkStart w:id="449" w:name="_Toc485645613"/>
      <w:bookmarkStart w:id="450" w:name="_Toc485645772"/>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9C2D133" w14:textId="77777777" w:rsidR="00A7388C" w:rsidRPr="00A7388C" w:rsidRDefault="00A7388C" w:rsidP="003301D6">
      <w:pPr>
        <w:pStyle w:val="Odsekzoznamu"/>
        <w:keepNext/>
        <w:keepLines/>
        <w:numPr>
          <w:ilvl w:val="0"/>
          <w:numId w:val="13"/>
        </w:numPr>
        <w:spacing w:after="0" w:line="360" w:lineRule="auto"/>
        <w:contextualSpacing w:val="0"/>
        <w:outlineLvl w:val="1"/>
        <w:rPr>
          <w:rFonts w:ascii="Times New Roman" w:eastAsiaTheme="majorEastAsia" w:hAnsi="Times New Roman" w:cstheme="majorBidi"/>
          <w:b/>
          <w:vanish/>
          <w:sz w:val="24"/>
          <w:szCs w:val="26"/>
        </w:rPr>
      </w:pPr>
      <w:bookmarkStart w:id="451" w:name="_Toc437862634"/>
      <w:bookmarkStart w:id="452" w:name="_Toc437862776"/>
      <w:bookmarkStart w:id="453" w:name="_Toc437877362"/>
      <w:bookmarkStart w:id="454" w:name="_Toc437877560"/>
      <w:bookmarkStart w:id="455" w:name="_Toc437877760"/>
      <w:bookmarkStart w:id="456" w:name="_Toc437877960"/>
      <w:bookmarkStart w:id="457" w:name="_Toc437878163"/>
      <w:bookmarkStart w:id="458" w:name="_Toc437878367"/>
      <w:bookmarkStart w:id="459" w:name="_Toc437878571"/>
      <w:bookmarkStart w:id="460" w:name="_Toc437878775"/>
      <w:bookmarkStart w:id="461" w:name="_Toc439149971"/>
      <w:bookmarkStart w:id="462" w:name="_Toc439150327"/>
      <w:bookmarkStart w:id="463" w:name="_Toc439150524"/>
      <w:bookmarkStart w:id="464" w:name="_Toc485645614"/>
      <w:bookmarkStart w:id="465" w:name="_Toc48564577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1E07541" w14:textId="77777777" w:rsidR="00A7388C" w:rsidRPr="00A7388C" w:rsidRDefault="00A7388C" w:rsidP="003301D6">
      <w:pPr>
        <w:pStyle w:val="Odsekzoznamu"/>
        <w:keepNext/>
        <w:keepLines/>
        <w:numPr>
          <w:ilvl w:val="0"/>
          <w:numId w:val="13"/>
        </w:numPr>
        <w:spacing w:after="0" w:line="360" w:lineRule="auto"/>
        <w:contextualSpacing w:val="0"/>
        <w:outlineLvl w:val="1"/>
        <w:rPr>
          <w:rFonts w:ascii="Times New Roman" w:eastAsiaTheme="majorEastAsia" w:hAnsi="Times New Roman" w:cstheme="majorBidi"/>
          <w:b/>
          <w:vanish/>
          <w:sz w:val="24"/>
          <w:szCs w:val="26"/>
        </w:rPr>
      </w:pPr>
      <w:bookmarkStart w:id="466" w:name="_Toc437862635"/>
      <w:bookmarkStart w:id="467" w:name="_Toc437862777"/>
      <w:bookmarkStart w:id="468" w:name="_Toc437877363"/>
      <w:bookmarkStart w:id="469" w:name="_Toc437877561"/>
      <w:bookmarkStart w:id="470" w:name="_Toc437877761"/>
      <w:bookmarkStart w:id="471" w:name="_Toc437877961"/>
      <w:bookmarkStart w:id="472" w:name="_Toc437878164"/>
      <w:bookmarkStart w:id="473" w:name="_Toc437878368"/>
      <w:bookmarkStart w:id="474" w:name="_Toc437878572"/>
      <w:bookmarkStart w:id="475" w:name="_Toc437878776"/>
      <w:bookmarkStart w:id="476" w:name="_Toc439149972"/>
      <w:bookmarkStart w:id="477" w:name="_Toc439150328"/>
      <w:bookmarkStart w:id="478" w:name="_Toc439150525"/>
      <w:bookmarkStart w:id="479" w:name="_Toc485645615"/>
      <w:bookmarkStart w:id="480" w:name="_Toc485645774"/>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4AFF35C0" w14:textId="77777777" w:rsidR="00A7388C" w:rsidRPr="00A7388C" w:rsidRDefault="00A7388C" w:rsidP="003301D6">
      <w:pPr>
        <w:pStyle w:val="Odsekzoznamu"/>
        <w:keepNext/>
        <w:keepLines/>
        <w:numPr>
          <w:ilvl w:val="1"/>
          <w:numId w:val="13"/>
        </w:numPr>
        <w:spacing w:after="0" w:line="360" w:lineRule="auto"/>
        <w:contextualSpacing w:val="0"/>
        <w:outlineLvl w:val="1"/>
        <w:rPr>
          <w:rFonts w:ascii="Times New Roman" w:eastAsiaTheme="majorEastAsia" w:hAnsi="Times New Roman" w:cstheme="majorBidi"/>
          <w:b/>
          <w:vanish/>
          <w:sz w:val="24"/>
          <w:szCs w:val="26"/>
        </w:rPr>
      </w:pPr>
      <w:bookmarkStart w:id="481" w:name="_Toc437862636"/>
      <w:bookmarkStart w:id="482" w:name="_Toc437862778"/>
      <w:bookmarkStart w:id="483" w:name="_Toc437877364"/>
      <w:bookmarkStart w:id="484" w:name="_Toc437877562"/>
      <w:bookmarkStart w:id="485" w:name="_Toc437877762"/>
      <w:bookmarkStart w:id="486" w:name="_Toc437877962"/>
      <w:bookmarkStart w:id="487" w:name="_Toc437878165"/>
      <w:bookmarkStart w:id="488" w:name="_Toc437878369"/>
      <w:bookmarkStart w:id="489" w:name="_Toc437878573"/>
      <w:bookmarkStart w:id="490" w:name="_Toc437878777"/>
      <w:bookmarkStart w:id="491" w:name="_Toc439149973"/>
      <w:bookmarkStart w:id="492" w:name="_Toc439150329"/>
      <w:bookmarkStart w:id="493" w:name="_Toc439150526"/>
      <w:bookmarkStart w:id="494" w:name="_Toc485645616"/>
      <w:bookmarkStart w:id="495" w:name="_Toc485645775"/>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3BBDD966" w14:textId="77777777" w:rsidR="00A7388C" w:rsidRPr="00A7388C" w:rsidRDefault="00A7388C" w:rsidP="003301D6">
      <w:pPr>
        <w:pStyle w:val="Odsekzoznamu"/>
        <w:keepNext/>
        <w:keepLines/>
        <w:numPr>
          <w:ilvl w:val="1"/>
          <w:numId w:val="13"/>
        </w:numPr>
        <w:spacing w:after="0" w:line="360" w:lineRule="auto"/>
        <w:contextualSpacing w:val="0"/>
        <w:outlineLvl w:val="1"/>
        <w:rPr>
          <w:rFonts w:ascii="Times New Roman" w:eastAsiaTheme="majorEastAsia" w:hAnsi="Times New Roman" w:cstheme="majorBidi"/>
          <w:b/>
          <w:vanish/>
          <w:sz w:val="24"/>
          <w:szCs w:val="26"/>
        </w:rPr>
      </w:pPr>
      <w:bookmarkStart w:id="496" w:name="_Toc437862637"/>
      <w:bookmarkStart w:id="497" w:name="_Toc437862779"/>
      <w:bookmarkStart w:id="498" w:name="_Toc437877365"/>
      <w:bookmarkStart w:id="499" w:name="_Toc437877563"/>
      <w:bookmarkStart w:id="500" w:name="_Toc437877763"/>
      <w:bookmarkStart w:id="501" w:name="_Toc437877963"/>
      <w:bookmarkStart w:id="502" w:name="_Toc437878166"/>
      <w:bookmarkStart w:id="503" w:name="_Toc437878370"/>
      <w:bookmarkStart w:id="504" w:name="_Toc437878574"/>
      <w:bookmarkStart w:id="505" w:name="_Toc437878778"/>
      <w:bookmarkStart w:id="506" w:name="_Toc439149974"/>
      <w:bookmarkStart w:id="507" w:name="_Toc439150330"/>
      <w:bookmarkStart w:id="508" w:name="_Toc439150527"/>
      <w:bookmarkStart w:id="509" w:name="_Toc485645617"/>
      <w:bookmarkStart w:id="510" w:name="_Toc485645776"/>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7D49DEF0" w14:textId="77777777" w:rsidR="008771C8" w:rsidRDefault="00973CC7" w:rsidP="003301D6">
      <w:pPr>
        <w:pStyle w:val="Nadpis2"/>
        <w:numPr>
          <w:ilvl w:val="1"/>
          <w:numId w:val="13"/>
        </w:numPr>
        <w:ind w:left="709"/>
      </w:pPr>
      <w:bookmarkStart w:id="511" w:name="_Toc485645777"/>
      <w:r w:rsidRPr="00891B13">
        <w:t>Identifikácia potrieb</w:t>
      </w:r>
      <w:bookmarkEnd w:id="511"/>
    </w:p>
    <w:p w14:paraId="15FAA8EF" w14:textId="77777777" w:rsidR="00376AE1" w:rsidRDefault="00376AE1" w:rsidP="00376AE1">
      <w:pPr>
        <w:pStyle w:val="Odsekzoznamu"/>
        <w:spacing w:after="0" w:line="360" w:lineRule="auto"/>
        <w:ind w:left="360" w:firstLine="349"/>
        <w:jc w:val="both"/>
        <w:rPr>
          <w:rFonts w:ascii="Times New Roman" w:hAnsi="Times New Roman" w:cs="Times New Roman"/>
          <w:sz w:val="24"/>
          <w:szCs w:val="24"/>
        </w:rPr>
      </w:pPr>
      <w:r w:rsidRPr="008C708B">
        <w:rPr>
          <w:rFonts w:ascii="Times New Roman" w:hAnsi="Times New Roman" w:cs="Times New Roman"/>
          <w:sz w:val="24"/>
          <w:szCs w:val="24"/>
        </w:rPr>
        <w:t xml:space="preserve">Pri identifikácii potrieb </w:t>
      </w:r>
      <w:r>
        <w:rPr>
          <w:rFonts w:ascii="Times New Roman" w:hAnsi="Times New Roman" w:cs="Times New Roman"/>
          <w:sz w:val="24"/>
          <w:szCs w:val="24"/>
        </w:rPr>
        <w:t xml:space="preserve">sme vychádzali zo spracovanej SWOT analýzy a </w:t>
      </w:r>
      <w:r w:rsidRPr="008C708B">
        <w:rPr>
          <w:rFonts w:ascii="Times New Roman" w:hAnsi="Times New Roman" w:cs="Times New Roman"/>
          <w:sz w:val="24"/>
          <w:szCs w:val="24"/>
        </w:rPr>
        <w:t xml:space="preserve">smerodajné boli slabé stránky čiastkových SWOT analýz a príležitosti, ktoré by mohli pomôcť k naplneniu potrieb. </w:t>
      </w:r>
      <w:r>
        <w:rPr>
          <w:rFonts w:ascii="Times New Roman" w:hAnsi="Times New Roman" w:cs="Times New Roman"/>
          <w:sz w:val="24"/>
          <w:szCs w:val="24"/>
        </w:rPr>
        <w:t>V rámci jednotlivých oblastí boli identifikované</w:t>
      </w:r>
      <w:r w:rsidRPr="008C708B">
        <w:rPr>
          <w:rFonts w:ascii="Times New Roman" w:hAnsi="Times New Roman" w:cs="Times New Roman"/>
          <w:sz w:val="24"/>
          <w:szCs w:val="24"/>
        </w:rPr>
        <w:t xml:space="preserve"> prioritné potreby</w:t>
      </w:r>
      <w:r>
        <w:rPr>
          <w:rFonts w:ascii="Times New Roman" w:hAnsi="Times New Roman" w:cs="Times New Roman"/>
          <w:sz w:val="24"/>
          <w:szCs w:val="24"/>
        </w:rPr>
        <w:t>, ktoré sme v texte zvýraznili tučným písmom.</w:t>
      </w:r>
    </w:p>
    <w:p w14:paraId="4C2F8329" w14:textId="77777777" w:rsidR="00E135B2" w:rsidRPr="00891B13" w:rsidRDefault="00E135B2" w:rsidP="00E37887">
      <w:pPr>
        <w:pStyle w:val="Odsekzoznamu"/>
        <w:spacing w:after="0" w:line="360" w:lineRule="auto"/>
        <w:ind w:left="792"/>
        <w:rPr>
          <w:rFonts w:ascii="Times New Roman" w:hAnsi="Times New Roman" w:cs="Times New Roman"/>
          <w:b/>
          <w:sz w:val="24"/>
          <w:szCs w:val="24"/>
        </w:rPr>
      </w:pPr>
    </w:p>
    <w:p w14:paraId="55C7876C" w14:textId="77777777" w:rsidR="00C504BA" w:rsidRPr="007C5FED" w:rsidRDefault="00C504BA" w:rsidP="00C504BA">
      <w:pPr>
        <w:spacing w:after="0" w:line="360" w:lineRule="auto"/>
        <w:rPr>
          <w:rFonts w:ascii="Times New Roman" w:hAnsi="Times New Roman" w:cs="Times New Roman"/>
          <w:sz w:val="24"/>
          <w:szCs w:val="24"/>
          <w:u w:val="single"/>
        </w:rPr>
      </w:pPr>
      <w:r w:rsidRPr="007C5FED">
        <w:rPr>
          <w:rFonts w:ascii="Times New Roman" w:hAnsi="Times New Roman" w:cs="Times New Roman"/>
          <w:sz w:val="24"/>
          <w:szCs w:val="24"/>
          <w:u w:val="single"/>
        </w:rPr>
        <w:t>Dopravné prepojenie a dostupnosť sídiel</w:t>
      </w:r>
    </w:p>
    <w:p w14:paraId="62A317AB" w14:textId="77777777" w:rsidR="00C504BA" w:rsidRPr="007C5FED" w:rsidRDefault="00C504BA" w:rsidP="00C504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V regióne je nevyhovujúci dopravný systém v mestách a zvyšujúci sa podiel automobilovej dopravy, tiež hlavne v mestách. Aby sa obmedzil počet áut (hlavne v mestách), je treba vytvoriť také podmienky v mestách, aby sa zvýšil počet občanov preprav</w:t>
      </w:r>
      <w:r>
        <w:rPr>
          <w:rFonts w:ascii="Times New Roman" w:hAnsi="Times New Roman" w:cs="Times New Roman"/>
          <w:sz w:val="24"/>
          <w:szCs w:val="24"/>
        </w:rPr>
        <w:t>ujúcich sa do práce na bicykli.</w:t>
      </w:r>
      <w:r w:rsidRPr="007C5FED">
        <w:rPr>
          <w:rFonts w:ascii="Times New Roman" w:hAnsi="Times New Roman" w:cs="Times New Roman"/>
          <w:sz w:val="24"/>
          <w:szCs w:val="24"/>
        </w:rPr>
        <w:t xml:space="preserve"> Na druhú stranu niektoré kopanice sú stále zle dostupné. Avšak existuje tu pomerne hustá </w:t>
      </w:r>
      <w:r>
        <w:rPr>
          <w:rFonts w:ascii="Times New Roman" w:hAnsi="Times New Roman" w:cs="Times New Roman"/>
          <w:sz w:val="24"/>
          <w:szCs w:val="24"/>
        </w:rPr>
        <w:t xml:space="preserve">sieť </w:t>
      </w:r>
      <w:r w:rsidRPr="007C5FED">
        <w:rPr>
          <w:rFonts w:ascii="Times New Roman" w:hAnsi="Times New Roman" w:cs="Times New Roman"/>
          <w:sz w:val="24"/>
          <w:szCs w:val="24"/>
        </w:rPr>
        <w:t xml:space="preserve">miestnych komunikácií, ktorá jednotlivé osady prepája. Dali by sa tak využiť pre </w:t>
      </w:r>
      <w:r w:rsidRPr="007C5FED">
        <w:rPr>
          <w:rFonts w:ascii="Times New Roman" w:hAnsi="Times New Roman" w:cs="Times New Roman"/>
          <w:b/>
          <w:sz w:val="24"/>
          <w:szCs w:val="24"/>
        </w:rPr>
        <w:t>budovanie nových cyklotrás</w:t>
      </w:r>
      <w:r w:rsidRPr="007C5FED">
        <w:rPr>
          <w:rFonts w:ascii="Times New Roman" w:hAnsi="Times New Roman" w:cs="Times New Roman"/>
          <w:sz w:val="24"/>
          <w:szCs w:val="24"/>
        </w:rPr>
        <w:t xml:space="preserve"> zabezpečujúcich dopravu osôb do a zo zamestnania alebo k verejným službám (napr. trasy vedúce k vlakovým, autobusovým zastávkam a staniciam v obciach a mestách). Zároveň sa sprístupnia kopanice pre väčší okruh návštevníkov, čo povedie aj k </w:t>
      </w:r>
      <w:r w:rsidRPr="00F672DC">
        <w:rPr>
          <w:rFonts w:ascii="Times New Roman" w:hAnsi="Times New Roman" w:cs="Times New Roman"/>
          <w:b/>
          <w:sz w:val="24"/>
          <w:szCs w:val="24"/>
        </w:rPr>
        <w:t>rozvoju cykloturistiky i cestovného ruchu v regiónu</w:t>
      </w:r>
      <w:r w:rsidRPr="007C5FED">
        <w:rPr>
          <w:rFonts w:ascii="Times New Roman" w:hAnsi="Times New Roman" w:cs="Times New Roman"/>
          <w:sz w:val="24"/>
          <w:szCs w:val="24"/>
        </w:rPr>
        <w:t>.</w:t>
      </w:r>
    </w:p>
    <w:p w14:paraId="25CFE85E" w14:textId="77777777" w:rsidR="00C504BA" w:rsidRPr="007C5FED" w:rsidRDefault="00C504BA" w:rsidP="00C50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Dochádza taktiež k obmedzovaniu </w:t>
      </w:r>
      <w:r w:rsidRPr="00F672DC">
        <w:rPr>
          <w:rFonts w:ascii="Times New Roman" w:hAnsi="Times New Roman" w:cs="Times New Roman"/>
          <w:sz w:val="24"/>
          <w:szCs w:val="24"/>
        </w:rPr>
        <w:t>verejnej hromadnej prepravy osôb</w:t>
      </w:r>
      <w:r w:rsidRPr="007C5FED">
        <w:rPr>
          <w:rFonts w:ascii="Times New Roman" w:hAnsi="Times New Roman" w:cs="Times New Roman"/>
          <w:sz w:val="24"/>
          <w:szCs w:val="24"/>
        </w:rPr>
        <w:t xml:space="preserve">, pre zlepšenie situácie by bolo potrebné </w:t>
      </w:r>
      <w:r w:rsidRPr="00F672DC">
        <w:rPr>
          <w:rFonts w:ascii="Times New Roman" w:hAnsi="Times New Roman" w:cs="Times New Roman"/>
          <w:b/>
          <w:sz w:val="24"/>
          <w:szCs w:val="24"/>
        </w:rPr>
        <w:t>investovať do výstavby, modernizácie, rekonštrukcia zastávok, staníc, parkovísk</w:t>
      </w:r>
      <w:r w:rsidRPr="007C5FED">
        <w:rPr>
          <w:rFonts w:ascii="Times New Roman" w:hAnsi="Times New Roman" w:cs="Times New Roman"/>
          <w:sz w:val="24"/>
          <w:szCs w:val="24"/>
        </w:rPr>
        <w:t xml:space="preserve">, na linkách prepájajúcich obec s mestom, do </w:t>
      </w:r>
      <w:r w:rsidRPr="00F672DC">
        <w:rPr>
          <w:rFonts w:ascii="Times New Roman" w:hAnsi="Times New Roman" w:cs="Times New Roman"/>
          <w:b/>
          <w:sz w:val="24"/>
          <w:szCs w:val="24"/>
        </w:rPr>
        <w:t>zvyšovanie bezpečnosti dopravy</w:t>
      </w:r>
      <w:r w:rsidRPr="007C5FED">
        <w:rPr>
          <w:rFonts w:ascii="Times New Roman" w:hAnsi="Times New Roman" w:cs="Times New Roman"/>
          <w:sz w:val="24"/>
          <w:szCs w:val="24"/>
        </w:rPr>
        <w:t xml:space="preserve"> v mestách, nákupu vozidiel pre účely zabezpečenia spoločnej dopravy osôb vrátane vozidiel prispôsobených osobám s obmedzenou možnosťou pohybu a orientácie atď.</w:t>
      </w:r>
    </w:p>
    <w:p w14:paraId="3412318B" w14:textId="77777777" w:rsidR="00C504BA" w:rsidRPr="007C5FED" w:rsidRDefault="00C504BA" w:rsidP="00C504BA">
      <w:pPr>
        <w:spacing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t>Cestovný ruch</w:t>
      </w:r>
    </w:p>
    <w:p w14:paraId="390381B4" w14:textId="77777777" w:rsidR="00C504BA" w:rsidRPr="007C5FED" w:rsidRDefault="00C504BA" w:rsidP="00C504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Napriek atraktivite územia regiónu a mnohým významným turistickým destináciám je cestovný ruch v regióne pomerne na nízkej úrovni. Prednosťou regiónu je ľudová architektúra a prírodné krásy vidieka, pričom existuje </w:t>
      </w:r>
      <w:r w:rsidRPr="00357BD3">
        <w:rPr>
          <w:rFonts w:ascii="Times New Roman" w:hAnsi="Times New Roman" w:cs="Times New Roman"/>
          <w:b/>
          <w:sz w:val="24"/>
          <w:szCs w:val="24"/>
        </w:rPr>
        <w:t>dostatok objektov</w:t>
      </w:r>
      <w:r w:rsidRPr="007C5FED">
        <w:rPr>
          <w:rFonts w:ascii="Times New Roman" w:hAnsi="Times New Roman" w:cs="Times New Roman"/>
          <w:sz w:val="24"/>
          <w:szCs w:val="24"/>
        </w:rPr>
        <w:t xml:space="preserve">, ktoré by sa dali </w:t>
      </w:r>
      <w:r w:rsidRPr="00357BD3">
        <w:rPr>
          <w:rFonts w:ascii="Times New Roman" w:hAnsi="Times New Roman" w:cs="Times New Roman"/>
          <w:b/>
          <w:sz w:val="24"/>
          <w:szCs w:val="24"/>
        </w:rPr>
        <w:t>po</w:t>
      </w:r>
      <w:r w:rsidRPr="007C5FED">
        <w:rPr>
          <w:rFonts w:ascii="Times New Roman" w:hAnsi="Times New Roman" w:cs="Times New Roman"/>
          <w:sz w:val="24"/>
          <w:szCs w:val="24"/>
        </w:rPr>
        <w:t xml:space="preserve"> </w:t>
      </w:r>
      <w:r w:rsidRPr="007C5FED">
        <w:rPr>
          <w:rFonts w:ascii="Times New Roman" w:hAnsi="Times New Roman" w:cs="Times New Roman"/>
          <w:b/>
          <w:sz w:val="24"/>
          <w:szCs w:val="24"/>
        </w:rPr>
        <w:t>rekonštrukcii využiť na ubytovanie</w:t>
      </w:r>
      <w:r w:rsidRPr="007C5FED">
        <w:rPr>
          <w:rFonts w:ascii="Times New Roman" w:hAnsi="Times New Roman" w:cs="Times New Roman"/>
          <w:sz w:val="24"/>
          <w:szCs w:val="24"/>
        </w:rPr>
        <w:t xml:space="preserve">. </w:t>
      </w:r>
    </w:p>
    <w:p w14:paraId="5693B8EC" w14:textId="77777777" w:rsidR="00C504BA" w:rsidRPr="007C5FED" w:rsidRDefault="00C504BA" w:rsidP="00C50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Rozvoj v oblasti cestovného ruchu by mal smerovať do činností spojených s vidieckym cestovným ruchom a </w:t>
      </w:r>
      <w:r w:rsidRPr="007C5FED">
        <w:rPr>
          <w:rFonts w:ascii="Times New Roman" w:hAnsi="Times New Roman" w:cs="Times New Roman"/>
          <w:b/>
          <w:sz w:val="24"/>
          <w:szCs w:val="24"/>
        </w:rPr>
        <w:t>agroturistikou</w:t>
      </w:r>
      <w:r w:rsidRPr="007C5FED">
        <w:rPr>
          <w:rFonts w:ascii="Times New Roman" w:hAnsi="Times New Roman" w:cs="Times New Roman"/>
          <w:sz w:val="24"/>
          <w:szCs w:val="24"/>
        </w:rPr>
        <w:t xml:space="preserve"> zameraných </w:t>
      </w:r>
      <w:r w:rsidRPr="00357BD3">
        <w:rPr>
          <w:rFonts w:ascii="Times New Roman" w:hAnsi="Times New Roman" w:cs="Times New Roman"/>
          <w:b/>
          <w:sz w:val="24"/>
          <w:szCs w:val="24"/>
        </w:rPr>
        <w:t>na vytváranie podmienok pre rekreačné a relaxačné činnosti</w:t>
      </w:r>
      <w:r w:rsidRPr="007C5FED">
        <w:rPr>
          <w:rFonts w:ascii="Times New Roman" w:hAnsi="Times New Roman" w:cs="Times New Roman"/>
          <w:sz w:val="24"/>
          <w:szCs w:val="24"/>
        </w:rPr>
        <w:t xml:space="preserve">, vrátane vytvárania podmienok na poskytovanie vzdelávania a vytvorenie konferenčných priestorov, ktorá v regióne dosiahla v poslednej dobe značný rozmach (hlavne vďaka veľkým ubytovacím zariadeniam ako sú Hotel Štefánik, Hotel Lipa a Agropenzión ADAM) a kapacitne už nestačí pokrývať požiadavky trhu. V nadväznosti na konferenčných turistov, ktorý majú vždy niekoľko hodín času a väčšinou ich chcú využiť na </w:t>
      </w:r>
      <w:r w:rsidRPr="007C5FED">
        <w:rPr>
          <w:rFonts w:ascii="Times New Roman" w:hAnsi="Times New Roman" w:cs="Times New Roman"/>
          <w:sz w:val="24"/>
          <w:szCs w:val="24"/>
        </w:rPr>
        <w:lastRenderedPageBreak/>
        <w:t xml:space="preserve">poznanie regiónu by bolo vhodné </w:t>
      </w:r>
      <w:r w:rsidRPr="007C5FED">
        <w:rPr>
          <w:rFonts w:ascii="Times New Roman" w:hAnsi="Times New Roman" w:cs="Times New Roman"/>
          <w:b/>
          <w:sz w:val="24"/>
          <w:szCs w:val="24"/>
        </w:rPr>
        <w:t>investovať</w:t>
      </w:r>
      <w:r w:rsidRPr="007C5FED">
        <w:rPr>
          <w:rFonts w:ascii="Times New Roman" w:hAnsi="Times New Roman" w:cs="Times New Roman"/>
          <w:sz w:val="24"/>
          <w:szCs w:val="24"/>
        </w:rPr>
        <w:t xml:space="preserve"> </w:t>
      </w:r>
      <w:r w:rsidRPr="007C5FED">
        <w:rPr>
          <w:rFonts w:ascii="Times New Roman" w:hAnsi="Times New Roman" w:cs="Times New Roman"/>
          <w:b/>
          <w:sz w:val="24"/>
          <w:szCs w:val="24"/>
        </w:rPr>
        <w:t>do turisticky zaujímavých objektov, bodov a miest ako sú miestne kultúrne, historické, prírodné a iné objekty a zaujímavosti (napr. pamätné izby, múzeá a pamätníky)</w:t>
      </w:r>
      <w:r w:rsidRPr="007C5FED">
        <w:rPr>
          <w:rFonts w:ascii="Times New Roman" w:hAnsi="Times New Roman" w:cs="Times New Roman"/>
          <w:sz w:val="24"/>
          <w:szCs w:val="24"/>
        </w:rPr>
        <w:t xml:space="preserve">. Bude dôležité využiť prítomnosť takýchto turistov a ponúknuť im nové produkty cestovného ruchu, aby sa radi do regiónu vracali. Takýmto môžu by tematické </w:t>
      </w:r>
      <w:r w:rsidRPr="007C5FED">
        <w:rPr>
          <w:rFonts w:ascii="Times New Roman" w:hAnsi="Times New Roman" w:cs="Times New Roman"/>
          <w:b/>
          <w:sz w:val="24"/>
          <w:szCs w:val="24"/>
        </w:rPr>
        <w:t>náučné chodníky (historický), ale aj bežecké alebo jazdecké trasy</w:t>
      </w:r>
      <w:r w:rsidRPr="007C5FED">
        <w:rPr>
          <w:rFonts w:ascii="Times New Roman" w:hAnsi="Times New Roman" w:cs="Times New Roman"/>
          <w:sz w:val="24"/>
          <w:szCs w:val="24"/>
        </w:rPr>
        <w:t xml:space="preserve">. Motiváciu navštíviť kopaničiarsky región sú pre ľudí zvonka aj </w:t>
      </w:r>
      <w:r w:rsidRPr="007C5FED">
        <w:rPr>
          <w:rFonts w:ascii="Times New Roman" w:hAnsi="Times New Roman" w:cs="Times New Roman"/>
          <w:b/>
          <w:sz w:val="24"/>
          <w:szCs w:val="24"/>
        </w:rPr>
        <w:t>kul</w:t>
      </w:r>
      <w:r w:rsidR="00530D08">
        <w:rPr>
          <w:rFonts w:ascii="Times New Roman" w:hAnsi="Times New Roman" w:cs="Times New Roman"/>
          <w:b/>
          <w:sz w:val="24"/>
          <w:szCs w:val="24"/>
        </w:rPr>
        <w:t>t</w:t>
      </w:r>
      <w:r w:rsidRPr="007C5FED">
        <w:rPr>
          <w:rFonts w:ascii="Times New Roman" w:hAnsi="Times New Roman" w:cs="Times New Roman"/>
          <w:b/>
          <w:sz w:val="24"/>
          <w:szCs w:val="24"/>
        </w:rPr>
        <w:t>úrno-spoločenské podujatia</w:t>
      </w:r>
      <w:r w:rsidRPr="007C5FED">
        <w:rPr>
          <w:rFonts w:ascii="Times New Roman" w:hAnsi="Times New Roman" w:cs="Times New Roman"/>
          <w:sz w:val="24"/>
          <w:szCs w:val="24"/>
        </w:rPr>
        <w:t>, ktorých sa v regióne koná stále veľa a je dôležité pokračovať v ich podpore.</w:t>
      </w:r>
    </w:p>
    <w:p w14:paraId="7C2A0A1A" w14:textId="77777777" w:rsidR="00C504BA" w:rsidRPr="007C5FED" w:rsidRDefault="00C504BA" w:rsidP="00C504BA">
      <w:pPr>
        <w:spacing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t>Hospodárstvo</w:t>
      </w:r>
    </w:p>
    <w:p w14:paraId="73D27583" w14:textId="77777777" w:rsidR="00C504BA" w:rsidRPr="007C5FED" w:rsidRDefault="00C504BA" w:rsidP="00C504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Analýza územia preukázala, že v regióne je dostatok subjektov podnikajúcich v spracovaní poľnohospodárskych výrobkov a potravinárstve, ktoré sú kvalitné, ale ťažšie sa presadzujúce na regionálnom trhu. Zároveň pretrváva nedostatočné previazanie poľnohospodárstva so spracovateľským priemyslom. Preto by bolo potrebné </w:t>
      </w:r>
      <w:r w:rsidRPr="007C5FED">
        <w:rPr>
          <w:rFonts w:ascii="Times New Roman" w:hAnsi="Times New Roman" w:cs="Times New Roman"/>
          <w:b/>
          <w:sz w:val="24"/>
          <w:szCs w:val="24"/>
        </w:rPr>
        <w:t>podporiť</w:t>
      </w:r>
      <w:r w:rsidRPr="007C5FED">
        <w:rPr>
          <w:rFonts w:ascii="Times New Roman" w:hAnsi="Times New Roman" w:cs="Times New Roman"/>
          <w:sz w:val="24"/>
          <w:szCs w:val="24"/>
        </w:rPr>
        <w:t xml:space="preserve"> </w:t>
      </w:r>
      <w:r w:rsidRPr="007C5FED">
        <w:rPr>
          <w:rFonts w:ascii="Times New Roman" w:hAnsi="Times New Roman" w:cs="Times New Roman"/>
          <w:b/>
          <w:sz w:val="24"/>
          <w:szCs w:val="24"/>
        </w:rPr>
        <w:t>spoluprácu medzi malými hospodárskymi subjektmi</w:t>
      </w:r>
      <w:r w:rsidRPr="007C5FED">
        <w:rPr>
          <w:rFonts w:ascii="Times New Roman" w:hAnsi="Times New Roman" w:cs="Times New Roman"/>
          <w:sz w:val="24"/>
          <w:szCs w:val="24"/>
        </w:rPr>
        <w:t xml:space="preserve"> (mikropodnikmi) v odvetví poľnohospodárstva, potravinovom reťazci, sektore lesného hospodárstva i v sektore cestovného ruchu pri organizácii spoločných pracovných procesov, spoločnom využívaní zariadení a zdrojov a pri rozvoji služieb a marketingu v oblasti cestovného ruchu. Cieľom je prostredníctvom spolupráce zvýšiť efektivitu vykonávaných činností. </w:t>
      </w:r>
    </w:p>
    <w:p w14:paraId="6BF31C59" w14:textId="77777777" w:rsidR="00C504BA" w:rsidRPr="007C5FED" w:rsidRDefault="00C504BA" w:rsidP="00C50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Na vidieku </w:t>
      </w:r>
      <w:r>
        <w:rPr>
          <w:rFonts w:ascii="Times New Roman" w:hAnsi="Times New Roman" w:cs="Times New Roman"/>
          <w:sz w:val="24"/>
          <w:szCs w:val="24"/>
        </w:rPr>
        <w:t xml:space="preserve">je </w:t>
      </w:r>
      <w:r w:rsidRPr="007C5FED">
        <w:rPr>
          <w:rFonts w:ascii="Times New Roman" w:hAnsi="Times New Roman" w:cs="Times New Roman"/>
          <w:sz w:val="24"/>
          <w:szCs w:val="24"/>
        </w:rPr>
        <w:t xml:space="preserve">málo pracovných príležitostí, slabšia kvalita a ocenenie služieb, nižšia úroveň stravovacích služieb či slabá kvalita služieb v rekreačných oblastiach. Z dotazníkových prieskumov a individuálnych rozhovorov vzišlo dostatok námetov na rozvojové projekty. Bolo by vhodné </w:t>
      </w:r>
      <w:r w:rsidRPr="007C5FED">
        <w:rPr>
          <w:rFonts w:ascii="Times New Roman" w:hAnsi="Times New Roman" w:cs="Times New Roman"/>
          <w:b/>
          <w:sz w:val="24"/>
          <w:szCs w:val="24"/>
        </w:rPr>
        <w:t>podporiť či už zakladanie nových alebo existujúcich mikro a malých podnikov</w:t>
      </w:r>
      <w:r w:rsidRPr="007C5FED">
        <w:rPr>
          <w:rFonts w:ascii="Times New Roman" w:hAnsi="Times New Roman" w:cs="Times New Roman"/>
          <w:sz w:val="24"/>
          <w:szCs w:val="24"/>
        </w:rPr>
        <w:t>, aby sa kvalita služieb výrazne zlepšila a vytvorili sa aj nové pracovné miesta na predovšetkým na vidieku. Podpora by mala byť smerovaná i pre remeselníkov i</w:t>
      </w:r>
      <w:r>
        <w:rPr>
          <w:rFonts w:ascii="Times New Roman" w:hAnsi="Times New Roman" w:cs="Times New Roman"/>
          <w:sz w:val="24"/>
          <w:szCs w:val="24"/>
        </w:rPr>
        <w:t xml:space="preserve"> na </w:t>
      </w:r>
      <w:r w:rsidRPr="007C5FED">
        <w:rPr>
          <w:rFonts w:ascii="Times New Roman" w:hAnsi="Times New Roman" w:cs="Times New Roman"/>
          <w:sz w:val="24"/>
          <w:szCs w:val="24"/>
        </w:rPr>
        <w:t>menšie priemyselné podniky.</w:t>
      </w:r>
    </w:p>
    <w:p w14:paraId="6893629D" w14:textId="77777777" w:rsidR="00C504BA" w:rsidRPr="007C5FED" w:rsidRDefault="00C504BA" w:rsidP="00C504BA">
      <w:pPr>
        <w:spacing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t>Občianska vybavenosť</w:t>
      </w:r>
    </w:p>
    <w:p w14:paraId="793B0A9B" w14:textId="77777777" w:rsidR="00C504BA" w:rsidRPr="007C5FED" w:rsidRDefault="00C504BA" w:rsidP="00C504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Väčšiny obcí je pomerne dobre vybavená základnými kultúrnymi a športovými zariadeniami, pretrváva však nízka vybavenosť ZŠ odbornými učebňami, laboratóriami, jazykovými učebňami, verejné priestranstvá a parky v niektorých obciach sú neupravené a v nevyhovujúcom stave. Pre skvalitnenie života v obciach a zabránenie vyľudňovaniu regiónu je potrebné sa zamerať na </w:t>
      </w:r>
      <w:r w:rsidRPr="007C5FED">
        <w:rPr>
          <w:rFonts w:ascii="Times New Roman" w:hAnsi="Times New Roman" w:cs="Times New Roman"/>
          <w:b/>
          <w:sz w:val="24"/>
          <w:szCs w:val="24"/>
        </w:rPr>
        <w:t>investície do voľnočasov</w:t>
      </w:r>
      <w:r>
        <w:rPr>
          <w:rFonts w:ascii="Times New Roman" w:hAnsi="Times New Roman" w:cs="Times New Roman"/>
          <w:b/>
          <w:sz w:val="24"/>
          <w:szCs w:val="24"/>
        </w:rPr>
        <w:t>ej</w:t>
      </w:r>
      <w:r w:rsidRPr="007C5FED">
        <w:rPr>
          <w:rFonts w:ascii="Times New Roman" w:hAnsi="Times New Roman" w:cs="Times New Roman"/>
          <w:b/>
          <w:sz w:val="24"/>
          <w:szCs w:val="24"/>
        </w:rPr>
        <w:t xml:space="preserve"> infraštruktúry</w:t>
      </w:r>
      <w:r w:rsidRPr="007C5FED">
        <w:rPr>
          <w:rFonts w:ascii="Times New Roman" w:hAnsi="Times New Roman" w:cs="Times New Roman"/>
          <w:sz w:val="24"/>
          <w:szCs w:val="24"/>
        </w:rPr>
        <w:t xml:space="preserve"> a širšie využitie súčasného potenciálu športových a kultúrnych zariadení, lepšie využitie málo využívaných  objektov na trávenie voľného času a organizovanie podujatí (amf</w:t>
      </w:r>
      <w:r>
        <w:rPr>
          <w:rFonts w:ascii="Times New Roman" w:hAnsi="Times New Roman" w:cs="Times New Roman"/>
          <w:sz w:val="24"/>
          <w:szCs w:val="24"/>
        </w:rPr>
        <w:t xml:space="preserve">iteátre či </w:t>
      </w:r>
      <w:r>
        <w:rPr>
          <w:rFonts w:ascii="Times New Roman" w:hAnsi="Times New Roman" w:cs="Times New Roman"/>
          <w:sz w:val="24"/>
          <w:szCs w:val="24"/>
        </w:rPr>
        <w:lastRenderedPageBreak/>
        <w:t>kultúrne domy</w:t>
      </w:r>
      <w:r w:rsidRPr="007C5FED">
        <w:rPr>
          <w:rFonts w:ascii="Times New Roman" w:hAnsi="Times New Roman" w:cs="Times New Roman"/>
          <w:sz w:val="24"/>
          <w:szCs w:val="24"/>
        </w:rPr>
        <w:t>) či využitie nevyužívaných objektov ako sú školy, kultúrne domy či hasičské zbrojnice na kopaniciach pre komunitnú a spolkovú činnosť.</w:t>
      </w:r>
    </w:p>
    <w:p w14:paraId="6912D9E3" w14:textId="77777777" w:rsidR="00C504BA" w:rsidRPr="007C5FED" w:rsidRDefault="00C504BA" w:rsidP="00C50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Vzhľadom na zlepšujúcu sa pôrodnosť v regióne za posledných 5 – 6 rokov je </w:t>
      </w:r>
      <w:r w:rsidRPr="007C5FED">
        <w:rPr>
          <w:rFonts w:ascii="Times New Roman" w:hAnsi="Times New Roman" w:cs="Times New Roman"/>
          <w:sz w:val="24"/>
          <w:szCs w:val="24"/>
        </w:rPr>
        <w:t xml:space="preserve">tiež </w:t>
      </w:r>
      <w:r>
        <w:rPr>
          <w:rFonts w:ascii="Times New Roman" w:hAnsi="Times New Roman" w:cs="Times New Roman"/>
          <w:sz w:val="24"/>
          <w:szCs w:val="24"/>
        </w:rPr>
        <w:t>p</w:t>
      </w:r>
      <w:r w:rsidRPr="007C5FED">
        <w:rPr>
          <w:rFonts w:ascii="Times New Roman" w:hAnsi="Times New Roman" w:cs="Times New Roman"/>
          <w:sz w:val="24"/>
          <w:szCs w:val="24"/>
        </w:rPr>
        <w:t xml:space="preserve">otrebné vybudovanie, </w:t>
      </w:r>
      <w:r w:rsidRPr="007C5FED">
        <w:rPr>
          <w:rFonts w:ascii="Times New Roman" w:hAnsi="Times New Roman" w:cs="Times New Roman"/>
          <w:b/>
          <w:sz w:val="24"/>
          <w:szCs w:val="24"/>
        </w:rPr>
        <w:t>modernizácia odborných učební</w:t>
      </w:r>
      <w:r w:rsidRPr="007C5FED">
        <w:rPr>
          <w:rFonts w:ascii="Times New Roman" w:hAnsi="Times New Roman" w:cs="Times New Roman"/>
          <w:sz w:val="24"/>
          <w:szCs w:val="24"/>
        </w:rPr>
        <w:t>, laboratórií, jazykových učební ZŠ, skvalitnenie a rozšírenie kapacít predškolských zariadení.</w:t>
      </w:r>
      <w:r>
        <w:rPr>
          <w:rFonts w:ascii="Times New Roman" w:hAnsi="Times New Roman" w:cs="Times New Roman"/>
          <w:sz w:val="24"/>
          <w:szCs w:val="24"/>
        </w:rPr>
        <w:t xml:space="preserve"> </w:t>
      </w:r>
    </w:p>
    <w:p w14:paraId="133DC3CB" w14:textId="77777777" w:rsidR="00C504BA" w:rsidRPr="007C5FED" w:rsidRDefault="00C504BA" w:rsidP="00C504BA">
      <w:pPr>
        <w:spacing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t>Ľudské zdroje</w:t>
      </w:r>
    </w:p>
    <w:p w14:paraId="438CEC8E" w14:textId="77777777" w:rsidR="00C504BA" w:rsidRDefault="00C504BA" w:rsidP="00C504B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5FED">
        <w:rPr>
          <w:rFonts w:ascii="Times New Roman" w:hAnsi="Times New Roman" w:cs="Times New Roman"/>
          <w:sz w:val="24"/>
          <w:szCs w:val="24"/>
        </w:rPr>
        <w:t xml:space="preserve">Aj napriek relatívne nízkej nezamestnanosti stále pretrváva odchod mladých a kvalifikovaných ľudí z regiónu za pracou do susedných regiónov. </w:t>
      </w:r>
      <w:r>
        <w:rPr>
          <w:rFonts w:ascii="Times New Roman" w:hAnsi="Times New Roman" w:cs="Times New Roman"/>
          <w:sz w:val="24"/>
          <w:szCs w:val="24"/>
        </w:rPr>
        <w:t>Pre zastavenie</w:t>
      </w:r>
      <w:r w:rsidRPr="007C5FED">
        <w:rPr>
          <w:rFonts w:ascii="Times New Roman" w:hAnsi="Times New Roman" w:cs="Times New Roman"/>
          <w:sz w:val="24"/>
          <w:szCs w:val="24"/>
        </w:rPr>
        <w:t xml:space="preserve"> trendu odlivu pracovnej sily by pomohol príchod investora do regiónu využívajúceho zamestnancov s vyšším stupňom vzdelania, ktorý by získal šikovných ľudí pochádzajúcich z regiónu späť vytvorením lepších pracovných i finančných podmienok v podnikoch v regióne. Preto je potrebné </w:t>
      </w:r>
      <w:r w:rsidRPr="007C5FED">
        <w:rPr>
          <w:rFonts w:ascii="Times New Roman" w:hAnsi="Times New Roman" w:cs="Times New Roman"/>
          <w:b/>
          <w:sz w:val="24"/>
          <w:szCs w:val="24"/>
        </w:rPr>
        <w:t>pripravovať podmienky pre rozvoj podnikania</w:t>
      </w:r>
      <w:r w:rsidRPr="007C5FED">
        <w:rPr>
          <w:rFonts w:ascii="Times New Roman" w:hAnsi="Times New Roman" w:cs="Times New Roman"/>
          <w:sz w:val="24"/>
          <w:szCs w:val="24"/>
        </w:rPr>
        <w:t>, pomoc investorom s obstaraním hm</w:t>
      </w:r>
      <w:r>
        <w:rPr>
          <w:rFonts w:ascii="Times New Roman" w:hAnsi="Times New Roman" w:cs="Times New Roman"/>
          <w:sz w:val="24"/>
          <w:szCs w:val="24"/>
        </w:rPr>
        <w:t>otného majetku pre účely tvorby</w:t>
      </w:r>
      <w:r w:rsidRPr="007C5FED">
        <w:rPr>
          <w:rFonts w:ascii="Times New Roman" w:hAnsi="Times New Roman" w:cs="Times New Roman"/>
          <w:sz w:val="24"/>
          <w:szCs w:val="24"/>
        </w:rPr>
        <w:t xml:space="preserve"> pracovných miest, so stavebnotechnickými úpravami budov spojenými s umiestnením obstaranej technológie a/alebo s poskytovaním nových služieb.</w:t>
      </w:r>
      <w:r>
        <w:rPr>
          <w:rFonts w:ascii="Times New Roman" w:hAnsi="Times New Roman" w:cs="Times New Roman"/>
          <w:sz w:val="24"/>
          <w:szCs w:val="24"/>
        </w:rPr>
        <w:t xml:space="preserve"> </w:t>
      </w:r>
    </w:p>
    <w:p w14:paraId="105BEB11" w14:textId="77777777" w:rsidR="00C504BA" w:rsidRDefault="00C504BA" w:rsidP="00C504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Hoci je zamestnanosť v regióne relatívne nízka, je dôležité </w:t>
      </w:r>
      <w:r w:rsidRPr="00357BD3">
        <w:rPr>
          <w:rFonts w:ascii="Times New Roman" w:hAnsi="Times New Roman" w:cs="Times New Roman"/>
          <w:b/>
          <w:sz w:val="24"/>
          <w:szCs w:val="24"/>
        </w:rPr>
        <w:t>sa zamerať na dlhodobo nezamestnaných, nízko kvalifikovaných, starších a zdravotne postihnuté osoby</w:t>
      </w:r>
      <w:r w:rsidRPr="008624CE">
        <w:rPr>
          <w:rFonts w:ascii="Times New Roman" w:hAnsi="Times New Roman" w:cs="Times New Roman"/>
          <w:sz w:val="24"/>
          <w:szCs w:val="24"/>
        </w:rPr>
        <w:t xml:space="preserve">. </w:t>
      </w:r>
      <w:r>
        <w:rPr>
          <w:rFonts w:ascii="Times New Roman" w:hAnsi="Times New Roman" w:cs="Times New Roman"/>
          <w:sz w:val="24"/>
          <w:szCs w:val="24"/>
        </w:rPr>
        <w:t xml:space="preserve">Bolo by vhodné </w:t>
      </w:r>
      <w:r w:rsidRPr="00357BD3">
        <w:rPr>
          <w:rFonts w:ascii="Times New Roman" w:hAnsi="Times New Roman" w:cs="Times New Roman"/>
          <w:b/>
          <w:sz w:val="24"/>
          <w:szCs w:val="24"/>
        </w:rPr>
        <w:t>zlepšiť týmto ľuďom prístup na trh práce uplatnením účinných nástrojov na podporu zamestnanosti</w:t>
      </w:r>
      <w:r w:rsidRPr="008624CE">
        <w:rPr>
          <w:rFonts w:ascii="Times New Roman" w:hAnsi="Times New Roman" w:cs="Times New Roman"/>
          <w:sz w:val="24"/>
          <w:szCs w:val="24"/>
        </w:rPr>
        <w:t>, vrátane podpory mobility pre získanie zamestnania, samostatnej zárobkovej činnosti a aktivít vo vidieckych oblastiach.</w:t>
      </w:r>
    </w:p>
    <w:p w14:paraId="315598BC" w14:textId="77777777" w:rsidR="00C504BA" w:rsidRDefault="00C504BA" w:rsidP="005E6C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Problémom na kopaniciach je starnúce obyvateľstvo, na čo by bolo vhodné reflektovať </w:t>
      </w:r>
      <w:r w:rsidRPr="00170D0D">
        <w:rPr>
          <w:rFonts w:ascii="Times New Roman" w:hAnsi="Times New Roman" w:cs="Times New Roman"/>
          <w:b/>
          <w:sz w:val="24"/>
          <w:szCs w:val="24"/>
        </w:rPr>
        <w:t>budovaním komunitných sociálnych služieb ako aj komunitných centier</w:t>
      </w:r>
      <w:r>
        <w:rPr>
          <w:rFonts w:ascii="Times New Roman" w:hAnsi="Times New Roman" w:cs="Times New Roman"/>
          <w:sz w:val="24"/>
          <w:szCs w:val="24"/>
        </w:rPr>
        <w:t>, ktoré by využívali hlavne občania vo vyššom veku. Netreba však zabúdať ani na ďalšie sociálne vylúčené komunity. Ako hovorí analýza Národnostného a etnického zloženia</w:t>
      </w:r>
      <w:r w:rsidRPr="00357BD3">
        <w:rPr>
          <w:rFonts w:ascii="Times New Roman" w:hAnsi="Times New Roman" w:cs="Times New Roman"/>
          <w:sz w:val="24"/>
          <w:szCs w:val="24"/>
        </w:rPr>
        <w:t xml:space="preserve"> obyvateľstva</w:t>
      </w:r>
      <w:r>
        <w:rPr>
          <w:rFonts w:ascii="Times New Roman" w:hAnsi="Times New Roman" w:cs="Times New Roman"/>
          <w:sz w:val="24"/>
          <w:szCs w:val="24"/>
        </w:rPr>
        <w:t xml:space="preserve">, v niektorých obciach regiónu v poslednej dobe </w:t>
      </w:r>
      <w:r w:rsidRPr="00357BD3">
        <w:rPr>
          <w:rFonts w:ascii="Times New Roman" w:hAnsi="Times New Roman" w:cs="Times New Roman"/>
          <w:b/>
          <w:sz w:val="24"/>
          <w:szCs w:val="24"/>
        </w:rPr>
        <w:t>stúpa počet rómskeho obyvateľstva</w:t>
      </w:r>
      <w:r>
        <w:rPr>
          <w:rFonts w:ascii="Times New Roman" w:hAnsi="Times New Roman" w:cs="Times New Roman"/>
          <w:sz w:val="24"/>
          <w:szCs w:val="24"/>
        </w:rPr>
        <w:t xml:space="preserve"> (Myjava, Hrachovište, Vaďovce, Prašník). Na druhú stranu dobre fungujúca organizácia Osveta myjavských Rómov, ktorá je i členom KR – MAS, dobre pracuje s touto marginalizovanou skupinou a bolo by vhodné ich zapojenie do niektorých projektov v rámci ich sociálnej inklúzie. Aj ďalšie spolky </w:t>
      </w:r>
      <w:r w:rsidRPr="007C5FED">
        <w:rPr>
          <w:rFonts w:ascii="Times New Roman" w:hAnsi="Times New Roman" w:cs="Times New Roman"/>
          <w:sz w:val="24"/>
          <w:szCs w:val="24"/>
        </w:rPr>
        <w:t xml:space="preserve">a </w:t>
      </w:r>
      <w:r w:rsidRPr="00357BD3">
        <w:rPr>
          <w:rFonts w:ascii="Times New Roman" w:hAnsi="Times New Roman" w:cs="Times New Roman"/>
          <w:b/>
          <w:sz w:val="24"/>
          <w:szCs w:val="24"/>
        </w:rPr>
        <w:t>organizácie neziskového sektora existujúce v regióne majú</w:t>
      </w:r>
      <w:r>
        <w:rPr>
          <w:rFonts w:ascii="Times New Roman" w:hAnsi="Times New Roman" w:cs="Times New Roman"/>
          <w:sz w:val="24"/>
          <w:szCs w:val="24"/>
        </w:rPr>
        <w:t xml:space="preserve"> v obciach i </w:t>
      </w:r>
      <w:r w:rsidRPr="007C5FED">
        <w:rPr>
          <w:rFonts w:ascii="Times New Roman" w:hAnsi="Times New Roman" w:cs="Times New Roman"/>
          <w:sz w:val="24"/>
          <w:szCs w:val="24"/>
        </w:rPr>
        <w:t>mestách</w:t>
      </w:r>
      <w:r>
        <w:rPr>
          <w:rFonts w:ascii="Times New Roman" w:hAnsi="Times New Roman" w:cs="Times New Roman"/>
          <w:sz w:val="24"/>
          <w:szCs w:val="24"/>
        </w:rPr>
        <w:t xml:space="preserve">, kde pôsobia </w:t>
      </w:r>
      <w:r w:rsidRPr="00357BD3">
        <w:rPr>
          <w:rFonts w:ascii="Times New Roman" w:hAnsi="Times New Roman" w:cs="Times New Roman"/>
          <w:b/>
          <w:sz w:val="24"/>
          <w:szCs w:val="24"/>
        </w:rPr>
        <w:t>dobré zázemie</w:t>
      </w:r>
      <w:r w:rsidRPr="007C5FED">
        <w:rPr>
          <w:rFonts w:ascii="Times New Roman" w:hAnsi="Times New Roman" w:cs="Times New Roman"/>
          <w:sz w:val="24"/>
          <w:szCs w:val="24"/>
        </w:rPr>
        <w:t>.</w:t>
      </w:r>
      <w:r>
        <w:rPr>
          <w:rFonts w:ascii="Times New Roman" w:hAnsi="Times New Roman" w:cs="Times New Roman"/>
          <w:sz w:val="24"/>
          <w:szCs w:val="24"/>
        </w:rPr>
        <w:t xml:space="preserve"> Tiež majú mnohé z nich </w:t>
      </w:r>
      <w:r w:rsidRPr="00357BD3">
        <w:rPr>
          <w:rFonts w:ascii="Times New Roman" w:hAnsi="Times New Roman" w:cs="Times New Roman"/>
          <w:b/>
          <w:sz w:val="24"/>
          <w:szCs w:val="24"/>
        </w:rPr>
        <w:t>dobré skúsenosti s implementáciou menších projektov</w:t>
      </w:r>
      <w:r>
        <w:rPr>
          <w:rFonts w:ascii="Times New Roman" w:hAnsi="Times New Roman" w:cs="Times New Roman"/>
          <w:sz w:val="24"/>
          <w:szCs w:val="24"/>
        </w:rPr>
        <w:t>.</w:t>
      </w:r>
    </w:p>
    <w:p w14:paraId="3BD1288F" w14:textId="77777777" w:rsidR="00E5054D" w:rsidRDefault="00E5054D" w:rsidP="005E6CC5">
      <w:pPr>
        <w:spacing w:before="120" w:after="0" w:line="360" w:lineRule="auto"/>
        <w:jc w:val="both"/>
        <w:rPr>
          <w:rFonts w:ascii="Times New Roman" w:hAnsi="Times New Roman" w:cs="Times New Roman"/>
          <w:sz w:val="24"/>
          <w:szCs w:val="24"/>
          <w:u w:val="single"/>
        </w:rPr>
      </w:pPr>
    </w:p>
    <w:p w14:paraId="620DBBA1" w14:textId="77777777" w:rsidR="00C504BA" w:rsidRPr="007C5FED" w:rsidRDefault="00C504BA" w:rsidP="005E6CC5">
      <w:pPr>
        <w:spacing w:before="120"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lastRenderedPageBreak/>
        <w:t>Životné prostredie</w:t>
      </w:r>
    </w:p>
    <w:p w14:paraId="43E40CD8" w14:textId="77777777" w:rsidR="00C504BA" w:rsidRPr="007C5FED" w:rsidRDefault="005E6CC5" w:rsidP="005E6CC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504BA" w:rsidRPr="007C5FED">
        <w:rPr>
          <w:rFonts w:ascii="Times New Roman" w:hAnsi="Times New Roman" w:cs="Times New Roman"/>
          <w:sz w:val="24"/>
          <w:szCs w:val="24"/>
        </w:rPr>
        <w:t xml:space="preserve">Čo sa týka životného prostredia, región je bohatý na chránené územia a vysokú biodiverzitu, na druhú stranu je horšie nakladané s vodnými zdrojmi, čo spôsobuje napr. nedostatok vlahy počas vegetačného obdobia, nedostatočné sú protipovodňové opatrenia, existuje riziko zvyšovanie erózií poľnohospodárskej pôdy. Toto ale nie je v silách a možnostiach komunity možné riešiť, vzhľadom na obmedzené finančné možnosti v rámci CLLD stratégie. Preto sa skôr </w:t>
      </w:r>
      <w:r w:rsidR="00D0587E" w:rsidRPr="007C5FED">
        <w:rPr>
          <w:rFonts w:ascii="Times New Roman" w:hAnsi="Times New Roman" w:cs="Times New Roman"/>
          <w:sz w:val="24"/>
          <w:szCs w:val="24"/>
        </w:rPr>
        <w:t>zameriame</w:t>
      </w:r>
      <w:r w:rsidR="00C504BA" w:rsidRPr="007C5FED">
        <w:rPr>
          <w:rFonts w:ascii="Times New Roman" w:hAnsi="Times New Roman" w:cs="Times New Roman"/>
          <w:sz w:val="24"/>
          <w:szCs w:val="24"/>
        </w:rPr>
        <w:t xml:space="preserve"> na osvetu, na </w:t>
      </w:r>
      <w:r w:rsidR="00C504BA" w:rsidRPr="007C5FED">
        <w:rPr>
          <w:rFonts w:ascii="Times New Roman" w:hAnsi="Times New Roman" w:cs="Times New Roman"/>
          <w:b/>
          <w:sz w:val="24"/>
          <w:szCs w:val="24"/>
        </w:rPr>
        <w:t>budovanie a obnovu občianskej a poznávacej infraštruktúry v lesných ekosystémoch</w:t>
      </w:r>
      <w:r w:rsidR="00C504BA" w:rsidRPr="007C5FED">
        <w:rPr>
          <w:rFonts w:ascii="Times New Roman" w:hAnsi="Times New Roman" w:cs="Times New Roman"/>
          <w:sz w:val="24"/>
          <w:szCs w:val="24"/>
        </w:rPr>
        <w:t xml:space="preserve"> (náučné a turistické chodníky, cyklotrasy, odpočívadlá, turistické značenie, mapové panely, informačné tabule apod.). K tomu môže slúžiť dobrá prepojenosť ciest v lesoch Bielych a Malých Karpát. Skvelou príležitosťou môže byť aj možnosť </w:t>
      </w:r>
      <w:r w:rsidR="00C504BA" w:rsidRPr="00357BD3">
        <w:rPr>
          <w:rFonts w:ascii="Times New Roman" w:hAnsi="Times New Roman" w:cs="Times New Roman"/>
          <w:b/>
          <w:sz w:val="24"/>
          <w:szCs w:val="24"/>
        </w:rPr>
        <w:t>spracovania lesných produktov a zhodnotenie dendrohmoty</w:t>
      </w:r>
      <w:r w:rsidR="00C504BA" w:rsidRPr="007C5FED">
        <w:rPr>
          <w:rFonts w:ascii="Times New Roman" w:hAnsi="Times New Roman" w:cs="Times New Roman"/>
          <w:sz w:val="24"/>
          <w:szCs w:val="24"/>
        </w:rPr>
        <w:t xml:space="preserve"> vznikajúcej pri ťažbe dreva. Pri podpore projektov by sa mal zvážiť ich prínos k ochrane životného prostredia, či už </w:t>
      </w:r>
      <w:r w:rsidR="00C504BA" w:rsidRPr="00F672DC">
        <w:rPr>
          <w:rFonts w:ascii="Times New Roman" w:hAnsi="Times New Roman" w:cs="Times New Roman"/>
          <w:b/>
          <w:sz w:val="24"/>
          <w:szCs w:val="24"/>
        </w:rPr>
        <w:t>využívaním OZE</w:t>
      </w:r>
      <w:r w:rsidR="00C504BA" w:rsidRPr="007C5FED">
        <w:rPr>
          <w:rFonts w:ascii="Times New Roman" w:hAnsi="Times New Roman" w:cs="Times New Roman"/>
          <w:sz w:val="24"/>
          <w:szCs w:val="24"/>
        </w:rPr>
        <w:t>, vrátane investícií spojených s úsporou energie alebo efektívne využívanie prírodných zdrojov.</w:t>
      </w:r>
    </w:p>
    <w:p w14:paraId="1ECD8FE4" w14:textId="77777777" w:rsidR="005E6CC5" w:rsidRDefault="005E6CC5" w:rsidP="00C504BA">
      <w:pPr>
        <w:spacing w:line="360" w:lineRule="auto"/>
        <w:jc w:val="both"/>
        <w:rPr>
          <w:rFonts w:ascii="Times New Roman" w:hAnsi="Times New Roman" w:cs="Times New Roman"/>
          <w:sz w:val="24"/>
          <w:szCs w:val="24"/>
          <w:u w:val="single"/>
        </w:rPr>
      </w:pPr>
    </w:p>
    <w:p w14:paraId="4F15D400" w14:textId="77777777" w:rsidR="00C504BA" w:rsidRPr="007C5FED" w:rsidRDefault="00C504BA" w:rsidP="005E6CC5">
      <w:pPr>
        <w:spacing w:after="0" w:line="360" w:lineRule="auto"/>
        <w:jc w:val="both"/>
        <w:rPr>
          <w:rFonts w:ascii="Times New Roman" w:hAnsi="Times New Roman" w:cs="Times New Roman"/>
          <w:sz w:val="24"/>
          <w:szCs w:val="24"/>
          <w:u w:val="single"/>
        </w:rPr>
      </w:pPr>
      <w:r w:rsidRPr="007C5FED">
        <w:rPr>
          <w:rFonts w:ascii="Times New Roman" w:hAnsi="Times New Roman" w:cs="Times New Roman"/>
          <w:sz w:val="24"/>
          <w:szCs w:val="24"/>
          <w:u w:val="single"/>
        </w:rPr>
        <w:t>Technická infraštruktúra</w:t>
      </w:r>
    </w:p>
    <w:p w14:paraId="1372EA5B" w14:textId="77777777" w:rsidR="00C504BA" w:rsidRPr="007C5FED" w:rsidRDefault="005E6CC5" w:rsidP="005E6CC5">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ab/>
      </w:r>
      <w:r w:rsidR="00C504BA" w:rsidRPr="007C5FED">
        <w:rPr>
          <w:rFonts w:ascii="Times New Roman" w:hAnsi="Times New Roman" w:cs="Times New Roman"/>
          <w:sz w:val="24"/>
          <w:szCs w:val="24"/>
        </w:rPr>
        <w:t>V tejto oblasti existuje predovšetkým vo vidieckych oblastiach</w:t>
      </w:r>
      <w:r w:rsidR="00C504BA">
        <w:rPr>
          <w:rFonts w:ascii="Times New Roman" w:hAnsi="Times New Roman" w:cs="Times New Roman"/>
          <w:sz w:val="24"/>
          <w:szCs w:val="24"/>
        </w:rPr>
        <w:t xml:space="preserve"> </w:t>
      </w:r>
      <w:r w:rsidR="00C504BA" w:rsidRPr="007C5FED">
        <w:rPr>
          <w:rFonts w:ascii="Times New Roman" w:hAnsi="Times New Roman" w:cs="Times New Roman"/>
          <w:sz w:val="24"/>
          <w:szCs w:val="24"/>
        </w:rPr>
        <w:t xml:space="preserve">nízka úroveň infraštruktúry. Chýba kanalizácia v obciach, nižšia je napojenosť na vodovodnú sieť v rámci Trenčianskeho VÚC, pretrváva deficit vodných zdrojov. </w:t>
      </w:r>
      <w:r w:rsidR="00C504BA">
        <w:rPr>
          <w:rFonts w:ascii="Times New Roman" w:hAnsi="Times New Roman" w:cs="Times New Roman"/>
          <w:sz w:val="24"/>
          <w:szCs w:val="24"/>
        </w:rPr>
        <w:t>Vzhľadom na finančné možnosti a alokáciu v CLLD stratégií by si túto problematiku mali obce riešiť na priamo cez PRV SR 2014 – 2020 alebo mestá cez IROP či OP KŽP.</w:t>
      </w:r>
    </w:p>
    <w:p w14:paraId="3A955D2E" w14:textId="77777777" w:rsidR="00590478" w:rsidRPr="00891B13" w:rsidRDefault="00590478" w:rsidP="00C504BA">
      <w:pPr>
        <w:spacing w:after="0" w:line="360" w:lineRule="auto"/>
        <w:jc w:val="both"/>
        <w:rPr>
          <w:rFonts w:ascii="Times New Roman" w:hAnsi="Times New Roman" w:cs="Times New Roman"/>
          <w:sz w:val="24"/>
          <w:szCs w:val="24"/>
        </w:rPr>
      </w:pPr>
    </w:p>
    <w:p w14:paraId="0F24896D" w14:textId="77777777" w:rsidR="008771C8" w:rsidRPr="00891B13" w:rsidRDefault="004B0225" w:rsidP="00E37887">
      <w:pPr>
        <w:spacing w:after="0" w:line="360" w:lineRule="auto"/>
        <w:jc w:val="both"/>
        <w:rPr>
          <w:rFonts w:ascii="Times New Roman" w:hAnsi="Times New Roman" w:cs="Times New Roman"/>
          <w:sz w:val="24"/>
          <w:szCs w:val="24"/>
        </w:rPr>
      </w:pPr>
      <w:r w:rsidRPr="00891B13">
        <w:rPr>
          <w:rFonts w:ascii="Times New Roman" w:hAnsi="Times New Roman" w:cs="Times New Roman"/>
          <w:sz w:val="24"/>
          <w:szCs w:val="24"/>
        </w:rPr>
        <w:t xml:space="preserve"> </w:t>
      </w:r>
    </w:p>
    <w:p w14:paraId="07B8DAAA" w14:textId="77777777" w:rsidR="003C2BA5" w:rsidRDefault="003C2BA5">
      <w:pPr>
        <w:rPr>
          <w:rFonts w:ascii="Times New Roman" w:hAnsi="Times New Roman" w:cs="Times New Roman"/>
          <w:b/>
          <w:sz w:val="24"/>
          <w:szCs w:val="24"/>
        </w:rPr>
      </w:pPr>
      <w:r>
        <w:rPr>
          <w:rFonts w:ascii="Times New Roman" w:hAnsi="Times New Roman" w:cs="Times New Roman"/>
          <w:b/>
          <w:sz w:val="24"/>
          <w:szCs w:val="24"/>
        </w:rPr>
        <w:br w:type="page"/>
      </w:r>
    </w:p>
    <w:p w14:paraId="59A96AD9" w14:textId="77777777" w:rsidR="00675502" w:rsidRPr="00675502" w:rsidRDefault="00675502" w:rsidP="003301D6">
      <w:pPr>
        <w:pStyle w:val="Odsekzoznamu"/>
        <w:keepNext/>
        <w:keepLines/>
        <w:numPr>
          <w:ilvl w:val="0"/>
          <w:numId w:val="6"/>
        </w:numPr>
        <w:spacing w:after="0" w:line="360" w:lineRule="auto"/>
        <w:contextualSpacing w:val="0"/>
        <w:outlineLvl w:val="0"/>
        <w:rPr>
          <w:rFonts w:ascii="Times New Roman" w:eastAsiaTheme="majorEastAsia" w:hAnsi="Times New Roman" w:cstheme="majorBidi"/>
          <w:b/>
          <w:vanish/>
          <w:sz w:val="28"/>
          <w:szCs w:val="32"/>
        </w:rPr>
      </w:pPr>
      <w:bookmarkStart w:id="512" w:name="_Toc437861963"/>
      <w:bookmarkStart w:id="513" w:name="_Toc437862639"/>
      <w:bookmarkStart w:id="514" w:name="_Toc437862781"/>
      <w:bookmarkStart w:id="515" w:name="_Toc437877367"/>
      <w:bookmarkStart w:id="516" w:name="_Toc437877565"/>
      <w:bookmarkStart w:id="517" w:name="_Toc437877765"/>
      <w:bookmarkStart w:id="518" w:name="_Toc437877965"/>
      <w:bookmarkStart w:id="519" w:name="_Toc437878168"/>
      <w:bookmarkStart w:id="520" w:name="_Toc437878372"/>
      <w:bookmarkStart w:id="521" w:name="_Toc437878576"/>
      <w:bookmarkStart w:id="522" w:name="_Toc437878780"/>
      <w:bookmarkStart w:id="523" w:name="_Toc439149976"/>
      <w:bookmarkStart w:id="524" w:name="_Toc439150332"/>
      <w:bookmarkStart w:id="525" w:name="_Toc439150529"/>
      <w:bookmarkStart w:id="526" w:name="_Toc485645619"/>
      <w:bookmarkStart w:id="527" w:name="_Toc485645778"/>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5374DE6C" w14:textId="77777777" w:rsidR="00675502" w:rsidRPr="00675502" w:rsidRDefault="00675502" w:rsidP="003301D6">
      <w:pPr>
        <w:pStyle w:val="Odsekzoznamu"/>
        <w:keepNext/>
        <w:keepLines/>
        <w:numPr>
          <w:ilvl w:val="0"/>
          <w:numId w:val="6"/>
        </w:numPr>
        <w:spacing w:after="0" w:line="360" w:lineRule="auto"/>
        <w:contextualSpacing w:val="0"/>
        <w:outlineLvl w:val="0"/>
        <w:rPr>
          <w:rFonts w:ascii="Times New Roman" w:eastAsiaTheme="majorEastAsia" w:hAnsi="Times New Roman" w:cstheme="majorBidi"/>
          <w:b/>
          <w:vanish/>
          <w:sz w:val="28"/>
          <w:szCs w:val="32"/>
        </w:rPr>
      </w:pPr>
      <w:bookmarkStart w:id="528" w:name="_Toc437861964"/>
      <w:bookmarkStart w:id="529" w:name="_Toc437862640"/>
      <w:bookmarkStart w:id="530" w:name="_Toc437862782"/>
      <w:bookmarkStart w:id="531" w:name="_Toc437877368"/>
      <w:bookmarkStart w:id="532" w:name="_Toc437877566"/>
      <w:bookmarkStart w:id="533" w:name="_Toc437877766"/>
      <w:bookmarkStart w:id="534" w:name="_Toc437877966"/>
      <w:bookmarkStart w:id="535" w:name="_Toc437878169"/>
      <w:bookmarkStart w:id="536" w:name="_Toc437878373"/>
      <w:bookmarkStart w:id="537" w:name="_Toc437878577"/>
      <w:bookmarkStart w:id="538" w:name="_Toc437878781"/>
      <w:bookmarkStart w:id="539" w:name="_Toc439149977"/>
      <w:bookmarkStart w:id="540" w:name="_Toc439150333"/>
      <w:bookmarkStart w:id="541" w:name="_Toc439150530"/>
      <w:bookmarkStart w:id="542" w:name="_Toc485645620"/>
      <w:bookmarkStart w:id="543" w:name="_Toc485645779"/>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585BC09" w14:textId="77777777" w:rsidR="00675502" w:rsidRPr="00675502" w:rsidRDefault="00675502" w:rsidP="003301D6">
      <w:pPr>
        <w:pStyle w:val="Odsekzoznamu"/>
        <w:keepNext/>
        <w:keepLines/>
        <w:numPr>
          <w:ilvl w:val="0"/>
          <w:numId w:val="6"/>
        </w:numPr>
        <w:spacing w:after="0" w:line="360" w:lineRule="auto"/>
        <w:contextualSpacing w:val="0"/>
        <w:outlineLvl w:val="0"/>
        <w:rPr>
          <w:rFonts w:ascii="Times New Roman" w:eastAsiaTheme="majorEastAsia" w:hAnsi="Times New Roman" w:cstheme="majorBidi"/>
          <w:b/>
          <w:vanish/>
          <w:sz w:val="28"/>
          <w:szCs w:val="32"/>
        </w:rPr>
      </w:pPr>
      <w:bookmarkStart w:id="544" w:name="_Toc437861965"/>
      <w:bookmarkStart w:id="545" w:name="_Toc437862641"/>
      <w:bookmarkStart w:id="546" w:name="_Toc437862783"/>
      <w:bookmarkStart w:id="547" w:name="_Toc437877369"/>
      <w:bookmarkStart w:id="548" w:name="_Toc437877567"/>
      <w:bookmarkStart w:id="549" w:name="_Toc437877767"/>
      <w:bookmarkStart w:id="550" w:name="_Toc437877967"/>
      <w:bookmarkStart w:id="551" w:name="_Toc437878170"/>
      <w:bookmarkStart w:id="552" w:name="_Toc437878374"/>
      <w:bookmarkStart w:id="553" w:name="_Toc437878578"/>
      <w:bookmarkStart w:id="554" w:name="_Toc437878782"/>
      <w:bookmarkStart w:id="555" w:name="_Toc439149978"/>
      <w:bookmarkStart w:id="556" w:name="_Toc439150334"/>
      <w:bookmarkStart w:id="557" w:name="_Toc439150531"/>
      <w:bookmarkStart w:id="558" w:name="_Toc485645621"/>
      <w:bookmarkStart w:id="559" w:name="_Toc485645780"/>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68B8734" w14:textId="77777777" w:rsidR="00B569F2" w:rsidRPr="00891B13" w:rsidRDefault="00A63F62" w:rsidP="003301D6">
      <w:pPr>
        <w:pStyle w:val="Nadpis1"/>
        <w:numPr>
          <w:ilvl w:val="0"/>
          <w:numId w:val="6"/>
        </w:numPr>
      </w:pPr>
      <w:bookmarkStart w:id="560" w:name="_Toc485645781"/>
      <w:r w:rsidRPr="00891B13">
        <w:t>Strategický rámec</w:t>
      </w:r>
      <w:bookmarkEnd w:id="560"/>
    </w:p>
    <w:p w14:paraId="21CE98E1" w14:textId="77777777" w:rsidR="00513AE9" w:rsidRDefault="00513AE9" w:rsidP="00513AE9">
      <w:pPr>
        <w:spacing w:after="0" w:line="360" w:lineRule="auto"/>
        <w:jc w:val="both"/>
        <w:rPr>
          <w:rFonts w:ascii="Times New Roman" w:hAnsi="Times New Roman" w:cs="Times New Roman"/>
          <w:sz w:val="24"/>
          <w:szCs w:val="24"/>
        </w:rPr>
      </w:pPr>
    </w:p>
    <w:p w14:paraId="0DCBB20E" w14:textId="77777777" w:rsidR="00513AE9" w:rsidRPr="00E63456" w:rsidRDefault="00513AE9" w:rsidP="00513A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63456">
        <w:rPr>
          <w:rFonts w:ascii="Times New Roman" w:hAnsi="Times New Roman" w:cs="Times New Roman"/>
          <w:sz w:val="24"/>
          <w:szCs w:val="24"/>
        </w:rPr>
        <w:t>Definovanie kľúčových problémov územia a spracovanie strategickej časti prebiehalo na báze spoločných stretnutí členov miestnej akčnej skupiny zloženej z relevantných kľúčových aktérov z verejného, podnikateľského a neziskového sektora.</w:t>
      </w:r>
    </w:p>
    <w:p w14:paraId="5A7A6D0B" w14:textId="77777777" w:rsidR="00513AE9" w:rsidRPr="00E63456" w:rsidRDefault="00513AE9" w:rsidP="00513AE9">
      <w:pPr>
        <w:spacing w:after="0" w:line="360" w:lineRule="auto"/>
        <w:jc w:val="both"/>
        <w:rPr>
          <w:rFonts w:ascii="Times New Roman" w:hAnsi="Times New Roman" w:cs="Times New Roman"/>
          <w:sz w:val="24"/>
          <w:szCs w:val="24"/>
        </w:rPr>
      </w:pPr>
    </w:p>
    <w:p w14:paraId="25B63469" w14:textId="77777777" w:rsidR="00513AE9" w:rsidRPr="00513AE9" w:rsidRDefault="00E10D1E" w:rsidP="00E10D1E">
      <w:pPr>
        <w:pStyle w:val="Nadpis2"/>
        <w:ind w:left="426"/>
      </w:pPr>
      <w:bookmarkStart w:id="561" w:name="_Toc485645782"/>
      <w:r>
        <w:t xml:space="preserve">4.1 </w:t>
      </w:r>
      <w:r w:rsidR="00513AE9" w:rsidRPr="00513AE9">
        <w:t>Definovanie vízie a strategického cieľa</w:t>
      </w:r>
      <w:bookmarkEnd w:id="561"/>
    </w:p>
    <w:p w14:paraId="5A056BD2" w14:textId="77777777" w:rsidR="00513AE9" w:rsidRPr="00E63456" w:rsidRDefault="00513AE9" w:rsidP="00513AE9">
      <w:pPr>
        <w:spacing w:before="120" w:after="0" w:line="360" w:lineRule="auto"/>
        <w:jc w:val="both"/>
        <w:rPr>
          <w:rFonts w:ascii="Times New Roman" w:hAnsi="Times New Roman" w:cs="Times New Roman"/>
          <w:sz w:val="24"/>
          <w:szCs w:val="24"/>
          <w:u w:val="single"/>
        </w:rPr>
      </w:pPr>
      <w:r w:rsidRPr="00E63456">
        <w:rPr>
          <w:rFonts w:ascii="Times New Roman" w:hAnsi="Times New Roman" w:cs="Times New Roman"/>
          <w:sz w:val="24"/>
          <w:szCs w:val="24"/>
          <w:u w:val="single"/>
        </w:rPr>
        <w:t>Vízia do roku 2030</w:t>
      </w:r>
    </w:p>
    <w:p w14:paraId="1D0642AA" w14:textId="77777777" w:rsidR="00513AE9" w:rsidRPr="00E63456" w:rsidRDefault="00513AE9" w:rsidP="00513AE9">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ab/>
      </w:r>
      <w:r w:rsidRPr="00E63456">
        <w:rPr>
          <w:rFonts w:ascii="Times New Roman" w:hAnsi="Times New Roman" w:cs="Times New Roman"/>
          <w:b/>
          <w:i/>
          <w:sz w:val="24"/>
          <w:szCs w:val="24"/>
        </w:rPr>
        <w:t xml:space="preserve">Kopaničiarsky región </w:t>
      </w:r>
      <w:r>
        <w:rPr>
          <w:rFonts w:ascii="Times New Roman" w:hAnsi="Times New Roman" w:cs="Times New Roman"/>
          <w:b/>
          <w:i/>
          <w:sz w:val="24"/>
          <w:szCs w:val="24"/>
        </w:rPr>
        <w:t>ako prosperujúce</w:t>
      </w:r>
      <w:r w:rsidRPr="00112E57">
        <w:rPr>
          <w:rFonts w:ascii="Times New Roman" w:hAnsi="Times New Roman" w:cs="Times New Roman"/>
          <w:b/>
          <w:i/>
          <w:sz w:val="24"/>
          <w:szCs w:val="24"/>
        </w:rPr>
        <w:t xml:space="preserve"> </w:t>
      </w:r>
      <w:r>
        <w:rPr>
          <w:rFonts w:ascii="Times New Roman" w:hAnsi="Times New Roman" w:cs="Times New Roman"/>
          <w:b/>
          <w:i/>
          <w:sz w:val="24"/>
          <w:szCs w:val="24"/>
        </w:rPr>
        <w:t xml:space="preserve">územie </w:t>
      </w:r>
      <w:r w:rsidRPr="00112E57">
        <w:rPr>
          <w:rFonts w:ascii="Times New Roman" w:hAnsi="Times New Roman" w:cs="Times New Roman"/>
          <w:b/>
          <w:i/>
          <w:sz w:val="24"/>
          <w:szCs w:val="24"/>
        </w:rPr>
        <w:t xml:space="preserve">vďaka kvalitnému podnikateľskému prostrediu, efektívnym verejným službám </w:t>
      </w:r>
      <w:r>
        <w:rPr>
          <w:rFonts w:ascii="Times New Roman" w:hAnsi="Times New Roman" w:cs="Times New Roman"/>
          <w:b/>
          <w:i/>
          <w:sz w:val="24"/>
          <w:szCs w:val="24"/>
        </w:rPr>
        <w:t xml:space="preserve">a s </w:t>
      </w:r>
      <w:r w:rsidRPr="00E63456">
        <w:rPr>
          <w:rFonts w:ascii="Times New Roman" w:hAnsi="Times New Roman" w:cs="Times New Roman"/>
          <w:b/>
          <w:i/>
          <w:sz w:val="24"/>
          <w:szCs w:val="24"/>
        </w:rPr>
        <w:t>krás</w:t>
      </w:r>
      <w:r>
        <w:rPr>
          <w:rFonts w:ascii="Times New Roman" w:hAnsi="Times New Roman" w:cs="Times New Roman"/>
          <w:b/>
          <w:i/>
          <w:sz w:val="24"/>
          <w:szCs w:val="24"/>
        </w:rPr>
        <w:t>nym prírodným prostredím pohorí</w:t>
      </w:r>
      <w:r w:rsidRPr="00E63456">
        <w:rPr>
          <w:rFonts w:ascii="Times New Roman" w:hAnsi="Times New Roman" w:cs="Times New Roman"/>
          <w:b/>
          <w:i/>
          <w:sz w:val="24"/>
          <w:szCs w:val="24"/>
        </w:rPr>
        <w:t xml:space="preserve"> Bielych a Malých Karpát</w:t>
      </w:r>
      <w:r>
        <w:rPr>
          <w:rFonts w:ascii="Times New Roman" w:hAnsi="Times New Roman" w:cs="Times New Roman"/>
          <w:b/>
          <w:i/>
          <w:sz w:val="24"/>
          <w:szCs w:val="24"/>
        </w:rPr>
        <w:t xml:space="preserve"> a Myjavskej pahorkatiny, </w:t>
      </w:r>
      <w:r w:rsidRPr="00E63456">
        <w:rPr>
          <w:rFonts w:ascii="Times New Roman" w:hAnsi="Times New Roman" w:cs="Times New Roman"/>
          <w:b/>
          <w:i/>
          <w:sz w:val="24"/>
          <w:szCs w:val="24"/>
        </w:rPr>
        <w:t>ponúka</w:t>
      </w:r>
      <w:r>
        <w:rPr>
          <w:rFonts w:ascii="Times New Roman" w:hAnsi="Times New Roman" w:cs="Times New Roman"/>
          <w:b/>
          <w:i/>
          <w:sz w:val="24"/>
          <w:szCs w:val="24"/>
        </w:rPr>
        <w:t>júcim</w:t>
      </w:r>
      <w:r w:rsidRPr="00E63456">
        <w:rPr>
          <w:rFonts w:ascii="Times New Roman" w:hAnsi="Times New Roman" w:cs="Times New Roman"/>
          <w:b/>
          <w:i/>
          <w:sz w:val="24"/>
          <w:szCs w:val="24"/>
        </w:rPr>
        <w:t xml:space="preserve"> bývanie v atraktívnom vidieckom prostredí a</w:t>
      </w:r>
      <w:r>
        <w:rPr>
          <w:rFonts w:ascii="Times New Roman" w:hAnsi="Times New Roman" w:cs="Times New Roman"/>
          <w:b/>
          <w:i/>
          <w:sz w:val="24"/>
          <w:szCs w:val="24"/>
        </w:rPr>
        <w:t> možnosť hodnotne stráveného</w:t>
      </w:r>
      <w:r w:rsidRPr="00E63456">
        <w:rPr>
          <w:rFonts w:ascii="Times New Roman" w:hAnsi="Times New Roman" w:cs="Times New Roman"/>
          <w:b/>
          <w:i/>
          <w:sz w:val="24"/>
          <w:szCs w:val="24"/>
        </w:rPr>
        <w:t xml:space="preserve"> čas</w:t>
      </w:r>
      <w:r>
        <w:rPr>
          <w:rFonts w:ascii="Times New Roman" w:hAnsi="Times New Roman" w:cs="Times New Roman"/>
          <w:b/>
          <w:i/>
          <w:sz w:val="24"/>
          <w:szCs w:val="24"/>
        </w:rPr>
        <w:t>u relaxu</w:t>
      </w:r>
      <w:r w:rsidRPr="00E63456">
        <w:rPr>
          <w:rFonts w:ascii="Times New Roman" w:hAnsi="Times New Roman" w:cs="Times New Roman"/>
          <w:b/>
          <w:i/>
          <w:sz w:val="24"/>
          <w:szCs w:val="24"/>
        </w:rPr>
        <w:t xml:space="preserve"> a oddychu s</w:t>
      </w:r>
      <w:r>
        <w:rPr>
          <w:rFonts w:ascii="Times New Roman" w:hAnsi="Times New Roman" w:cs="Times New Roman"/>
          <w:b/>
          <w:i/>
          <w:sz w:val="24"/>
          <w:szCs w:val="24"/>
        </w:rPr>
        <w:t> využitím širokej ponuky</w:t>
      </w:r>
      <w:r w:rsidRPr="00E63456">
        <w:rPr>
          <w:rFonts w:ascii="Times New Roman" w:hAnsi="Times New Roman" w:cs="Times New Roman"/>
          <w:b/>
          <w:i/>
          <w:sz w:val="24"/>
          <w:szCs w:val="24"/>
        </w:rPr>
        <w:t xml:space="preserve"> špecifických produktov a služieb </w:t>
      </w:r>
      <w:r>
        <w:rPr>
          <w:rFonts w:ascii="Times New Roman" w:hAnsi="Times New Roman" w:cs="Times New Roman"/>
          <w:b/>
          <w:i/>
          <w:sz w:val="24"/>
          <w:szCs w:val="24"/>
        </w:rPr>
        <w:t xml:space="preserve">vidieckeho </w:t>
      </w:r>
      <w:r w:rsidRPr="00E63456">
        <w:rPr>
          <w:rFonts w:ascii="Times New Roman" w:hAnsi="Times New Roman" w:cs="Times New Roman"/>
          <w:b/>
          <w:i/>
          <w:sz w:val="24"/>
          <w:szCs w:val="24"/>
        </w:rPr>
        <w:t xml:space="preserve">cestovného ruchu typických pre </w:t>
      </w:r>
      <w:r>
        <w:rPr>
          <w:rFonts w:ascii="Times New Roman" w:hAnsi="Times New Roman" w:cs="Times New Roman"/>
          <w:b/>
          <w:i/>
          <w:sz w:val="24"/>
          <w:szCs w:val="24"/>
        </w:rPr>
        <w:t>k</w:t>
      </w:r>
      <w:r w:rsidRPr="00E63456">
        <w:rPr>
          <w:rFonts w:ascii="Times New Roman" w:hAnsi="Times New Roman" w:cs="Times New Roman"/>
          <w:b/>
          <w:i/>
          <w:sz w:val="24"/>
          <w:szCs w:val="24"/>
        </w:rPr>
        <w:t>opaničiarsky región.</w:t>
      </w:r>
      <w:r>
        <w:rPr>
          <w:rFonts w:ascii="Times New Roman" w:hAnsi="Times New Roman" w:cs="Times New Roman"/>
          <w:b/>
          <w:i/>
          <w:sz w:val="24"/>
          <w:szCs w:val="24"/>
        </w:rPr>
        <w:t xml:space="preserve"> Bohatá</w:t>
      </w:r>
      <w:r w:rsidRPr="00E63456">
        <w:rPr>
          <w:rFonts w:ascii="Times New Roman" w:hAnsi="Times New Roman" w:cs="Times New Roman"/>
          <w:b/>
          <w:i/>
          <w:sz w:val="24"/>
          <w:szCs w:val="24"/>
        </w:rPr>
        <w:t xml:space="preserve"> históri</w:t>
      </w:r>
      <w:r>
        <w:rPr>
          <w:rFonts w:ascii="Times New Roman" w:hAnsi="Times New Roman" w:cs="Times New Roman"/>
          <w:b/>
          <w:i/>
          <w:sz w:val="24"/>
          <w:szCs w:val="24"/>
        </w:rPr>
        <w:t>a</w:t>
      </w:r>
      <w:r w:rsidRPr="00E63456">
        <w:rPr>
          <w:rFonts w:ascii="Times New Roman" w:hAnsi="Times New Roman" w:cs="Times New Roman"/>
          <w:b/>
          <w:i/>
          <w:sz w:val="24"/>
          <w:szCs w:val="24"/>
        </w:rPr>
        <w:t>, ľudové tradície, folklór a</w:t>
      </w:r>
      <w:r>
        <w:rPr>
          <w:rFonts w:ascii="Times New Roman" w:hAnsi="Times New Roman" w:cs="Times New Roman"/>
          <w:b/>
          <w:i/>
          <w:sz w:val="24"/>
          <w:szCs w:val="24"/>
        </w:rPr>
        <w:t xml:space="preserve"> zachovaná</w:t>
      </w:r>
      <w:r w:rsidRPr="00E63456">
        <w:rPr>
          <w:rFonts w:ascii="Times New Roman" w:hAnsi="Times New Roman" w:cs="Times New Roman"/>
          <w:b/>
          <w:i/>
          <w:sz w:val="24"/>
          <w:szCs w:val="24"/>
        </w:rPr>
        <w:t xml:space="preserve"> tradičná architektúra sú základnými atribútmi</w:t>
      </w:r>
      <w:r>
        <w:rPr>
          <w:rFonts w:ascii="Times New Roman" w:hAnsi="Times New Roman" w:cs="Times New Roman"/>
          <w:b/>
          <w:i/>
          <w:sz w:val="24"/>
          <w:szCs w:val="24"/>
        </w:rPr>
        <w:t xml:space="preserve"> identity</w:t>
      </w:r>
      <w:r w:rsidRPr="00E63456">
        <w:rPr>
          <w:rFonts w:ascii="Times New Roman" w:hAnsi="Times New Roman" w:cs="Times New Roman"/>
          <w:b/>
          <w:i/>
          <w:sz w:val="24"/>
          <w:szCs w:val="24"/>
        </w:rPr>
        <w:t xml:space="preserve"> územia.</w:t>
      </w:r>
      <w:r>
        <w:rPr>
          <w:rFonts w:ascii="Times New Roman" w:hAnsi="Times New Roman" w:cs="Times New Roman"/>
          <w:b/>
          <w:i/>
          <w:sz w:val="24"/>
          <w:szCs w:val="24"/>
        </w:rPr>
        <w:t xml:space="preserve"> </w:t>
      </w:r>
    </w:p>
    <w:p w14:paraId="14383267" w14:textId="77777777" w:rsidR="00513AE9" w:rsidRPr="00E63456" w:rsidRDefault="00513AE9" w:rsidP="00513AE9">
      <w:pPr>
        <w:spacing w:after="0" w:line="360" w:lineRule="auto"/>
        <w:jc w:val="both"/>
        <w:rPr>
          <w:rFonts w:ascii="Times New Roman" w:hAnsi="Times New Roman" w:cs="Times New Roman"/>
          <w:sz w:val="24"/>
          <w:szCs w:val="24"/>
        </w:rPr>
      </w:pPr>
    </w:p>
    <w:p w14:paraId="4AF24733" w14:textId="77777777" w:rsidR="00513AE9" w:rsidRPr="00E63456" w:rsidRDefault="00513AE9" w:rsidP="00513AE9">
      <w:pPr>
        <w:spacing w:after="0" w:line="360" w:lineRule="auto"/>
        <w:jc w:val="both"/>
        <w:rPr>
          <w:rFonts w:ascii="Times New Roman" w:hAnsi="Times New Roman" w:cs="Times New Roman"/>
          <w:sz w:val="24"/>
          <w:szCs w:val="24"/>
        </w:rPr>
      </w:pPr>
      <w:r w:rsidRPr="00E63456">
        <w:rPr>
          <w:rFonts w:ascii="Times New Roman" w:hAnsi="Times New Roman" w:cs="Times New Roman"/>
          <w:sz w:val="24"/>
          <w:szCs w:val="24"/>
        </w:rPr>
        <w:t>Integrovaná stratégia je v zmysle logiky programu postavená na troch strategických prioritách, do ktorých bude Kopaničiarsky región – miestna akčná skupina v nasledujúcich rokoch investovať svoju energiu, čas, finančné prostriedky a zhodnocovať vlastné vnútorné zdroje. Očakávaná zmena je sformulovaná do špecifických cieľov, ktoré spadajú pod t</w:t>
      </w:r>
      <w:r>
        <w:rPr>
          <w:rFonts w:ascii="Times New Roman" w:hAnsi="Times New Roman" w:cs="Times New Roman"/>
          <w:sz w:val="24"/>
          <w:szCs w:val="24"/>
        </w:rPr>
        <w:t>ento</w:t>
      </w:r>
      <w:r w:rsidRPr="00E63456">
        <w:rPr>
          <w:rFonts w:ascii="Times New Roman" w:hAnsi="Times New Roman" w:cs="Times New Roman"/>
          <w:sz w:val="24"/>
          <w:szCs w:val="24"/>
        </w:rPr>
        <w:t xml:space="preserve"> strategick</w:t>
      </w:r>
      <w:r>
        <w:rPr>
          <w:rFonts w:ascii="Times New Roman" w:hAnsi="Times New Roman" w:cs="Times New Roman"/>
          <w:sz w:val="24"/>
          <w:szCs w:val="24"/>
        </w:rPr>
        <w:t>ý</w:t>
      </w:r>
      <w:r w:rsidRPr="00E63456">
        <w:rPr>
          <w:rFonts w:ascii="Times New Roman" w:hAnsi="Times New Roman" w:cs="Times New Roman"/>
          <w:sz w:val="24"/>
          <w:szCs w:val="24"/>
        </w:rPr>
        <w:t xml:space="preserve"> </w:t>
      </w:r>
      <w:r>
        <w:rPr>
          <w:rFonts w:ascii="Times New Roman" w:hAnsi="Times New Roman" w:cs="Times New Roman"/>
          <w:sz w:val="24"/>
          <w:szCs w:val="24"/>
        </w:rPr>
        <w:t>cieľ</w:t>
      </w:r>
      <w:r w:rsidRPr="00E63456">
        <w:rPr>
          <w:rFonts w:ascii="Times New Roman" w:hAnsi="Times New Roman" w:cs="Times New Roman"/>
          <w:sz w:val="24"/>
          <w:szCs w:val="24"/>
        </w:rPr>
        <w:t>.</w:t>
      </w:r>
    </w:p>
    <w:p w14:paraId="4BA248B1" w14:textId="77777777" w:rsidR="00513AE9" w:rsidRPr="00E63456" w:rsidRDefault="00134DCA" w:rsidP="00513AE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w14:anchorId="3DA9F2EA">
          <v:rect id="Obdélník 1" o:spid="_x0000_s1149" style="position:absolute;left:0;text-align:left;margin-left:-4.1pt;margin-top:18.75pt;width:464.25pt;height:102.75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" fillcolor="#ff6" strokecolor="white [3212]" strokeweight="1pt"/>
        </w:pict>
      </w:r>
    </w:p>
    <w:p w14:paraId="2BCB8DFC" w14:textId="77777777" w:rsidR="00513AE9" w:rsidRPr="00E63456" w:rsidRDefault="00513AE9" w:rsidP="00513AE9">
      <w:pPr>
        <w:spacing w:after="0" w:line="360" w:lineRule="auto"/>
        <w:jc w:val="both"/>
        <w:rPr>
          <w:rFonts w:ascii="Times New Roman" w:hAnsi="Times New Roman" w:cs="Times New Roman"/>
          <w:sz w:val="24"/>
          <w:szCs w:val="24"/>
          <w:u w:val="single"/>
        </w:rPr>
      </w:pPr>
      <w:r w:rsidRPr="00E63456">
        <w:rPr>
          <w:rFonts w:ascii="Times New Roman" w:hAnsi="Times New Roman" w:cs="Times New Roman"/>
          <w:sz w:val="24"/>
          <w:szCs w:val="24"/>
          <w:u w:val="single"/>
        </w:rPr>
        <w:t>Strategický cieľ:</w:t>
      </w:r>
    </w:p>
    <w:p w14:paraId="3B12D4AA" w14:textId="77777777" w:rsidR="00513AE9" w:rsidRPr="00E63456" w:rsidRDefault="00513AE9" w:rsidP="00513AE9">
      <w:pPr>
        <w:spacing w:after="0" w:line="360" w:lineRule="auto"/>
        <w:jc w:val="both"/>
        <w:rPr>
          <w:rFonts w:ascii="Times New Roman" w:hAnsi="Times New Roman" w:cs="Times New Roman"/>
          <w:b/>
          <w:sz w:val="24"/>
          <w:szCs w:val="24"/>
        </w:rPr>
      </w:pPr>
      <w:r w:rsidRPr="00E63456">
        <w:rPr>
          <w:rFonts w:ascii="Times New Roman" w:hAnsi="Times New Roman" w:cs="Times New Roman"/>
          <w:b/>
          <w:sz w:val="24"/>
          <w:szCs w:val="24"/>
        </w:rPr>
        <w:t xml:space="preserve">Zvýšiť </w:t>
      </w:r>
      <w:r>
        <w:rPr>
          <w:rFonts w:ascii="Times New Roman" w:hAnsi="Times New Roman" w:cs="Times New Roman"/>
          <w:b/>
          <w:sz w:val="24"/>
          <w:szCs w:val="24"/>
        </w:rPr>
        <w:t>prosperitu</w:t>
      </w:r>
      <w:r w:rsidRPr="00564D66">
        <w:rPr>
          <w:rFonts w:ascii="Times New Roman" w:hAnsi="Times New Roman" w:cs="Times New Roman"/>
          <w:b/>
          <w:sz w:val="24"/>
          <w:szCs w:val="24"/>
        </w:rPr>
        <w:t xml:space="preserve"> </w:t>
      </w:r>
      <w:r w:rsidRPr="00E63456">
        <w:rPr>
          <w:rFonts w:ascii="Times New Roman" w:hAnsi="Times New Roman" w:cs="Times New Roman"/>
          <w:b/>
          <w:sz w:val="24"/>
          <w:szCs w:val="24"/>
        </w:rPr>
        <w:t>a atraktivitu územia „Kopaničiarsky región – mie</w:t>
      </w:r>
      <w:r>
        <w:rPr>
          <w:rFonts w:ascii="Times New Roman" w:hAnsi="Times New Roman" w:cs="Times New Roman"/>
          <w:b/>
          <w:sz w:val="24"/>
          <w:szCs w:val="24"/>
        </w:rPr>
        <w:t>stna akčná skupina“ do roku 2022</w:t>
      </w:r>
      <w:r w:rsidRPr="00E63456">
        <w:rPr>
          <w:rFonts w:ascii="Times New Roman" w:hAnsi="Times New Roman" w:cs="Times New Roman"/>
          <w:b/>
          <w:sz w:val="24"/>
          <w:szCs w:val="24"/>
        </w:rPr>
        <w:t xml:space="preserve"> </w:t>
      </w:r>
      <w:r w:rsidRPr="00564D66">
        <w:rPr>
          <w:rFonts w:ascii="Times New Roman" w:hAnsi="Times New Roman" w:cs="Times New Roman"/>
          <w:b/>
          <w:sz w:val="24"/>
          <w:szCs w:val="24"/>
        </w:rPr>
        <w:t>prostredníctvom kvalitného podnikateľského prostredia, efekt</w:t>
      </w:r>
      <w:r>
        <w:rPr>
          <w:rFonts w:ascii="Times New Roman" w:hAnsi="Times New Roman" w:cs="Times New Roman"/>
          <w:b/>
          <w:sz w:val="24"/>
          <w:szCs w:val="24"/>
        </w:rPr>
        <w:t>ívnych verejných služieb</w:t>
      </w:r>
      <w:r w:rsidRPr="00564D66">
        <w:rPr>
          <w:rFonts w:ascii="Times New Roman" w:hAnsi="Times New Roman" w:cs="Times New Roman"/>
          <w:b/>
          <w:sz w:val="24"/>
          <w:szCs w:val="24"/>
        </w:rPr>
        <w:t xml:space="preserve"> </w:t>
      </w:r>
      <w:r w:rsidRPr="00E63456">
        <w:rPr>
          <w:rFonts w:ascii="Times New Roman" w:hAnsi="Times New Roman" w:cs="Times New Roman"/>
          <w:b/>
          <w:sz w:val="24"/>
          <w:szCs w:val="24"/>
        </w:rPr>
        <w:t xml:space="preserve">a rozvojom vidieckeho cestovného ruchu prezentujúceho špecifiká </w:t>
      </w:r>
      <w:r w:rsidRPr="009B48D7">
        <w:rPr>
          <w:rFonts w:ascii="Times New Roman" w:hAnsi="Times New Roman" w:cs="Times New Roman"/>
          <w:b/>
          <w:sz w:val="24"/>
          <w:szCs w:val="24"/>
        </w:rPr>
        <w:t>Kopaničiarskeho regiónu.</w:t>
      </w:r>
    </w:p>
    <w:p w14:paraId="5C75489C" w14:textId="77777777" w:rsidR="00513AE9" w:rsidRPr="00E63456" w:rsidRDefault="00513AE9" w:rsidP="00513AE9">
      <w:pPr>
        <w:spacing w:after="0" w:line="360" w:lineRule="auto"/>
        <w:jc w:val="both"/>
        <w:rPr>
          <w:rFonts w:ascii="Times New Roman" w:hAnsi="Times New Roman" w:cs="Times New Roman"/>
          <w:sz w:val="24"/>
          <w:szCs w:val="24"/>
        </w:rPr>
      </w:pPr>
    </w:p>
    <w:p w14:paraId="1A6F741F" w14:textId="77777777" w:rsidR="00513AE9" w:rsidRDefault="00513AE9" w:rsidP="00513A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64D66">
        <w:rPr>
          <w:rFonts w:ascii="Times New Roman" w:hAnsi="Times New Roman" w:cs="Times New Roman"/>
          <w:sz w:val="24"/>
          <w:szCs w:val="24"/>
        </w:rPr>
        <w:t xml:space="preserve">Znamená to využiť potenciál </w:t>
      </w:r>
      <w:r>
        <w:rPr>
          <w:rFonts w:ascii="Times New Roman" w:hAnsi="Times New Roman" w:cs="Times New Roman"/>
          <w:sz w:val="24"/>
          <w:szCs w:val="24"/>
        </w:rPr>
        <w:t>regiónu</w:t>
      </w:r>
      <w:r w:rsidRPr="00564D66">
        <w:rPr>
          <w:rFonts w:ascii="Times New Roman" w:hAnsi="Times New Roman" w:cs="Times New Roman"/>
          <w:sz w:val="24"/>
          <w:szCs w:val="24"/>
        </w:rPr>
        <w:t xml:space="preserve"> a dostupné možnosti získania finančných prostriedkov na realizáciu rozvojových činností, ale tiež sústavnú prácu s jednotlivcami a organizáciami. Kvalitu života obyvateľov podmieňuje okrem iného občianska vybavenosť, fungujúca technická a dopravná infraštruktúra. Je dôležité ponúknuť obyvateľom a návštevníkom možnosti  na trávenie voľného času na území </w:t>
      </w:r>
      <w:r>
        <w:rPr>
          <w:rFonts w:ascii="Times New Roman" w:hAnsi="Times New Roman" w:cs="Times New Roman"/>
          <w:sz w:val="24"/>
          <w:szCs w:val="24"/>
        </w:rPr>
        <w:t>regiónu</w:t>
      </w:r>
      <w:r w:rsidRPr="00564D66">
        <w:rPr>
          <w:rFonts w:ascii="Times New Roman" w:hAnsi="Times New Roman" w:cs="Times New Roman"/>
          <w:sz w:val="24"/>
          <w:szCs w:val="24"/>
        </w:rPr>
        <w:t xml:space="preserve">. Rozvoj v tejto oblasti je </w:t>
      </w:r>
      <w:r w:rsidRPr="00564D66">
        <w:rPr>
          <w:rFonts w:ascii="Times New Roman" w:hAnsi="Times New Roman" w:cs="Times New Roman"/>
          <w:sz w:val="24"/>
          <w:szCs w:val="24"/>
        </w:rPr>
        <w:lastRenderedPageBreak/>
        <w:t xml:space="preserve">podmienený vybudovaním lepšej turistickej infraštruktúry a vytvorením kvalitných tovarov, služieb a ďalších aktivít, ktoré budú viesť k rozvoju vidieckej turistiky a agroturistiky v spolupráci so všetkými zainteresovanými subjektmi. </w:t>
      </w:r>
      <w:r w:rsidRPr="00E739D2">
        <w:rPr>
          <w:rFonts w:ascii="Times New Roman" w:hAnsi="Times New Roman" w:cs="Times New Roman"/>
          <w:sz w:val="24"/>
          <w:szCs w:val="24"/>
        </w:rPr>
        <w:t>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napojenosť na dopravné koridory v dostatočnom čase a kvalite. Stratégia v oblasti životného prostredia je zameraná na zlepšenie situácie zavádzaním nových ekologických metód výroby energie, novým prístupom občanov k ochrane životného prostredia. Stratégia je založená na eliminácii kľúčových disparít, ktoré sú bariérou rozvoja a na využití pozitívnych výhod, ktoré poskytujú príležitosti pre dlhodobý rast. To je možné uskutočniť len na úrovni partnerstva spoluprácou verejného a súkromného sektora a integrovaným prístupom k riešeniu ekonomických, sociálnych a environmentálnych aspektov. Uvedené ciele korešpondujú s hlavnými cieľmi defino</w:t>
      </w:r>
      <w:r>
        <w:rPr>
          <w:rFonts w:ascii="Times New Roman" w:hAnsi="Times New Roman" w:cs="Times New Roman"/>
          <w:sz w:val="24"/>
          <w:szCs w:val="24"/>
        </w:rPr>
        <w:t>vanými v PH</w:t>
      </w:r>
      <w:r w:rsidRPr="00E739D2">
        <w:rPr>
          <w:rFonts w:ascii="Times New Roman" w:hAnsi="Times New Roman" w:cs="Times New Roman"/>
          <w:sz w:val="24"/>
          <w:szCs w:val="24"/>
        </w:rPr>
        <w:t>SR Trenčianskeho samosprávneho kraja a podporujú jeho naplnenie.</w:t>
      </w:r>
    </w:p>
    <w:p w14:paraId="40C68EDF" w14:textId="77777777" w:rsidR="00513AE9" w:rsidRDefault="00513AE9" w:rsidP="00513A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64D66">
        <w:rPr>
          <w:rFonts w:ascii="Times New Roman" w:hAnsi="Times New Roman" w:cs="Times New Roman"/>
          <w:sz w:val="24"/>
          <w:szCs w:val="24"/>
        </w:rPr>
        <w:t xml:space="preserve">Na základe uvedených skutočností boli navrhnuté jednotlivé aktivity, ktoré pri ich postupnej realizácii budú viesť k napĺňaniu strategického cieľa </w:t>
      </w:r>
      <w:r>
        <w:rPr>
          <w:rFonts w:ascii="Times New Roman" w:hAnsi="Times New Roman" w:cs="Times New Roman"/>
          <w:sz w:val="24"/>
          <w:szCs w:val="24"/>
        </w:rPr>
        <w:t>regiónu</w:t>
      </w:r>
      <w:r w:rsidRPr="00564D66">
        <w:rPr>
          <w:rFonts w:ascii="Times New Roman" w:hAnsi="Times New Roman" w:cs="Times New Roman"/>
          <w:sz w:val="24"/>
          <w:szCs w:val="24"/>
        </w:rPr>
        <w:t>.</w:t>
      </w:r>
    </w:p>
    <w:p w14:paraId="1C63D10A" w14:textId="77777777" w:rsidR="00513AE9" w:rsidRPr="00E63456" w:rsidRDefault="00513AE9" w:rsidP="00513AE9">
      <w:pPr>
        <w:spacing w:after="0" w:line="360" w:lineRule="auto"/>
        <w:jc w:val="both"/>
        <w:rPr>
          <w:rFonts w:ascii="Times New Roman" w:hAnsi="Times New Roman" w:cs="Times New Roman"/>
          <w:sz w:val="24"/>
          <w:szCs w:val="24"/>
        </w:rPr>
      </w:pPr>
    </w:p>
    <w:p w14:paraId="3C571FCF" w14:textId="77777777" w:rsidR="00513AE9" w:rsidRPr="00E10D1E" w:rsidRDefault="00E10D1E" w:rsidP="00E10D1E">
      <w:pPr>
        <w:pStyle w:val="Nadpis2"/>
        <w:ind w:left="426"/>
      </w:pPr>
      <w:bookmarkStart w:id="562" w:name="_Toc485645783"/>
      <w:r>
        <w:t xml:space="preserve">4.2 </w:t>
      </w:r>
      <w:r w:rsidR="00513AE9" w:rsidRPr="00E10D1E">
        <w:t>Stanovenie priorít, špecifických cieľov a opatrení</w:t>
      </w:r>
      <w:bookmarkEnd w:id="562"/>
    </w:p>
    <w:p w14:paraId="756C245C" w14:textId="77777777" w:rsidR="00513AE9" w:rsidRPr="00E63456" w:rsidRDefault="00513AE9" w:rsidP="00513AE9">
      <w:pPr>
        <w:spacing w:after="0" w:line="360" w:lineRule="auto"/>
        <w:jc w:val="both"/>
        <w:rPr>
          <w:rFonts w:ascii="Times New Roman" w:hAnsi="Times New Roman" w:cs="Times New Roman"/>
          <w:sz w:val="24"/>
          <w:szCs w:val="24"/>
          <w:u w:val="single"/>
        </w:rPr>
      </w:pPr>
      <w:r w:rsidRPr="00E63456">
        <w:rPr>
          <w:rFonts w:ascii="Times New Roman" w:hAnsi="Times New Roman" w:cs="Times New Roman"/>
          <w:sz w:val="24"/>
          <w:szCs w:val="24"/>
          <w:u w:val="single"/>
        </w:rPr>
        <w:t>Špecifické ciele:</w:t>
      </w:r>
    </w:p>
    <w:p w14:paraId="50BBC74B" w14:textId="77777777" w:rsidR="00513AE9" w:rsidRPr="00E63456" w:rsidRDefault="00513AE9" w:rsidP="003301D6">
      <w:pPr>
        <w:pStyle w:val="Odsekzoznamu"/>
        <w:numPr>
          <w:ilvl w:val="0"/>
          <w:numId w:val="27"/>
        </w:numPr>
        <w:spacing w:after="0" w:line="360" w:lineRule="auto"/>
        <w:jc w:val="both"/>
        <w:rPr>
          <w:rFonts w:ascii="Times New Roman" w:hAnsi="Times New Roman" w:cs="Times New Roman"/>
          <w:i/>
          <w:iCs/>
          <w:sz w:val="24"/>
          <w:szCs w:val="24"/>
        </w:rPr>
      </w:pPr>
      <w:r w:rsidRPr="00E63456">
        <w:rPr>
          <w:rFonts w:ascii="Times New Roman" w:hAnsi="Times New Roman" w:cs="Times New Roman"/>
          <w:i/>
          <w:iCs/>
          <w:sz w:val="24"/>
          <w:szCs w:val="24"/>
        </w:rPr>
        <w:t>Špecifický cieľ 1.1 Zvýšenie kvality infraštruktúry a verejných služieb</w:t>
      </w:r>
    </w:p>
    <w:p w14:paraId="4ED97B69" w14:textId="77777777" w:rsidR="00513AE9" w:rsidRPr="00E63456" w:rsidRDefault="00513AE9" w:rsidP="003301D6">
      <w:pPr>
        <w:pStyle w:val="Odsekzoznamu"/>
        <w:numPr>
          <w:ilvl w:val="0"/>
          <w:numId w:val="27"/>
        </w:numPr>
        <w:spacing w:after="0" w:line="360" w:lineRule="auto"/>
        <w:jc w:val="both"/>
        <w:rPr>
          <w:rFonts w:ascii="Times New Roman" w:hAnsi="Times New Roman" w:cs="Times New Roman"/>
          <w:i/>
          <w:iCs/>
          <w:sz w:val="24"/>
          <w:szCs w:val="24"/>
        </w:rPr>
      </w:pPr>
      <w:r w:rsidRPr="00E63456">
        <w:rPr>
          <w:rFonts w:ascii="Times New Roman" w:hAnsi="Times New Roman" w:cs="Times New Roman"/>
          <w:i/>
          <w:iCs/>
          <w:sz w:val="24"/>
          <w:szCs w:val="24"/>
        </w:rPr>
        <w:t>Špecifický cieľ 2.1 Zlepšiť podmienky pre rozvoj potenciálu vidieckeho cestovného ruchu a spolupráce</w:t>
      </w:r>
    </w:p>
    <w:p w14:paraId="08604BF5" w14:textId="77777777" w:rsidR="00513AE9" w:rsidRPr="00E63456" w:rsidRDefault="00513AE9" w:rsidP="003301D6">
      <w:pPr>
        <w:pStyle w:val="Odsekzoznamu"/>
        <w:numPr>
          <w:ilvl w:val="0"/>
          <w:numId w:val="27"/>
        </w:numPr>
        <w:spacing w:after="0" w:line="360" w:lineRule="auto"/>
        <w:jc w:val="both"/>
        <w:rPr>
          <w:rFonts w:ascii="Times New Roman" w:hAnsi="Times New Roman" w:cs="Times New Roman"/>
          <w:sz w:val="24"/>
          <w:szCs w:val="24"/>
        </w:rPr>
      </w:pPr>
      <w:r w:rsidRPr="00E63456">
        <w:rPr>
          <w:rFonts w:ascii="Times New Roman" w:hAnsi="Times New Roman" w:cs="Times New Roman"/>
          <w:i/>
          <w:iCs/>
          <w:sz w:val="24"/>
          <w:szCs w:val="24"/>
        </w:rPr>
        <w:t>Špecifický cieľ 3.1 Vytvoriť kvalitné podmienky pre rozvoj podnikania</w:t>
      </w:r>
    </w:p>
    <w:p w14:paraId="714E9D30" w14:textId="77777777" w:rsidR="00513AE9" w:rsidRPr="00E63456" w:rsidRDefault="00513AE9" w:rsidP="00513AE9">
      <w:pPr>
        <w:spacing w:after="0" w:line="360" w:lineRule="auto"/>
        <w:jc w:val="both"/>
        <w:rPr>
          <w:rFonts w:ascii="Times New Roman" w:hAnsi="Times New Roman" w:cs="Times New Roman"/>
          <w:sz w:val="24"/>
          <w:szCs w:val="24"/>
        </w:rPr>
      </w:pPr>
      <w:r w:rsidRPr="00E63456">
        <w:rPr>
          <w:rFonts w:ascii="Times New Roman" w:hAnsi="Times New Roman" w:cs="Times New Roman"/>
          <w:sz w:val="24"/>
          <w:szCs w:val="24"/>
        </w:rPr>
        <w:t xml:space="preserve"> </w:t>
      </w:r>
    </w:p>
    <w:p w14:paraId="6FF13A90" w14:textId="77777777" w:rsidR="00513AE9" w:rsidRPr="00E63456" w:rsidRDefault="00513AE9" w:rsidP="00513AE9">
      <w:pPr>
        <w:spacing w:after="0" w:line="360" w:lineRule="auto"/>
        <w:jc w:val="both"/>
        <w:rPr>
          <w:rFonts w:ascii="Times New Roman" w:hAnsi="Times New Roman" w:cs="Times New Roman"/>
          <w:sz w:val="24"/>
          <w:szCs w:val="24"/>
        </w:rPr>
      </w:pPr>
      <w:r w:rsidRPr="00E63456">
        <w:rPr>
          <w:rFonts w:ascii="Times New Roman" w:hAnsi="Times New Roman" w:cs="Times New Roman"/>
          <w:sz w:val="24"/>
          <w:szCs w:val="24"/>
        </w:rPr>
        <w:t>V rámci uvedených špecifických cieľov vychádzajúc z potrieb územia sú navrhnuté nasledovné priority a opatrenia:</w:t>
      </w:r>
    </w:p>
    <w:p w14:paraId="14609788" w14:textId="77777777" w:rsidR="00513AE9" w:rsidRPr="00F84EB6" w:rsidRDefault="00513AE9" w:rsidP="003301D6">
      <w:pPr>
        <w:pStyle w:val="Odsekzoznamu"/>
        <w:numPr>
          <w:ilvl w:val="0"/>
          <w:numId w:val="27"/>
        </w:numPr>
        <w:spacing w:after="0" w:line="360" w:lineRule="auto"/>
        <w:jc w:val="both"/>
        <w:rPr>
          <w:rFonts w:ascii="Times New Roman" w:hAnsi="Times New Roman" w:cs="Times New Roman"/>
          <w:b/>
          <w:sz w:val="24"/>
          <w:szCs w:val="24"/>
        </w:rPr>
      </w:pPr>
      <w:r w:rsidRPr="00F84EB6">
        <w:rPr>
          <w:rFonts w:ascii="Times New Roman" w:hAnsi="Times New Roman" w:cs="Times New Roman"/>
          <w:b/>
          <w:sz w:val="24"/>
          <w:szCs w:val="24"/>
        </w:rPr>
        <w:t>Priorita 1 Kvalitné verejné služby a občianska vybavenosť pre vidiecke obyvateľstvo</w:t>
      </w:r>
      <w:r w:rsidRPr="00F84EB6" w:rsidDel="001C3F13">
        <w:rPr>
          <w:rFonts w:ascii="Times New Roman" w:hAnsi="Times New Roman" w:cs="Times New Roman"/>
          <w:b/>
          <w:sz w:val="24"/>
          <w:szCs w:val="24"/>
        </w:rPr>
        <w:t xml:space="preserve"> </w:t>
      </w:r>
    </w:p>
    <w:p w14:paraId="58A20190" w14:textId="77777777" w:rsidR="00513AE9" w:rsidRPr="003C6570" w:rsidRDefault="00513AE9" w:rsidP="003301D6">
      <w:pPr>
        <w:pStyle w:val="Odsekzoznamu"/>
        <w:numPr>
          <w:ilvl w:val="0"/>
          <w:numId w:val="27"/>
        </w:numPr>
        <w:spacing w:after="0" w:line="360" w:lineRule="auto"/>
        <w:jc w:val="both"/>
        <w:rPr>
          <w:rFonts w:ascii="Times New Roman" w:hAnsi="Times New Roman" w:cs="Times New Roman"/>
          <w:sz w:val="24"/>
          <w:szCs w:val="24"/>
        </w:rPr>
      </w:pPr>
      <w:r w:rsidRPr="00E63456">
        <w:rPr>
          <w:rFonts w:ascii="Times New Roman" w:hAnsi="Times New Roman" w:cs="Times New Roman"/>
          <w:i/>
          <w:sz w:val="24"/>
          <w:szCs w:val="24"/>
        </w:rPr>
        <w:t xml:space="preserve">Špecifický cieľ 1.1 </w:t>
      </w:r>
      <w:r w:rsidRPr="00E63456">
        <w:rPr>
          <w:rFonts w:ascii="Times New Roman" w:hAnsi="Times New Roman" w:cs="Times New Roman"/>
          <w:i/>
          <w:iCs/>
          <w:sz w:val="24"/>
          <w:szCs w:val="24"/>
        </w:rPr>
        <w:t>Zvýšenie kvality infraštruktúry a verejných služieb</w:t>
      </w:r>
    </w:p>
    <w:p w14:paraId="5A22E440" w14:textId="77777777" w:rsidR="00513AE9" w:rsidRDefault="00513AE9" w:rsidP="00513AE9">
      <w:pPr>
        <w:pStyle w:val="Odsekzoznamu"/>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 xml:space="preserve">Špecifický cieľ </w:t>
      </w:r>
      <w:r>
        <w:rPr>
          <w:rFonts w:ascii="Times New Roman" w:hAnsi="Times New Roman" w:cs="Times New Roman"/>
          <w:sz w:val="24"/>
          <w:szCs w:val="24"/>
        </w:rPr>
        <w:t xml:space="preserve">prispieva </w:t>
      </w:r>
      <w:r w:rsidRPr="00F84EB6">
        <w:rPr>
          <w:rFonts w:ascii="Times New Roman" w:hAnsi="Times New Roman" w:cs="Times New Roman"/>
          <w:sz w:val="24"/>
          <w:szCs w:val="24"/>
        </w:rPr>
        <w:t>k</w:t>
      </w:r>
      <w:r>
        <w:rPr>
          <w:rFonts w:ascii="Times New Roman" w:hAnsi="Times New Roman" w:cs="Times New Roman"/>
          <w:sz w:val="24"/>
          <w:szCs w:val="24"/>
        </w:rPr>
        <w:t> </w:t>
      </w:r>
      <w:r w:rsidRPr="00F84EB6">
        <w:rPr>
          <w:rFonts w:ascii="Times New Roman" w:hAnsi="Times New Roman" w:cs="Times New Roman"/>
          <w:sz w:val="24"/>
          <w:szCs w:val="24"/>
        </w:rPr>
        <w:t>napĺňaniu</w:t>
      </w:r>
      <w:r>
        <w:rPr>
          <w:rFonts w:ascii="Times New Roman" w:hAnsi="Times New Roman" w:cs="Times New Roman"/>
          <w:sz w:val="24"/>
          <w:szCs w:val="24"/>
        </w:rPr>
        <w:t xml:space="preserve"> týchto fokusových oblastí PRV:</w:t>
      </w:r>
    </w:p>
    <w:p w14:paraId="079B5D85" w14:textId="77777777" w:rsidR="00513AE9" w:rsidRPr="00F84EB6" w:rsidRDefault="00513AE9" w:rsidP="003301D6">
      <w:pPr>
        <w:pStyle w:val="Odsekzoznamu"/>
        <w:numPr>
          <w:ilvl w:val="1"/>
          <w:numId w:val="27"/>
        </w:numPr>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6B Podpora miestneho rozvoja vo vidieckych oblastiach</w:t>
      </w:r>
    </w:p>
    <w:p w14:paraId="6E5F6ADD" w14:textId="77777777" w:rsidR="00513AE9" w:rsidRDefault="00513AE9" w:rsidP="003301D6">
      <w:pPr>
        <w:pStyle w:val="Odsekzoznamu"/>
        <w:numPr>
          <w:ilvl w:val="1"/>
          <w:numId w:val="27"/>
        </w:numPr>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lastRenderedPageBreak/>
        <w:t>5C Uľahčenie dodávok a využívania obnoviteľných zdrojov energie, vedľajších produktov, odpadov, zvyškov a iných nepotravinových surovín na účely bioekonomiky</w:t>
      </w:r>
    </w:p>
    <w:p w14:paraId="5D939F4A" w14:textId="77777777" w:rsidR="00513AE9" w:rsidRDefault="00513AE9" w:rsidP="00513AE9">
      <w:pPr>
        <w:pStyle w:val="Odsekzoznamu"/>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 xml:space="preserve">Ďalej prispieva k napĺňaniu </w:t>
      </w:r>
      <w:r>
        <w:rPr>
          <w:rFonts w:ascii="Times New Roman" w:hAnsi="Times New Roman" w:cs="Times New Roman"/>
          <w:sz w:val="24"/>
          <w:szCs w:val="24"/>
        </w:rPr>
        <w:t>špecifického</w:t>
      </w:r>
      <w:r w:rsidRPr="00F84EB6">
        <w:rPr>
          <w:rFonts w:ascii="Times New Roman" w:hAnsi="Times New Roman" w:cs="Times New Roman"/>
          <w:sz w:val="24"/>
          <w:szCs w:val="24"/>
        </w:rPr>
        <w:t xml:space="preserve"> cieľ</w:t>
      </w:r>
      <w:r>
        <w:rPr>
          <w:rFonts w:ascii="Times New Roman" w:hAnsi="Times New Roman" w:cs="Times New Roman"/>
          <w:sz w:val="24"/>
          <w:szCs w:val="24"/>
        </w:rPr>
        <w:t>a</w:t>
      </w:r>
      <w:r w:rsidRPr="00F84EB6">
        <w:rPr>
          <w:rFonts w:ascii="Times New Roman" w:hAnsi="Times New Roman" w:cs="Times New Roman"/>
          <w:sz w:val="24"/>
          <w:szCs w:val="24"/>
        </w:rPr>
        <w:t xml:space="preserve"> IROP:</w:t>
      </w:r>
    </w:p>
    <w:p w14:paraId="0352AF3B" w14:textId="77777777" w:rsidR="00513AE9" w:rsidRDefault="00513AE9" w:rsidP="003301D6">
      <w:pPr>
        <w:pStyle w:val="Odsekzoznamu"/>
        <w:numPr>
          <w:ilvl w:val="0"/>
          <w:numId w:val="28"/>
        </w:numPr>
        <w:spacing w:after="0" w:line="360" w:lineRule="auto"/>
        <w:jc w:val="both"/>
        <w:rPr>
          <w:rFonts w:ascii="Times New Roman" w:hAnsi="Times New Roman" w:cs="Times New Roman"/>
          <w:sz w:val="24"/>
          <w:szCs w:val="24"/>
        </w:rPr>
      </w:pPr>
      <w:r w:rsidRPr="00F84EB6">
        <w:rPr>
          <w:rFonts w:ascii="Times New Roman" w:hAnsi="Times New Roman" w:cs="Times New Roman"/>
          <w:sz w:val="24"/>
          <w:szCs w:val="24"/>
        </w:rPr>
        <w:t>5.1.2 Zlepšenie udržateľných vzťahov medzi vidieckymi rozvojovými centrami a ich zázemím vo verejných službách a vo verejných infraštruktúrach</w:t>
      </w:r>
      <w:r>
        <w:rPr>
          <w:rFonts w:ascii="Times New Roman" w:hAnsi="Times New Roman" w:cs="Times New Roman"/>
          <w:sz w:val="24"/>
          <w:szCs w:val="24"/>
        </w:rPr>
        <w:t>.</w:t>
      </w:r>
    </w:p>
    <w:p w14:paraId="161919A4" w14:textId="77777777" w:rsidR="00513AE9" w:rsidRPr="00513AE9" w:rsidRDefault="00513AE9" w:rsidP="00513AE9">
      <w:pPr>
        <w:pStyle w:val="Odsekzoznamu"/>
        <w:spacing w:after="0" w:line="360" w:lineRule="auto"/>
        <w:ind w:left="0"/>
        <w:jc w:val="both"/>
        <w:rPr>
          <w:rFonts w:ascii="Times New Roman" w:hAnsi="Times New Roman" w:cs="Times New Roman"/>
          <w:sz w:val="24"/>
          <w:szCs w:val="24"/>
        </w:rPr>
      </w:pPr>
    </w:p>
    <w:p w14:paraId="5BF96CB0" w14:textId="77777777" w:rsidR="00513AE9" w:rsidRPr="003C6570" w:rsidRDefault="00513AE9" w:rsidP="00513AE9">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Zo SWOT analýzy a identifikácie potrieb reflektuje tento cieľ na časti </w:t>
      </w:r>
      <w:r w:rsidRPr="00577B82">
        <w:rPr>
          <w:rFonts w:ascii="Times New Roman" w:hAnsi="Times New Roman" w:cs="Times New Roman"/>
          <w:sz w:val="24"/>
          <w:szCs w:val="24"/>
        </w:rPr>
        <w:t>Občianska vybavenosť</w:t>
      </w:r>
      <w:r>
        <w:rPr>
          <w:rFonts w:ascii="Times New Roman" w:hAnsi="Times New Roman" w:cs="Times New Roman"/>
          <w:sz w:val="24"/>
          <w:szCs w:val="24"/>
        </w:rPr>
        <w:t xml:space="preserve">, </w:t>
      </w:r>
      <w:r w:rsidRPr="00577B82">
        <w:rPr>
          <w:rFonts w:ascii="Times New Roman" w:hAnsi="Times New Roman" w:cs="Times New Roman"/>
          <w:sz w:val="24"/>
          <w:szCs w:val="24"/>
        </w:rPr>
        <w:t xml:space="preserve">Ľudské zdroje </w:t>
      </w:r>
      <w:r>
        <w:rPr>
          <w:rFonts w:ascii="Times New Roman" w:hAnsi="Times New Roman" w:cs="Times New Roman"/>
          <w:sz w:val="24"/>
          <w:szCs w:val="24"/>
        </w:rPr>
        <w:t xml:space="preserve">a z časti aj na </w:t>
      </w:r>
      <w:r w:rsidRPr="00577B82">
        <w:rPr>
          <w:rFonts w:ascii="Times New Roman" w:hAnsi="Times New Roman" w:cs="Times New Roman"/>
          <w:sz w:val="24"/>
          <w:szCs w:val="24"/>
        </w:rPr>
        <w:t>Dopravné prepojenie a dostupnosť sídiel</w:t>
      </w:r>
      <w:r>
        <w:rPr>
          <w:rFonts w:ascii="Times New Roman" w:hAnsi="Times New Roman" w:cs="Times New Roman"/>
          <w:sz w:val="24"/>
          <w:szCs w:val="24"/>
        </w:rPr>
        <w:t>. Týmto špecifickým cieľom</w:t>
      </w:r>
      <w:r w:rsidRPr="003C6570">
        <w:rPr>
          <w:rFonts w:ascii="Times New Roman" w:hAnsi="Times New Roman" w:cs="Times New Roman"/>
          <w:sz w:val="24"/>
          <w:szCs w:val="24"/>
        </w:rPr>
        <w:t xml:space="preserve"> </w:t>
      </w:r>
      <w:r>
        <w:rPr>
          <w:rFonts w:ascii="Times New Roman" w:hAnsi="Times New Roman" w:cs="Times New Roman"/>
          <w:sz w:val="24"/>
          <w:szCs w:val="24"/>
        </w:rPr>
        <w:t>chceme dosiahnuť lepší stav infraštruktúry</w:t>
      </w:r>
      <w:r w:rsidRPr="003C6570">
        <w:rPr>
          <w:rFonts w:ascii="Times New Roman" w:hAnsi="Times New Roman" w:cs="Times New Roman"/>
          <w:sz w:val="24"/>
          <w:szCs w:val="24"/>
        </w:rPr>
        <w:t xml:space="preserve"> verejných služieb</w:t>
      </w:r>
      <w:r>
        <w:rPr>
          <w:rFonts w:ascii="Times New Roman" w:hAnsi="Times New Roman" w:cs="Times New Roman"/>
          <w:sz w:val="24"/>
          <w:szCs w:val="24"/>
        </w:rPr>
        <w:t xml:space="preserve"> a občianskej vybavenosti</w:t>
      </w:r>
      <w:r w:rsidRPr="003C6570">
        <w:rPr>
          <w:rFonts w:ascii="Times New Roman" w:hAnsi="Times New Roman" w:cs="Times New Roman"/>
          <w:sz w:val="24"/>
          <w:szCs w:val="24"/>
        </w:rPr>
        <w:t xml:space="preserve">. Dôležité je tiež zabezpečiť pravidelné a vyhovujúce spojenie obyvateľov </w:t>
      </w:r>
      <w:r>
        <w:rPr>
          <w:rFonts w:ascii="Times New Roman" w:hAnsi="Times New Roman" w:cs="Times New Roman"/>
          <w:sz w:val="24"/>
          <w:szCs w:val="24"/>
        </w:rPr>
        <w:t>obcí a osád</w:t>
      </w:r>
      <w:r w:rsidRPr="003C6570">
        <w:rPr>
          <w:rFonts w:ascii="Times New Roman" w:hAnsi="Times New Roman" w:cs="Times New Roman"/>
          <w:sz w:val="24"/>
          <w:szCs w:val="24"/>
        </w:rPr>
        <w:t xml:space="preserve"> s</w:t>
      </w:r>
      <w:r>
        <w:rPr>
          <w:rFonts w:ascii="Times New Roman" w:hAnsi="Times New Roman" w:cs="Times New Roman"/>
          <w:sz w:val="24"/>
          <w:szCs w:val="24"/>
        </w:rPr>
        <w:t xml:space="preserve"> prirodzenými centrami regiónu </w:t>
      </w:r>
      <w:r w:rsidRPr="003C6570">
        <w:rPr>
          <w:rFonts w:ascii="Times New Roman" w:hAnsi="Times New Roman" w:cs="Times New Roman"/>
          <w:sz w:val="24"/>
          <w:szCs w:val="24"/>
        </w:rPr>
        <w:t>p</w:t>
      </w:r>
      <w:r>
        <w:rPr>
          <w:rFonts w:ascii="Times New Roman" w:hAnsi="Times New Roman" w:cs="Times New Roman"/>
          <w:sz w:val="24"/>
          <w:szCs w:val="24"/>
        </w:rPr>
        <w:t xml:space="preserve">rostredníctvom verejnej dopravy, vybudovať nové </w:t>
      </w:r>
      <w:r w:rsidRPr="003C6570">
        <w:rPr>
          <w:rFonts w:ascii="Times New Roman" w:hAnsi="Times New Roman" w:cs="Times New Roman"/>
          <w:sz w:val="24"/>
          <w:szCs w:val="24"/>
        </w:rPr>
        <w:t>par</w:t>
      </w:r>
      <w:r>
        <w:rPr>
          <w:rFonts w:ascii="Times New Roman" w:hAnsi="Times New Roman" w:cs="Times New Roman"/>
          <w:sz w:val="24"/>
          <w:szCs w:val="24"/>
        </w:rPr>
        <w:t>kovacie miesta.</w:t>
      </w:r>
      <w:r w:rsidRPr="003C6570">
        <w:rPr>
          <w:rFonts w:ascii="Times New Roman" w:hAnsi="Times New Roman" w:cs="Times New Roman"/>
          <w:sz w:val="24"/>
          <w:szCs w:val="24"/>
        </w:rPr>
        <w:t xml:space="preserve"> Úpravou verejných oddychových zón, priestranstiev a parkov sa zlepší estetický vzhľad </w:t>
      </w:r>
      <w:r>
        <w:rPr>
          <w:rFonts w:ascii="Times New Roman" w:hAnsi="Times New Roman" w:cs="Times New Roman"/>
          <w:sz w:val="24"/>
          <w:szCs w:val="24"/>
        </w:rPr>
        <w:t>obcí</w:t>
      </w:r>
      <w:r w:rsidRPr="003C6570">
        <w:rPr>
          <w:rFonts w:ascii="Times New Roman" w:hAnsi="Times New Roman" w:cs="Times New Roman"/>
          <w:sz w:val="24"/>
          <w:szCs w:val="24"/>
        </w:rPr>
        <w:t xml:space="preserve"> a vybudujú sa ďalšie priestory  pre oddych a relaxáciu občanov. Veľmi dôležitými investíciami sú intervencie do školských zariadení </w:t>
      </w:r>
      <w:r>
        <w:rPr>
          <w:rFonts w:ascii="Times New Roman" w:hAnsi="Times New Roman" w:cs="Times New Roman"/>
          <w:sz w:val="24"/>
          <w:szCs w:val="24"/>
        </w:rPr>
        <w:t xml:space="preserve">so </w:t>
      </w:r>
      <w:r w:rsidRPr="003C6570">
        <w:rPr>
          <w:rFonts w:ascii="Times New Roman" w:hAnsi="Times New Roman" w:cs="Times New Roman"/>
          <w:sz w:val="24"/>
          <w:szCs w:val="24"/>
        </w:rPr>
        <w:t xml:space="preserve">znižovaním energetických nákladov s cieľom podporiť rozvoj predškolského i základného vzdelávania v </w:t>
      </w:r>
      <w:r>
        <w:rPr>
          <w:rFonts w:ascii="Times New Roman" w:hAnsi="Times New Roman" w:cs="Times New Roman"/>
          <w:sz w:val="24"/>
          <w:szCs w:val="24"/>
        </w:rPr>
        <w:t>regióne</w:t>
      </w:r>
      <w:r w:rsidRPr="003C6570">
        <w:rPr>
          <w:rFonts w:ascii="Times New Roman" w:hAnsi="Times New Roman" w:cs="Times New Roman"/>
          <w:sz w:val="24"/>
          <w:szCs w:val="24"/>
        </w:rPr>
        <w:t xml:space="preserve">. Znížiť energetické náklady s využitím obnoviteľných zdrojov energie je cieľom aj </w:t>
      </w:r>
      <w:r>
        <w:rPr>
          <w:rFonts w:ascii="Times New Roman" w:hAnsi="Times New Roman" w:cs="Times New Roman"/>
          <w:sz w:val="24"/>
          <w:szCs w:val="24"/>
        </w:rPr>
        <w:t>pri rekonštrukcii ďalších objektov občianskej vybavenosti.</w:t>
      </w:r>
    </w:p>
    <w:p w14:paraId="0ACB910E"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i/>
          <w:sz w:val="24"/>
          <w:szCs w:val="24"/>
        </w:rPr>
      </w:pPr>
      <w:r w:rsidRPr="00E63456">
        <w:rPr>
          <w:rFonts w:ascii="Times New Roman" w:hAnsi="Times New Roman" w:cs="Times New Roman"/>
          <w:i/>
          <w:sz w:val="24"/>
          <w:szCs w:val="24"/>
        </w:rPr>
        <w:t>Opatrenie 1.1 Podpora na investície do vytvárania, zlepšovania alebo rozširovania miestnych základných služieb pre vidiecke obyvateľstvo vrátane voľného času a kultúry a súvisiacej infraštruktúry (kód opatrenia podľa PRV 7.4.)</w:t>
      </w:r>
    </w:p>
    <w:p w14:paraId="3E8875E4"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i/>
          <w:sz w:val="24"/>
          <w:szCs w:val="24"/>
        </w:rPr>
      </w:pPr>
      <w:r w:rsidRPr="00E63456">
        <w:rPr>
          <w:rFonts w:ascii="Times New Roman" w:hAnsi="Times New Roman" w:cs="Times New Roman"/>
          <w:i/>
          <w:sz w:val="24"/>
          <w:szCs w:val="24"/>
        </w:rPr>
        <w:t>Opatrenie 1.2 Rozvoj základnej infraštruktúry v mestách a obciach (kód opatrenia podľa IROP 5.1.2)</w:t>
      </w:r>
    </w:p>
    <w:p w14:paraId="141F8153"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i/>
          <w:sz w:val="24"/>
          <w:szCs w:val="24"/>
        </w:rPr>
      </w:pPr>
      <w:r w:rsidRPr="00E63456">
        <w:rPr>
          <w:rFonts w:ascii="Times New Roman" w:hAnsi="Times New Roman" w:cs="Times New Roman"/>
          <w:i/>
          <w:sz w:val="24"/>
          <w:szCs w:val="24"/>
        </w:rPr>
        <w:t>Opatrenie 1.3 Podpora sociálnych a komunitných služieb (kód opatrenia podľa IROP 5.1.2)</w:t>
      </w:r>
    </w:p>
    <w:p w14:paraId="17B10A4C"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i/>
          <w:sz w:val="24"/>
          <w:szCs w:val="24"/>
        </w:rPr>
      </w:pPr>
      <w:r w:rsidRPr="00E63456">
        <w:rPr>
          <w:rFonts w:ascii="Times New Roman" w:hAnsi="Times New Roman" w:cs="Times New Roman"/>
          <w:i/>
          <w:sz w:val="24"/>
          <w:szCs w:val="24"/>
        </w:rPr>
        <w:t>Opatrenie 1.4 Podpora na investície do vytvárania, zlepšovania alebo rozširovania infraštruktúr malých rozmerov (kód opatrenia podľa PRV 7.2)</w:t>
      </w:r>
    </w:p>
    <w:p w14:paraId="7DE4C179" w14:textId="77777777" w:rsidR="00513AE9" w:rsidRPr="00E63456" w:rsidRDefault="00513AE9" w:rsidP="00513AE9">
      <w:pPr>
        <w:spacing w:after="0" w:line="360" w:lineRule="auto"/>
        <w:jc w:val="both"/>
        <w:rPr>
          <w:rFonts w:ascii="Times New Roman" w:hAnsi="Times New Roman" w:cs="Times New Roman"/>
          <w:i/>
          <w:sz w:val="24"/>
          <w:szCs w:val="24"/>
        </w:rPr>
      </w:pPr>
    </w:p>
    <w:p w14:paraId="4BDF442E" w14:textId="77777777" w:rsidR="00513AE9" w:rsidRPr="00F84EB6" w:rsidRDefault="00513AE9" w:rsidP="003301D6">
      <w:pPr>
        <w:pStyle w:val="Odsekzoznamu"/>
        <w:numPr>
          <w:ilvl w:val="0"/>
          <w:numId w:val="27"/>
        </w:numPr>
        <w:spacing w:after="0" w:line="360" w:lineRule="auto"/>
        <w:jc w:val="both"/>
        <w:rPr>
          <w:rFonts w:ascii="Times New Roman" w:hAnsi="Times New Roman" w:cs="Times New Roman"/>
          <w:b/>
          <w:bCs/>
          <w:sz w:val="24"/>
          <w:szCs w:val="24"/>
        </w:rPr>
      </w:pPr>
      <w:r w:rsidRPr="00F84EB6">
        <w:rPr>
          <w:rFonts w:ascii="Times New Roman" w:hAnsi="Times New Roman" w:cs="Times New Roman"/>
          <w:b/>
          <w:bCs/>
          <w:sz w:val="24"/>
          <w:szCs w:val="24"/>
        </w:rPr>
        <w:t xml:space="preserve">Priorita 2 Využitie miestneho potenciálu pre rozvoj cestovného ruchu </w:t>
      </w:r>
    </w:p>
    <w:p w14:paraId="4F47710D" w14:textId="77777777" w:rsidR="00513AE9" w:rsidRPr="00E63456" w:rsidRDefault="00513AE9" w:rsidP="003301D6">
      <w:pPr>
        <w:pStyle w:val="Odsekzoznamu"/>
        <w:numPr>
          <w:ilvl w:val="0"/>
          <w:numId w:val="27"/>
        </w:numPr>
        <w:spacing w:after="0" w:line="360" w:lineRule="auto"/>
        <w:jc w:val="both"/>
        <w:rPr>
          <w:rFonts w:ascii="Times New Roman" w:hAnsi="Times New Roman" w:cs="Times New Roman"/>
          <w:i/>
          <w:iCs/>
          <w:sz w:val="24"/>
          <w:szCs w:val="24"/>
        </w:rPr>
      </w:pPr>
      <w:r w:rsidRPr="00E63456">
        <w:rPr>
          <w:rFonts w:ascii="Times New Roman" w:hAnsi="Times New Roman" w:cs="Times New Roman"/>
          <w:i/>
          <w:iCs/>
          <w:sz w:val="24"/>
          <w:szCs w:val="24"/>
        </w:rPr>
        <w:t>Špecifický cieľ 2.1 Zlepšiť podmienky pre rozvoj potenciálu vidieckeho cestovného ruchu a spolupráce</w:t>
      </w:r>
    </w:p>
    <w:p w14:paraId="02C8DF7C" w14:textId="77777777" w:rsidR="00513AE9" w:rsidRDefault="00513AE9" w:rsidP="00513AE9">
      <w:pPr>
        <w:pStyle w:val="Odsekzoznamu"/>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 xml:space="preserve">Špecifický cieľ </w:t>
      </w:r>
      <w:r>
        <w:rPr>
          <w:rFonts w:ascii="Times New Roman" w:hAnsi="Times New Roman" w:cs="Times New Roman"/>
          <w:sz w:val="24"/>
          <w:szCs w:val="24"/>
        </w:rPr>
        <w:t xml:space="preserve">prispieva </w:t>
      </w:r>
      <w:r w:rsidRPr="00F84EB6">
        <w:rPr>
          <w:rFonts w:ascii="Times New Roman" w:hAnsi="Times New Roman" w:cs="Times New Roman"/>
          <w:sz w:val="24"/>
          <w:szCs w:val="24"/>
        </w:rPr>
        <w:t>k</w:t>
      </w:r>
      <w:r>
        <w:rPr>
          <w:rFonts w:ascii="Times New Roman" w:hAnsi="Times New Roman" w:cs="Times New Roman"/>
          <w:sz w:val="24"/>
          <w:szCs w:val="24"/>
        </w:rPr>
        <w:t> </w:t>
      </w:r>
      <w:r w:rsidRPr="00F84EB6">
        <w:rPr>
          <w:rFonts w:ascii="Times New Roman" w:hAnsi="Times New Roman" w:cs="Times New Roman"/>
          <w:sz w:val="24"/>
          <w:szCs w:val="24"/>
        </w:rPr>
        <w:t>napĺňaniu</w:t>
      </w:r>
      <w:r>
        <w:rPr>
          <w:rFonts w:ascii="Times New Roman" w:hAnsi="Times New Roman" w:cs="Times New Roman"/>
          <w:sz w:val="24"/>
          <w:szCs w:val="24"/>
        </w:rPr>
        <w:t xml:space="preserve"> týchto fokusových oblastí PRV:</w:t>
      </w:r>
    </w:p>
    <w:p w14:paraId="6F3250C4" w14:textId="77777777" w:rsidR="00513AE9" w:rsidRPr="00F84EB6" w:rsidRDefault="00513AE9" w:rsidP="003301D6">
      <w:pPr>
        <w:pStyle w:val="Odsekzoznamu"/>
        <w:numPr>
          <w:ilvl w:val="1"/>
          <w:numId w:val="27"/>
        </w:numPr>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6B Podpora miestneho rozvoja vo vidieckych oblastiach</w:t>
      </w:r>
    </w:p>
    <w:p w14:paraId="78515C4C" w14:textId="77777777" w:rsidR="00513AE9"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lastRenderedPageBreak/>
        <w:t>4A Obnova, zachovanie a zvýšenie biologickej diverzity vrátane na územiach sústavy Natura 2000 a v oblastiach s prírodnými alebo inými špecifickými obmedzeniami a v poľnohospodárskej činnosti s vysokou prírodnou hodnotou a obnova, zachovanie, ako aj zlepšenie stavu krajinných oblastí Európy</w:t>
      </w:r>
    </w:p>
    <w:p w14:paraId="644ED282" w14:textId="77777777" w:rsidR="00513AE9"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6A Uľahčenie diverzifikácie, zakladania a rozvoja malých podnikov ako aj vytvárania pracovných miest</w:t>
      </w:r>
    </w:p>
    <w:p w14:paraId="3EEEABA7" w14:textId="77777777" w:rsidR="00513AE9" w:rsidRDefault="00513AE9" w:rsidP="00513AE9">
      <w:pPr>
        <w:pStyle w:val="Odsekzoznamu"/>
        <w:spacing w:after="0" w:line="360" w:lineRule="auto"/>
        <w:ind w:left="0"/>
        <w:jc w:val="both"/>
        <w:rPr>
          <w:rFonts w:ascii="Times New Roman" w:hAnsi="Times New Roman" w:cs="Times New Roman"/>
          <w:bCs/>
          <w:sz w:val="24"/>
          <w:szCs w:val="24"/>
        </w:rPr>
      </w:pPr>
    </w:p>
    <w:p w14:paraId="653C0B1E" w14:textId="77777777" w:rsidR="00513AE9" w:rsidRPr="00E63456" w:rsidRDefault="00513AE9" w:rsidP="00513AE9">
      <w:pPr>
        <w:pStyle w:val="Odsekzoznamu"/>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ab/>
        <w:t xml:space="preserve">Špecifickým cieľom reagujeme na časti </w:t>
      </w:r>
      <w:r w:rsidRPr="005E66D3">
        <w:rPr>
          <w:rFonts w:ascii="Times New Roman" w:hAnsi="Times New Roman" w:cs="Times New Roman"/>
          <w:bCs/>
          <w:sz w:val="24"/>
          <w:szCs w:val="24"/>
        </w:rPr>
        <w:t>Cestovný ruch</w:t>
      </w:r>
      <w:r>
        <w:rPr>
          <w:rFonts w:ascii="Times New Roman" w:hAnsi="Times New Roman" w:cs="Times New Roman"/>
          <w:bCs/>
          <w:sz w:val="24"/>
          <w:szCs w:val="24"/>
        </w:rPr>
        <w:t xml:space="preserve"> a z časti aj </w:t>
      </w:r>
      <w:r w:rsidRPr="005E66D3">
        <w:rPr>
          <w:rFonts w:ascii="Times New Roman" w:hAnsi="Times New Roman" w:cs="Times New Roman"/>
          <w:bCs/>
          <w:sz w:val="24"/>
          <w:szCs w:val="24"/>
        </w:rPr>
        <w:t>Dopravné prepojenie a dostupnosť sídiel</w:t>
      </w:r>
      <w:r>
        <w:rPr>
          <w:rFonts w:ascii="Times New Roman" w:hAnsi="Times New Roman" w:cs="Times New Roman"/>
          <w:bCs/>
          <w:sz w:val="24"/>
          <w:szCs w:val="24"/>
        </w:rPr>
        <w:t xml:space="preserve"> z</w:t>
      </w:r>
      <w:r>
        <w:rPr>
          <w:rFonts w:ascii="Times New Roman" w:hAnsi="Times New Roman" w:cs="Times New Roman"/>
          <w:sz w:val="24"/>
          <w:szCs w:val="24"/>
        </w:rPr>
        <w:t xml:space="preserve">o SWOT analýzy a identifikácie potrieb. </w:t>
      </w:r>
      <w:r>
        <w:rPr>
          <w:rFonts w:ascii="Times New Roman" w:hAnsi="Times New Roman" w:cs="Times New Roman"/>
          <w:bCs/>
          <w:sz w:val="24"/>
          <w:szCs w:val="24"/>
        </w:rPr>
        <w:t xml:space="preserve">Región </w:t>
      </w:r>
      <w:r w:rsidRPr="00E739D2">
        <w:rPr>
          <w:rFonts w:ascii="Times New Roman" w:hAnsi="Times New Roman" w:cs="Times New Roman"/>
          <w:bCs/>
          <w:sz w:val="24"/>
          <w:szCs w:val="24"/>
        </w:rPr>
        <w:t xml:space="preserve">má </w:t>
      </w:r>
      <w:r>
        <w:rPr>
          <w:rFonts w:ascii="Times New Roman" w:hAnsi="Times New Roman" w:cs="Times New Roman"/>
          <w:bCs/>
          <w:sz w:val="24"/>
          <w:szCs w:val="24"/>
        </w:rPr>
        <w:t xml:space="preserve">totiž </w:t>
      </w:r>
      <w:r w:rsidRPr="00E739D2">
        <w:rPr>
          <w:rFonts w:ascii="Times New Roman" w:hAnsi="Times New Roman" w:cs="Times New Roman"/>
          <w:bCs/>
          <w:sz w:val="24"/>
          <w:szCs w:val="24"/>
        </w:rPr>
        <w:t xml:space="preserve">veľký potenciál pre zvýšenie atraktivity turistického cestovného ruchu. </w:t>
      </w:r>
      <w:r w:rsidRPr="00E739D2">
        <w:rPr>
          <w:rFonts w:ascii="Times New Roman" w:eastAsia="Times New Roman" w:hAnsi="Times New Roman" w:cs="Times New Roman"/>
          <w:sz w:val="24"/>
          <w:szCs w:val="24"/>
          <w:lang w:eastAsia="cs-CZ"/>
        </w:rPr>
        <w:t>Svojimi prírodnými danosťami predstavuje výborné miesto pre rozvoj cykloturistiky. Podporou budovania cyklotrás, turistických chodníkov a potrebnej infraštruktúry je možné toto dosiahnuť.</w:t>
      </w:r>
      <w:r>
        <w:rPr>
          <w:rFonts w:ascii="Times New Roman" w:eastAsia="Times New Roman" w:hAnsi="Times New Roman" w:cs="Times New Roman"/>
          <w:sz w:val="24"/>
          <w:szCs w:val="24"/>
          <w:lang w:eastAsia="cs-CZ"/>
        </w:rPr>
        <w:t xml:space="preserve"> </w:t>
      </w:r>
      <w:r w:rsidRPr="003C6570">
        <w:rPr>
          <w:rFonts w:ascii="Times New Roman" w:eastAsia="Times New Roman" w:hAnsi="Times New Roman" w:cs="Times New Roman"/>
          <w:sz w:val="24"/>
          <w:szCs w:val="24"/>
          <w:lang w:eastAsia="cs-CZ"/>
        </w:rPr>
        <w:t xml:space="preserve">Rozvoj cestovného ruchu je možné privodiť i podporou budovania bežkárskych či jazdeckých tratí i investíciami do kultúrno-historického potenciálu </w:t>
      </w:r>
      <w:r>
        <w:rPr>
          <w:rFonts w:ascii="Times New Roman" w:eastAsia="Times New Roman" w:hAnsi="Times New Roman" w:cs="Times New Roman"/>
          <w:sz w:val="24"/>
          <w:szCs w:val="24"/>
          <w:lang w:eastAsia="cs-CZ"/>
        </w:rPr>
        <w:t>regiónu</w:t>
      </w:r>
      <w:r w:rsidRPr="003C6570">
        <w:rPr>
          <w:rFonts w:ascii="Times New Roman" w:eastAsia="Times New Roman" w:hAnsi="Times New Roman" w:cs="Times New Roman"/>
          <w:sz w:val="24"/>
          <w:szCs w:val="24"/>
          <w:lang w:eastAsia="cs-CZ"/>
        </w:rPr>
        <w:t xml:space="preserve"> ako sú kultúrne pamiatky a kultúrne domy.</w:t>
      </w:r>
      <w:r w:rsidRPr="00E739D2">
        <w:rPr>
          <w:rFonts w:ascii="Times New Roman" w:eastAsia="Times New Roman" w:hAnsi="Times New Roman" w:cs="Times New Roman"/>
          <w:sz w:val="24"/>
          <w:szCs w:val="24"/>
          <w:lang w:eastAsia="cs-CZ"/>
        </w:rPr>
        <w:t xml:space="preserve"> </w:t>
      </w:r>
      <w:r w:rsidRPr="00E63456">
        <w:rPr>
          <w:rFonts w:ascii="Times New Roman" w:hAnsi="Times New Roman" w:cs="Times New Roman"/>
          <w:bCs/>
          <w:sz w:val="24"/>
          <w:szCs w:val="24"/>
        </w:rPr>
        <w:t xml:space="preserve">Podporované </w:t>
      </w:r>
      <w:r>
        <w:rPr>
          <w:rFonts w:ascii="Times New Roman" w:hAnsi="Times New Roman" w:cs="Times New Roman"/>
          <w:bCs/>
          <w:sz w:val="24"/>
          <w:szCs w:val="24"/>
        </w:rPr>
        <w:t>budú také agro</w:t>
      </w:r>
      <w:r w:rsidRPr="00E63456">
        <w:rPr>
          <w:rFonts w:ascii="Times New Roman" w:hAnsi="Times New Roman" w:cs="Times New Roman"/>
          <w:bCs/>
          <w:sz w:val="24"/>
          <w:szCs w:val="24"/>
        </w:rPr>
        <w:t>turistické aktivity</w:t>
      </w:r>
      <w:r>
        <w:rPr>
          <w:rFonts w:ascii="Times New Roman" w:hAnsi="Times New Roman" w:cs="Times New Roman"/>
          <w:bCs/>
          <w:sz w:val="24"/>
          <w:szCs w:val="24"/>
        </w:rPr>
        <w:t>, ktoré</w:t>
      </w:r>
      <w:r w:rsidRPr="00E63456">
        <w:rPr>
          <w:rFonts w:ascii="Times New Roman" w:hAnsi="Times New Roman" w:cs="Times New Roman"/>
          <w:bCs/>
          <w:sz w:val="24"/>
          <w:szCs w:val="24"/>
        </w:rPr>
        <w:t xml:space="preserve"> sa zameriavajú na praktizovanie zodpovedného cestovného ruchu, ktorý sa vyhne degradácii citlivých prírodných oblastí, a navyše podporí vytváranie príjmov pre obyvateľov na vidieku. Špecifický cieľ bude napĺňaný nasledovnými opatreniami:</w:t>
      </w:r>
    </w:p>
    <w:p w14:paraId="4B837BDA"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2.1</w:t>
      </w:r>
      <w:r w:rsidRPr="00E63456">
        <w:t xml:space="preserve"> </w:t>
      </w:r>
      <w:r w:rsidRPr="00E63456">
        <w:rPr>
          <w:rFonts w:ascii="Times New Roman" w:hAnsi="Times New Roman" w:cs="Times New Roman"/>
          <w:i/>
          <w:sz w:val="24"/>
          <w:szCs w:val="24"/>
        </w:rPr>
        <w:t>Podpora na investície do rekreačnej infraštruktúry, turistických informácií a do turistickej infraštruktúry malých rozmerov na verejné využitie (kód opatrenia podľa PRV 7.5)</w:t>
      </w:r>
    </w:p>
    <w:p w14:paraId="0E334100"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2.2</w:t>
      </w:r>
      <w:r w:rsidRPr="00E63456">
        <w:t xml:space="preserve"> </w:t>
      </w:r>
      <w:r w:rsidRPr="00E63456">
        <w:rPr>
          <w:rFonts w:ascii="Times New Roman" w:hAnsi="Times New Roman" w:cs="Times New Roman"/>
          <w:i/>
          <w:sz w:val="24"/>
          <w:szCs w:val="24"/>
        </w:rPr>
        <w:t>Podpora na investície do zlepšenia environmentálnej hodnoty lesných ekosystémov (kód opatrenia podľa PRV 8.5)</w:t>
      </w:r>
    </w:p>
    <w:p w14:paraId="5F515891"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2.3</w:t>
      </w:r>
      <w:r w:rsidRPr="00E63456">
        <w:t xml:space="preserve"> </w:t>
      </w:r>
      <w:r w:rsidRPr="00E63456">
        <w:rPr>
          <w:rFonts w:ascii="Times New Roman" w:hAnsi="Times New Roman" w:cs="Times New Roman"/>
          <w:i/>
          <w:sz w:val="24"/>
          <w:szCs w:val="24"/>
        </w:rPr>
        <w:t>Podpora na investície do rozvoja vidieckeho cestovného ruchu a agroturistiky (kód opatrenia podľa PRV 6.4)</w:t>
      </w:r>
    </w:p>
    <w:p w14:paraId="4EBF9C06"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2.4</w:t>
      </w:r>
      <w:r w:rsidRPr="00E63456">
        <w:t xml:space="preserve"> </w:t>
      </w:r>
      <w:r w:rsidRPr="00E63456">
        <w:rPr>
          <w:rFonts w:ascii="Times New Roman" w:hAnsi="Times New Roman" w:cs="Times New Roman"/>
          <w:i/>
          <w:sz w:val="24"/>
          <w:szCs w:val="24"/>
        </w:rPr>
        <w:t>Budovanie a značenie jazdeckých a bežkárskych trás (Interreg V – A SR – ČR 2014 - 2020)</w:t>
      </w:r>
    </w:p>
    <w:p w14:paraId="27D17ADB" w14:textId="77777777" w:rsidR="00513AE9" w:rsidRPr="00E739D2"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2.5</w:t>
      </w:r>
      <w:r w:rsidRPr="00E63456">
        <w:t xml:space="preserve"> </w:t>
      </w:r>
      <w:r w:rsidRPr="00E63456">
        <w:rPr>
          <w:rFonts w:ascii="Times New Roman" w:hAnsi="Times New Roman" w:cs="Times New Roman"/>
          <w:i/>
          <w:sz w:val="24"/>
          <w:szCs w:val="24"/>
        </w:rPr>
        <w:t>Grantový program „Podporujeme akčných!“ (opatrenie bude podporované z vlastných zdrojov KR - MAS)</w:t>
      </w:r>
    </w:p>
    <w:p w14:paraId="2A62F3E2" w14:textId="77777777" w:rsidR="00513AE9" w:rsidRPr="00E739D2" w:rsidRDefault="00513AE9" w:rsidP="003301D6">
      <w:pPr>
        <w:pStyle w:val="Odsekzoznamu"/>
        <w:numPr>
          <w:ilvl w:val="1"/>
          <w:numId w:val="27"/>
        </w:numPr>
        <w:spacing w:after="0" w:line="360" w:lineRule="auto"/>
        <w:ind w:left="993"/>
        <w:jc w:val="both"/>
        <w:rPr>
          <w:rFonts w:ascii="Times New Roman" w:hAnsi="Times New Roman" w:cs="Times New Roman"/>
          <w:bCs/>
          <w:i/>
          <w:sz w:val="24"/>
          <w:szCs w:val="24"/>
        </w:rPr>
      </w:pPr>
      <w:r>
        <w:rPr>
          <w:rFonts w:ascii="Times New Roman" w:hAnsi="Times New Roman" w:cs="Times New Roman"/>
          <w:i/>
          <w:sz w:val="24"/>
          <w:szCs w:val="24"/>
        </w:rPr>
        <w:t>Opatrenie 2.6</w:t>
      </w:r>
      <w:r w:rsidRPr="00E63456">
        <w:t xml:space="preserve"> </w:t>
      </w:r>
      <w:r w:rsidRPr="00E739D2">
        <w:rPr>
          <w:rFonts w:ascii="Times New Roman" w:hAnsi="Times New Roman" w:cs="Times New Roman"/>
          <w:bCs/>
          <w:i/>
          <w:sz w:val="24"/>
          <w:szCs w:val="24"/>
        </w:rPr>
        <w:t>Projekty spolupráce so zameraním na cestovný ruch</w:t>
      </w:r>
      <w:r>
        <w:rPr>
          <w:rFonts w:ascii="Times New Roman" w:hAnsi="Times New Roman" w:cs="Times New Roman"/>
          <w:bCs/>
          <w:i/>
          <w:sz w:val="24"/>
          <w:szCs w:val="24"/>
        </w:rPr>
        <w:t xml:space="preserve"> </w:t>
      </w:r>
      <w:r w:rsidRPr="00E63456">
        <w:rPr>
          <w:rFonts w:ascii="Times New Roman" w:hAnsi="Times New Roman" w:cs="Times New Roman"/>
          <w:i/>
          <w:sz w:val="24"/>
          <w:szCs w:val="24"/>
        </w:rPr>
        <w:t>(Interreg V – A SR – ČR 2014</w:t>
      </w:r>
      <w:r>
        <w:rPr>
          <w:rFonts w:ascii="Times New Roman" w:hAnsi="Times New Roman" w:cs="Times New Roman"/>
          <w:i/>
          <w:sz w:val="24"/>
          <w:szCs w:val="24"/>
        </w:rPr>
        <w:t xml:space="preserve"> – 2020 a podopatrenie </w:t>
      </w:r>
      <w:r w:rsidRPr="00E739D2">
        <w:rPr>
          <w:rFonts w:ascii="Times New Roman" w:hAnsi="Times New Roman" w:cs="Times New Roman"/>
          <w:i/>
          <w:sz w:val="24"/>
          <w:szCs w:val="24"/>
        </w:rPr>
        <w:t>19.3 Príprava a vykonávanie činností spolupráce miestnej akčnej skupiny</w:t>
      </w:r>
      <w:r>
        <w:rPr>
          <w:rFonts w:ascii="Times New Roman" w:hAnsi="Times New Roman" w:cs="Times New Roman"/>
          <w:i/>
          <w:sz w:val="24"/>
          <w:szCs w:val="24"/>
        </w:rPr>
        <w:t xml:space="preserve"> z PRV SR 2014 – 2020, Dunajský nadnárodný program)</w:t>
      </w:r>
    </w:p>
    <w:p w14:paraId="3132F427" w14:textId="77777777" w:rsidR="00513AE9" w:rsidRDefault="00513AE9" w:rsidP="00513AE9">
      <w:pPr>
        <w:spacing w:after="0" w:line="360" w:lineRule="auto"/>
        <w:jc w:val="both"/>
        <w:rPr>
          <w:rFonts w:ascii="Times New Roman" w:hAnsi="Times New Roman" w:cs="Times New Roman"/>
          <w:i/>
          <w:iCs/>
          <w:sz w:val="24"/>
          <w:szCs w:val="24"/>
        </w:rPr>
      </w:pPr>
    </w:p>
    <w:p w14:paraId="0ACD47D9" w14:textId="77777777" w:rsidR="00513AE9" w:rsidRPr="00F84EB6" w:rsidRDefault="00513AE9" w:rsidP="003301D6">
      <w:pPr>
        <w:pStyle w:val="Odsekzoznamu"/>
        <w:numPr>
          <w:ilvl w:val="0"/>
          <w:numId w:val="27"/>
        </w:numPr>
        <w:spacing w:after="0" w:line="360" w:lineRule="auto"/>
        <w:jc w:val="both"/>
        <w:rPr>
          <w:rFonts w:ascii="Times New Roman" w:hAnsi="Times New Roman" w:cs="Times New Roman"/>
          <w:b/>
          <w:bCs/>
          <w:sz w:val="24"/>
          <w:szCs w:val="24"/>
        </w:rPr>
      </w:pPr>
      <w:r w:rsidRPr="00F84EB6">
        <w:rPr>
          <w:rFonts w:ascii="Times New Roman" w:hAnsi="Times New Roman" w:cs="Times New Roman"/>
          <w:b/>
          <w:bCs/>
          <w:sz w:val="24"/>
          <w:szCs w:val="24"/>
        </w:rPr>
        <w:lastRenderedPageBreak/>
        <w:t>Priorita 3 Posilnenie rastu a konkurencieschopnosti malých a stredných podnikov</w:t>
      </w:r>
    </w:p>
    <w:p w14:paraId="004A14D8" w14:textId="77777777" w:rsidR="00513AE9" w:rsidRPr="00511EEB" w:rsidRDefault="00513AE9" w:rsidP="003301D6">
      <w:pPr>
        <w:pStyle w:val="Odsekzoznamu"/>
        <w:numPr>
          <w:ilvl w:val="0"/>
          <w:numId w:val="27"/>
        </w:numPr>
        <w:spacing w:after="0" w:line="360" w:lineRule="auto"/>
        <w:jc w:val="both"/>
        <w:rPr>
          <w:rFonts w:ascii="Times New Roman" w:hAnsi="Times New Roman" w:cs="Times New Roman"/>
          <w:bCs/>
          <w:i/>
          <w:sz w:val="24"/>
          <w:szCs w:val="24"/>
        </w:rPr>
      </w:pPr>
      <w:r w:rsidRPr="00511EEB">
        <w:rPr>
          <w:rFonts w:ascii="Times New Roman" w:hAnsi="Times New Roman" w:cs="Times New Roman"/>
          <w:bCs/>
          <w:i/>
          <w:sz w:val="24"/>
          <w:szCs w:val="24"/>
        </w:rPr>
        <w:t>Špecifický cieľ 3.1 Vytvoriť kvalitné podmienky pre rozvoj podnikania</w:t>
      </w:r>
      <w:r w:rsidR="00246FC5">
        <w:rPr>
          <w:rFonts w:ascii="Times New Roman" w:hAnsi="Times New Roman" w:cs="Times New Roman"/>
          <w:bCs/>
          <w:i/>
          <w:sz w:val="24"/>
          <w:szCs w:val="24"/>
        </w:rPr>
        <w:t xml:space="preserve"> a zamestnanosti</w:t>
      </w:r>
    </w:p>
    <w:p w14:paraId="350E611C" w14:textId="77777777" w:rsidR="00513AE9" w:rsidRDefault="00513AE9" w:rsidP="00513AE9">
      <w:pPr>
        <w:pStyle w:val="Odsekzoznamu"/>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 xml:space="preserve">Špecifický cieľ </w:t>
      </w:r>
      <w:r>
        <w:rPr>
          <w:rFonts w:ascii="Times New Roman" w:hAnsi="Times New Roman" w:cs="Times New Roman"/>
          <w:sz w:val="24"/>
          <w:szCs w:val="24"/>
        </w:rPr>
        <w:t xml:space="preserve">prispieva </w:t>
      </w:r>
      <w:r w:rsidRPr="00F84EB6">
        <w:rPr>
          <w:rFonts w:ascii="Times New Roman" w:hAnsi="Times New Roman" w:cs="Times New Roman"/>
          <w:sz w:val="24"/>
          <w:szCs w:val="24"/>
        </w:rPr>
        <w:t>k</w:t>
      </w:r>
      <w:r>
        <w:rPr>
          <w:rFonts w:ascii="Times New Roman" w:hAnsi="Times New Roman" w:cs="Times New Roman"/>
          <w:sz w:val="24"/>
          <w:szCs w:val="24"/>
        </w:rPr>
        <w:t> </w:t>
      </w:r>
      <w:r w:rsidRPr="00F84EB6">
        <w:rPr>
          <w:rFonts w:ascii="Times New Roman" w:hAnsi="Times New Roman" w:cs="Times New Roman"/>
          <w:sz w:val="24"/>
          <w:szCs w:val="24"/>
        </w:rPr>
        <w:t>napĺňaniu</w:t>
      </w:r>
      <w:r>
        <w:rPr>
          <w:rFonts w:ascii="Times New Roman" w:hAnsi="Times New Roman" w:cs="Times New Roman"/>
          <w:sz w:val="24"/>
          <w:szCs w:val="24"/>
        </w:rPr>
        <w:t xml:space="preserve"> týchto fokusových oblastí PRV:</w:t>
      </w:r>
    </w:p>
    <w:p w14:paraId="03B04352" w14:textId="77777777" w:rsidR="00513AE9" w:rsidRPr="00511EEB"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1A Podpora inovácie, spolupráce a rozvoja vedomostnej základne vo vidieckych oblastiach;</w:t>
      </w:r>
    </w:p>
    <w:p w14:paraId="1C1361FB" w14:textId="77777777" w:rsidR="00513AE9"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 xml:space="preserve">1B Posilnenie prepojenia poľnohospodárstva, výroby potravín a lesného hospodárstva s výskumom a inováciou, a to aj na účely zlepšenia environmentálneho riadenia a výkonu; </w:t>
      </w:r>
    </w:p>
    <w:p w14:paraId="2EA28EB6" w14:textId="77777777" w:rsidR="00513AE9" w:rsidRPr="00511EEB"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2C Zlepšenie hospodárskeho výkonu lesného hospodárstva</w:t>
      </w:r>
    </w:p>
    <w:p w14:paraId="2D499C42" w14:textId="77777777" w:rsidR="00513AE9" w:rsidRPr="00511EEB"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p w14:paraId="7BFC5608" w14:textId="77777777" w:rsidR="00513AE9" w:rsidRPr="00511EEB"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5C Uľahčenie dodávok a využívania obnoviteľných zdrojov energie, vedľajších produktov, odpadov, zvyškov a iných nepotravinových surovín na účely bioekonomiky;</w:t>
      </w:r>
    </w:p>
    <w:p w14:paraId="1A7D6ABE" w14:textId="77777777" w:rsidR="00513AE9" w:rsidRDefault="00513AE9" w:rsidP="003301D6">
      <w:pPr>
        <w:pStyle w:val="Odsekzoznamu"/>
        <w:numPr>
          <w:ilvl w:val="1"/>
          <w:numId w:val="27"/>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6A Uľahčenie diverzifikácie, zakladania a rozvoja malých podnikov ako aj vytvárania pracovných miest</w:t>
      </w:r>
    </w:p>
    <w:p w14:paraId="5874BBFC" w14:textId="77777777" w:rsidR="00513AE9" w:rsidRDefault="00513AE9" w:rsidP="00513AE9">
      <w:pPr>
        <w:pStyle w:val="Odsekzoznamu"/>
        <w:spacing w:line="360" w:lineRule="auto"/>
        <w:jc w:val="both"/>
        <w:rPr>
          <w:rFonts w:ascii="Times New Roman" w:hAnsi="Times New Roman" w:cs="Times New Roman"/>
          <w:sz w:val="24"/>
          <w:szCs w:val="24"/>
        </w:rPr>
      </w:pPr>
      <w:r w:rsidRPr="00F84EB6">
        <w:rPr>
          <w:rFonts w:ascii="Times New Roman" w:hAnsi="Times New Roman" w:cs="Times New Roman"/>
          <w:sz w:val="24"/>
          <w:szCs w:val="24"/>
        </w:rPr>
        <w:t xml:space="preserve">Ďalej prispieva k napĺňaniu </w:t>
      </w:r>
      <w:r>
        <w:rPr>
          <w:rFonts w:ascii="Times New Roman" w:hAnsi="Times New Roman" w:cs="Times New Roman"/>
          <w:sz w:val="24"/>
          <w:szCs w:val="24"/>
        </w:rPr>
        <w:t>a špecifického</w:t>
      </w:r>
      <w:r w:rsidRPr="00F84EB6">
        <w:rPr>
          <w:rFonts w:ascii="Times New Roman" w:hAnsi="Times New Roman" w:cs="Times New Roman"/>
          <w:sz w:val="24"/>
          <w:szCs w:val="24"/>
        </w:rPr>
        <w:t xml:space="preserve"> cieľ</w:t>
      </w:r>
      <w:r>
        <w:rPr>
          <w:rFonts w:ascii="Times New Roman" w:hAnsi="Times New Roman" w:cs="Times New Roman"/>
          <w:sz w:val="24"/>
          <w:szCs w:val="24"/>
        </w:rPr>
        <w:t>a</w:t>
      </w:r>
      <w:r w:rsidRPr="00F84EB6">
        <w:rPr>
          <w:rFonts w:ascii="Times New Roman" w:hAnsi="Times New Roman" w:cs="Times New Roman"/>
          <w:sz w:val="24"/>
          <w:szCs w:val="24"/>
        </w:rPr>
        <w:t xml:space="preserve"> IROP:</w:t>
      </w:r>
    </w:p>
    <w:p w14:paraId="115C9EE5" w14:textId="77777777" w:rsidR="00513AE9" w:rsidRDefault="00513AE9" w:rsidP="003301D6">
      <w:pPr>
        <w:pStyle w:val="Odsekzoznamu"/>
        <w:numPr>
          <w:ilvl w:val="0"/>
          <w:numId w:val="28"/>
        </w:numPr>
        <w:spacing w:line="360" w:lineRule="auto"/>
        <w:jc w:val="both"/>
        <w:rPr>
          <w:rFonts w:ascii="Times New Roman" w:hAnsi="Times New Roman" w:cs="Times New Roman"/>
          <w:sz w:val="24"/>
          <w:szCs w:val="24"/>
        </w:rPr>
      </w:pPr>
      <w:r w:rsidRPr="00511EEB">
        <w:rPr>
          <w:rFonts w:ascii="Times New Roman" w:hAnsi="Times New Roman" w:cs="Times New Roman"/>
          <w:sz w:val="24"/>
          <w:szCs w:val="24"/>
        </w:rPr>
        <w:t>5.1.1 Zvýšenie zamestnanosti na miestnej úrovni podporou podnikania a inovácií</w:t>
      </w:r>
    </w:p>
    <w:p w14:paraId="294883B2" w14:textId="77777777" w:rsidR="00513AE9" w:rsidRPr="00E63456" w:rsidRDefault="00513AE9" w:rsidP="00513AE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E739D2">
        <w:rPr>
          <w:rFonts w:ascii="Times New Roman" w:hAnsi="Times New Roman" w:cs="Times New Roman"/>
          <w:bCs/>
          <w:sz w:val="24"/>
          <w:szCs w:val="24"/>
        </w:rPr>
        <w:t xml:space="preserve">Špecifický cieľ reaguje na potrebu udržania existujúcich a vytvárania nových pracovných miest na vidieku, vrátane podpory diverzifikácie príjmu v oblasti poľnohospodárstva a lesného hospodárstva. </w:t>
      </w:r>
      <w:r>
        <w:rPr>
          <w:rFonts w:ascii="Times New Roman" w:hAnsi="Times New Roman" w:cs="Times New Roman"/>
          <w:sz w:val="24"/>
          <w:szCs w:val="24"/>
        </w:rPr>
        <w:t>Zo SWOT analýzy a identifikácie potrieb vyplýva, že hoci je v regióne nízka nezamestnanosť, treba sa zamerať na problémové skupiny ako sú dlhodobo nezamestnaní, nízko kvalifikovaní, starší,</w:t>
      </w:r>
      <w:r w:rsidRPr="00545BBC">
        <w:rPr>
          <w:rFonts w:ascii="Times New Roman" w:hAnsi="Times New Roman" w:cs="Times New Roman"/>
          <w:sz w:val="24"/>
          <w:szCs w:val="24"/>
        </w:rPr>
        <w:t xml:space="preserve"> zdravotne postihnuté osoby</w:t>
      </w:r>
      <w:r>
        <w:rPr>
          <w:rFonts w:ascii="Times New Roman" w:hAnsi="Times New Roman" w:cs="Times New Roman"/>
          <w:sz w:val="24"/>
          <w:szCs w:val="24"/>
        </w:rPr>
        <w:t xml:space="preserve"> a Rómovia. Práve sektor poľnohospodárstva, lesného hospodárstva a potravinárstva, ktoré majú v regióne dostatočné zastúpenie, by mohol podať pomocnú ruku s podporou rôznych finančných nástrojov týmto skupinám obyvateľstva. </w:t>
      </w:r>
      <w:r w:rsidRPr="00E739D2">
        <w:rPr>
          <w:rFonts w:ascii="Times New Roman" w:hAnsi="Times New Roman" w:cs="Times New Roman"/>
          <w:bCs/>
          <w:sz w:val="24"/>
          <w:szCs w:val="24"/>
        </w:rPr>
        <w:t xml:space="preserve">Širší rozvoj podnikateľskej činnosti na vidieku zabezpečí nové pracovné príležitosti pre nezamestnaných a osobitne mladých ľudí, čím sa podporí ekonomický rast, stabilizácia a posilnenie vidieckej ekonomiky a generovanie </w:t>
      </w:r>
      <w:r w:rsidRPr="00E739D2">
        <w:rPr>
          <w:rFonts w:ascii="Times New Roman" w:hAnsi="Times New Roman" w:cs="Times New Roman"/>
          <w:bCs/>
          <w:sz w:val="24"/>
          <w:szCs w:val="24"/>
        </w:rPr>
        <w:lastRenderedPageBreak/>
        <w:t xml:space="preserve">nových pracovných miest. </w:t>
      </w:r>
      <w:r w:rsidRPr="00E63456">
        <w:rPr>
          <w:rFonts w:ascii="Times New Roman" w:hAnsi="Times New Roman" w:cs="Times New Roman"/>
          <w:bCs/>
          <w:sz w:val="24"/>
          <w:szCs w:val="24"/>
        </w:rPr>
        <w:t>Špecifický  cieľ  je  zameraný  na komplexné  riešenia  podpory  vzniku nových a akceleráciu existujúcich MSP. Opatreniami  bude  zabezpečená  podpora  počas  prvých štádií  podnikania,  vytvorenie  vhodných  podmienok  pre  rast konkurencieschopnosti  MSP  a zníženie  miery  ich  zániku. Jedná sa o podporu podnikania, najmä prostredníctvom  uľahčenia využívania  nových  nápadov  v  hospodárstve  a podpory  zakladania  nových  firiem. Špecifický cieľ bude napĺňaný nasledovnými opatreniami:</w:t>
      </w:r>
    </w:p>
    <w:p w14:paraId="5DF10899"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3.1 Podpora pre investície na spracovanie/uvádzanie na trh a/alebo vývoj poľnohospodárskych výrobkov (kód opatrenia podľa PRV 4.2)</w:t>
      </w:r>
    </w:p>
    <w:p w14:paraId="02E3B39F"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3.2</w:t>
      </w:r>
      <w:r w:rsidRPr="00E63456">
        <w:t xml:space="preserve"> </w:t>
      </w:r>
      <w:r w:rsidRPr="00E63456">
        <w:rPr>
          <w:rFonts w:ascii="Times New Roman" w:hAnsi="Times New Roman" w:cs="Times New Roman"/>
          <w:i/>
          <w:sz w:val="24"/>
          <w:szCs w:val="24"/>
        </w:rPr>
        <w:t>Podpora investícií do lesníckych technológií a spracovania, do mobilizácie lesníckych výrobkov a ich uvádzania na trh (kód opatrenia podľa PRV 8.6)</w:t>
      </w:r>
    </w:p>
    <w:p w14:paraId="746E8CA9"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3.3 Vznik nových a rozširovanie existujúcich podnikov v oblasti remeselnej a priemyselnej výroby (kód opatrenia podľa IROP 5.1.1)</w:t>
      </w:r>
    </w:p>
    <w:p w14:paraId="50172E8D" w14:textId="77777777" w:rsidR="00513AE9" w:rsidRPr="00E63456"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Opatrenie 3.4 Kvalitné služby na vidieku (kód opatrenia podľa IROP 5.1.1)</w:t>
      </w:r>
    </w:p>
    <w:p w14:paraId="2461AB12" w14:textId="77777777" w:rsidR="00513AE9" w:rsidRPr="008C21F3" w:rsidRDefault="00513AE9" w:rsidP="003301D6">
      <w:pPr>
        <w:pStyle w:val="Odsekzoznamu"/>
        <w:numPr>
          <w:ilvl w:val="1"/>
          <w:numId w:val="27"/>
        </w:numPr>
        <w:spacing w:after="0" w:line="360" w:lineRule="auto"/>
        <w:ind w:left="993"/>
        <w:jc w:val="both"/>
        <w:rPr>
          <w:rFonts w:ascii="Times New Roman" w:hAnsi="Times New Roman" w:cs="Times New Roman"/>
          <w:bCs/>
          <w:sz w:val="24"/>
          <w:szCs w:val="24"/>
        </w:rPr>
      </w:pPr>
      <w:r w:rsidRPr="00E63456">
        <w:rPr>
          <w:rFonts w:ascii="Times New Roman" w:hAnsi="Times New Roman" w:cs="Times New Roman"/>
          <w:i/>
          <w:sz w:val="24"/>
          <w:szCs w:val="24"/>
        </w:rPr>
        <w:t xml:space="preserve">Opatrenie 3.5 </w:t>
      </w:r>
      <w:r w:rsidRPr="00E63456">
        <w:rPr>
          <w:rFonts w:ascii="Times New Roman" w:hAnsi="Times New Roman" w:cs="Times New Roman"/>
          <w:bCs/>
          <w:i/>
          <w:sz w:val="24"/>
          <w:szCs w:val="24"/>
        </w:rPr>
        <w:t xml:space="preserve">Spolupráca medzi malými hospodárskymi subjektmi pri organizácii spoločných pracovných procesov a spoločnom využívaní zariadení a zdrojov a pri rozvoji služieb v oblasti cestovného ruchu/ich uvádzania na trh </w:t>
      </w:r>
      <w:r w:rsidRPr="00E63456">
        <w:rPr>
          <w:rFonts w:ascii="Times New Roman" w:hAnsi="Times New Roman" w:cs="Times New Roman"/>
          <w:i/>
          <w:sz w:val="24"/>
          <w:szCs w:val="24"/>
        </w:rPr>
        <w:t>(kód opatrenia podľa PRV 16.3)</w:t>
      </w:r>
    </w:p>
    <w:p w14:paraId="51EC8ED4" w14:textId="77777777" w:rsidR="00513AE9" w:rsidRPr="008C21F3" w:rsidRDefault="00513AE9" w:rsidP="003301D6">
      <w:pPr>
        <w:pStyle w:val="Odsekzoznamu"/>
        <w:numPr>
          <w:ilvl w:val="1"/>
          <w:numId w:val="27"/>
        </w:numPr>
        <w:spacing w:after="0" w:line="360" w:lineRule="auto"/>
        <w:ind w:left="993"/>
        <w:jc w:val="both"/>
        <w:rPr>
          <w:rFonts w:ascii="Times New Roman" w:hAnsi="Times New Roman" w:cs="Times New Roman"/>
          <w:bCs/>
          <w:i/>
          <w:sz w:val="24"/>
          <w:szCs w:val="24"/>
        </w:rPr>
      </w:pPr>
      <w:r w:rsidRPr="008C21F3">
        <w:rPr>
          <w:rFonts w:ascii="Times New Roman" w:hAnsi="Times New Roman" w:cs="Times New Roman"/>
          <w:i/>
          <w:sz w:val="24"/>
          <w:szCs w:val="24"/>
        </w:rPr>
        <w:t xml:space="preserve">Opatrenie </w:t>
      </w:r>
      <w:r w:rsidRPr="008C21F3">
        <w:rPr>
          <w:rFonts w:ascii="Times New Roman" w:hAnsi="Times New Roman" w:cs="Times New Roman"/>
          <w:bCs/>
          <w:i/>
          <w:sz w:val="24"/>
          <w:szCs w:val="24"/>
        </w:rPr>
        <w:t>3.6 Podpora zamestnanosti, začleňovania a rozvoja ľudských zdrojov</w:t>
      </w:r>
      <w:r>
        <w:rPr>
          <w:rFonts w:ascii="Times New Roman" w:hAnsi="Times New Roman" w:cs="Times New Roman"/>
          <w:bCs/>
          <w:i/>
          <w:sz w:val="24"/>
          <w:szCs w:val="24"/>
        </w:rPr>
        <w:t xml:space="preserve"> (Operačný program ľudské zdroje)</w:t>
      </w:r>
    </w:p>
    <w:p w14:paraId="7B304B2E" w14:textId="77777777" w:rsidR="008368C2" w:rsidRPr="008C21F3" w:rsidRDefault="00513AE9" w:rsidP="00513AE9">
      <w:pPr>
        <w:spacing w:before="120" w:after="0" w:line="360" w:lineRule="auto"/>
        <w:jc w:val="both"/>
        <w:rPr>
          <w:rFonts w:ascii="Times New Roman" w:hAnsi="Times New Roman" w:cs="Times New Roman"/>
          <w:bCs/>
          <w:i/>
          <w:sz w:val="24"/>
          <w:szCs w:val="24"/>
        </w:rPr>
      </w:pPr>
      <w:r w:rsidRPr="00577B82">
        <w:rPr>
          <w:rFonts w:ascii="Times New Roman" w:hAnsi="Times New Roman" w:cs="Times New Roman"/>
          <w:sz w:val="24"/>
          <w:szCs w:val="24"/>
        </w:rPr>
        <w:t>Oblasť Životného prostredia je prierezovo riešená vo všetkých prioritách i špecifických cieľoch podobne ako problematika marginalizovaných skupín obyvateľstva</w:t>
      </w:r>
      <w:r>
        <w:rPr>
          <w:rFonts w:ascii="Times New Roman" w:hAnsi="Times New Roman" w:cs="Times New Roman"/>
          <w:sz w:val="24"/>
          <w:szCs w:val="24"/>
        </w:rPr>
        <w:t>.</w:t>
      </w:r>
      <w:r w:rsidR="008368C2">
        <w:rPr>
          <w:rFonts w:ascii="Times New Roman" w:hAnsi="Times New Roman" w:cs="Times New Roman"/>
          <w:sz w:val="24"/>
          <w:szCs w:val="24"/>
        </w:rPr>
        <w:tab/>
      </w:r>
    </w:p>
    <w:p w14:paraId="06C120B2" w14:textId="77777777" w:rsidR="00512FE8" w:rsidRPr="00891B13" w:rsidRDefault="00512FE8" w:rsidP="00E37887">
      <w:pPr>
        <w:pStyle w:val="Odsekzoznamu"/>
        <w:spacing w:after="0" w:line="360" w:lineRule="auto"/>
        <w:ind w:left="360"/>
        <w:rPr>
          <w:rFonts w:ascii="Times New Roman" w:hAnsi="Times New Roman" w:cs="Times New Roman"/>
          <w:b/>
          <w:sz w:val="24"/>
          <w:szCs w:val="24"/>
        </w:rPr>
      </w:pPr>
    </w:p>
    <w:p w14:paraId="3A0FFF3E" w14:textId="77777777" w:rsidR="001751A5" w:rsidRPr="001751A5" w:rsidRDefault="001751A5" w:rsidP="003301D6">
      <w:pPr>
        <w:pStyle w:val="Odsekzoznamu"/>
        <w:keepNext/>
        <w:keepLines/>
        <w:numPr>
          <w:ilvl w:val="0"/>
          <w:numId w:val="7"/>
        </w:numPr>
        <w:spacing w:after="0" w:line="360" w:lineRule="auto"/>
        <w:contextualSpacing w:val="0"/>
        <w:outlineLvl w:val="1"/>
        <w:rPr>
          <w:rFonts w:ascii="Times New Roman" w:eastAsiaTheme="majorEastAsia" w:hAnsi="Times New Roman" w:cstheme="majorBidi"/>
          <w:b/>
          <w:vanish/>
          <w:sz w:val="24"/>
          <w:szCs w:val="26"/>
        </w:rPr>
      </w:pPr>
      <w:bookmarkStart w:id="563" w:name="_Toc437861967"/>
      <w:bookmarkStart w:id="564" w:name="_Toc437862643"/>
      <w:bookmarkStart w:id="565" w:name="_Toc437862785"/>
      <w:bookmarkStart w:id="566" w:name="_Toc437877371"/>
      <w:bookmarkStart w:id="567" w:name="_Toc437877569"/>
      <w:bookmarkStart w:id="568" w:name="_Toc437877769"/>
      <w:bookmarkStart w:id="569" w:name="_Toc437877969"/>
      <w:bookmarkStart w:id="570" w:name="_Toc437878172"/>
      <w:bookmarkStart w:id="571" w:name="_Toc437878376"/>
      <w:bookmarkStart w:id="572" w:name="_Toc437878580"/>
      <w:bookmarkStart w:id="573" w:name="_Toc437878784"/>
      <w:bookmarkStart w:id="574" w:name="_Toc437861968"/>
      <w:bookmarkStart w:id="575" w:name="_Toc437862644"/>
      <w:bookmarkStart w:id="576" w:name="_Toc437862786"/>
      <w:bookmarkStart w:id="577" w:name="_Toc437877372"/>
      <w:bookmarkStart w:id="578" w:name="_Toc437877570"/>
      <w:bookmarkStart w:id="579" w:name="_Toc437877770"/>
      <w:bookmarkStart w:id="580" w:name="_Toc437877970"/>
      <w:bookmarkStart w:id="581" w:name="_Toc437878173"/>
      <w:bookmarkStart w:id="582" w:name="_Toc437878377"/>
      <w:bookmarkStart w:id="583" w:name="_Toc437878581"/>
      <w:bookmarkStart w:id="584" w:name="_Toc437878785"/>
      <w:bookmarkStart w:id="585" w:name="_Toc437861969"/>
      <w:bookmarkStart w:id="586" w:name="_Toc437862645"/>
      <w:bookmarkStart w:id="587" w:name="_Toc437862787"/>
      <w:bookmarkStart w:id="588" w:name="_Toc437877373"/>
      <w:bookmarkStart w:id="589" w:name="_Toc437877571"/>
      <w:bookmarkStart w:id="590" w:name="_Toc437877771"/>
      <w:bookmarkStart w:id="591" w:name="_Toc437877971"/>
      <w:bookmarkStart w:id="592" w:name="_Toc437878174"/>
      <w:bookmarkStart w:id="593" w:name="_Toc437878378"/>
      <w:bookmarkStart w:id="594" w:name="_Toc437878582"/>
      <w:bookmarkStart w:id="595" w:name="_Toc437878786"/>
      <w:bookmarkStart w:id="596" w:name="_Toc437861970"/>
      <w:bookmarkStart w:id="597" w:name="_Toc437862646"/>
      <w:bookmarkStart w:id="598" w:name="_Toc437862788"/>
      <w:bookmarkStart w:id="599" w:name="_Toc437877374"/>
      <w:bookmarkStart w:id="600" w:name="_Toc437877572"/>
      <w:bookmarkStart w:id="601" w:name="_Toc437877772"/>
      <w:bookmarkStart w:id="602" w:name="_Toc437877972"/>
      <w:bookmarkStart w:id="603" w:name="_Toc437878175"/>
      <w:bookmarkStart w:id="604" w:name="_Toc437878379"/>
      <w:bookmarkStart w:id="605" w:name="_Toc437878583"/>
      <w:bookmarkStart w:id="606" w:name="_Toc437878787"/>
      <w:bookmarkStart w:id="607" w:name="_Toc437862647"/>
      <w:bookmarkStart w:id="608" w:name="_Toc437862789"/>
      <w:bookmarkStart w:id="609" w:name="_Toc437877375"/>
      <w:bookmarkStart w:id="610" w:name="_Toc437877573"/>
      <w:bookmarkStart w:id="611" w:name="_Toc437877773"/>
      <w:bookmarkStart w:id="612" w:name="_Toc437877973"/>
      <w:bookmarkStart w:id="613" w:name="_Toc437878176"/>
      <w:bookmarkStart w:id="614" w:name="_Toc437878380"/>
      <w:bookmarkStart w:id="615" w:name="_Toc437878584"/>
      <w:bookmarkStart w:id="616" w:name="_Toc437878788"/>
      <w:bookmarkStart w:id="617" w:name="_Toc437862648"/>
      <w:bookmarkStart w:id="618" w:name="_Toc437862790"/>
      <w:bookmarkStart w:id="619" w:name="_Toc437877376"/>
      <w:bookmarkStart w:id="620" w:name="_Toc437877574"/>
      <w:bookmarkStart w:id="621" w:name="_Toc437877774"/>
      <w:bookmarkStart w:id="622" w:name="_Toc437877974"/>
      <w:bookmarkStart w:id="623" w:name="_Toc437878177"/>
      <w:bookmarkStart w:id="624" w:name="_Toc437878381"/>
      <w:bookmarkStart w:id="625" w:name="_Toc437878585"/>
      <w:bookmarkStart w:id="626" w:name="_Toc437878789"/>
      <w:bookmarkStart w:id="627" w:name="_Toc437862649"/>
      <w:bookmarkStart w:id="628" w:name="_Toc437862791"/>
      <w:bookmarkStart w:id="629" w:name="_Toc437877377"/>
      <w:bookmarkStart w:id="630" w:name="_Toc437877575"/>
      <w:bookmarkStart w:id="631" w:name="_Toc437877775"/>
      <w:bookmarkStart w:id="632" w:name="_Toc437877975"/>
      <w:bookmarkStart w:id="633" w:name="_Toc437878178"/>
      <w:bookmarkStart w:id="634" w:name="_Toc437878382"/>
      <w:bookmarkStart w:id="635" w:name="_Toc437878586"/>
      <w:bookmarkStart w:id="636" w:name="_Toc437878790"/>
      <w:bookmarkStart w:id="637" w:name="_Toc437862650"/>
      <w:bookmarkStart w:id="638" w:name="_Toc437862792"/>
      <w:bookmarkStart w:id="639" w:name="_Toc437877378"/>
      <w:bookmarkStart w:id="640" w:name="_Toc437877576"/>
      <w:bookmarkStart w:id="641" w:name="_Toc437877776"/>
      <w:bookmarkStart w:id="642" w:name="_Toc437877976"/>
      <w:bookmarkStart w:id="643" w:name="_Toc437878179"/>
      <w:bookmarkStart w:id="644" w:name="_Toc437878383"/>
      <w:bookmarkStart w:id="645" w:name="_Toc437878587"/>
      <w:bookmarkStart w:id="646" w:name="_Toc437878791"/>
      <w:bookmarkStart w:id="647" w:name="_Toc437861972"/>
      <w:bookmarkStart w:id="648" w:name="_Toc437862652"/>
      <w:bookmarkStart w:id="649" w:name="_Toc437862794"/>
      <w:bookmarkStart w:id="650" w:name="_Toc437877380"/>
      <w:bookmarkStart w:id="651" w:name="_Toc437877578"/>
      <w:bookmarkStart w:id="652" w:name="_Toc437877778"/>
      <w:bookmarkStart w:id="653" w:name="_Toc437877978"/>
      <w:bookmarkStart w:id="654" w:name="_Toc437878181"/>
      <w:bookmarkStart w:id="655" w:name="_Toc437878385"/>
      <w:bookmarkStart w:id="656" w:name="_Toc437878589"/>
      <w:bookmarkStart w:id="657" w:name="_Toc437878793"/>
      <w:bookmarkStart w:id="658" w:name="_Toc437861973"/>
      <w:bookmarkStart w:id="659" w:name="_Toc437862653"/>
      <w:bookmarkStart w:id="660" w:name="_Toc437862795"/>
      <w:bookmarkStart w:id="661" w:name="_Toc437877381"/>
      <w:bookmarkStart w:id="662" w:name="_Toc437877579"/>
      <w:bookmarkStart w:id="663" w:name="_Toc437877779"/>
      <w:bookmarkStart w:id="664" w:name="_Toc437877979"/>
      <w:bookmarkStart w:id="665" w:name="_Toc437878182"/>
      <w:bookmarkStart w:id="666" w:name="_Toc437878386"/>
      <w:bookmarkStart w:id="667" w:name="_Toc437878590"/>
      <w:bookmarkStart w:id="668" w:name="_Toc437878794"/>
      <w:bookmarkStart w:id="669" w:name="_Toc437861974"/>
      <w:bookmarkStart w:id="670" w:name="_Toc437862654"/>
      <w:bookmarkStart w:id="671" w:name="_Toc437862796"/>
      <w:bookmarkStart w:id="672" w:name="_Toc437877382"/>
      <w:bookmarkStart w:id="673" w:name="_Toc437877580"/>
      <w:bookmarkStart w:id="674" w:name="_Toc437877780"/>
      <w:bookmarkStart w:id="675" w:name="_Toc437877980"/>
      <w:bookmarkStart w:id="676" w:name="_Toc437878183"/>
      <w:bookmarkStart w:id="677" w:name="_Toc437878387"/>
      <w:bookmarkStart w:id="678" w:name="_Toc437878591"/>
      <w:bookmarkStart w:id="679" w:name="_Toc437878795"/>
      <w:bookmarkStart w:id="680" w:name="_Toc437861975"/>
      <w:bookmarkStart w:id="681" w:name="_Toc437862655"/>
      <w:bookmarkStart w:id="682" w:name="_Toc437862797"/>
      <w:bookmarkStart w:id="683" w:name="_Toc437877383"/>
      <w:bookmarkStart w:id="684" w:name="_Toc437877581"/>
      <w:bookmarkStart w:id="685" w:name="_Toc437877781"/>
      <w:bookmarkStart w:id="686" w:name="_Toc437877981"/>
      <w:bookmarkStart w:id="687" w:name="_Toc437878184"/>
      <w:bookmarkStart w:id="688" w:name="_Toc437878388"/>
      <w:bookmarkStart w:id="689" w:name="_Toc437878592"/>
      <w:bookmarkStart w:id="690" w:name="_Toc437878796"/>
      <w:bookmarkStart w:id="691" w:name="_Toc437861976"/>
      <w:bookmarkStart w:id="692" w:name="_Toc437862656"/>
      <w:bookmarkStart w:id="693" w:name="_Toc437862798"/>
      <w:bookmarkStart w:id="694" w:name="_Toc437877384"/>
      <w:bookmarkStart w:id="695" w:name="_Toc437877582"/>
      <w:bookmarkStart w:id="696" w:name="_Toc437877782"/>
      <w:bookmarkStart w:id="697" w:name="_Toc437877982"/>
      <w:bookmarkStart w:id="698" w:name="_Toc437878185"/>
      <w:bookmarkStart w:id="699" w:name="_Toc437878389"/>
      <w:bookmarkStart w:id="700" w:name="_Toc437878593"/>
      <w:bookmarkStart w:id="701" w:name="_Toc437878797"/>
      <w:bookmarkStart w:id="702" w:name="_Toc437862657"/>
      <w:bookmarkStart w:id="703" w:name="_Toc437862799"/>
      <w:bookmarkStart w:id="704" w:name="_Toc437877385"/>
      <w:bookmarkStart w:id="705" w:name="_Toc437877583"/>
      <w:bookmarkStart w:id="706" w:name="_Toc437877783"/>
      <w:bookmarkStart w:id="707" w:name="_Toc437877983"/>
      <w:bookmarkStart w:id="708" w:name="_Toc437878186"/>
      <w:bookmarkStart w:id="709" w:name="_Toc437878390"/>
      <w:bookmarkStart w:id="710" w:name="_Toc437878594"/>
      <w:bookmarkStart w:id="711" w:name="_Toc437878798"/>
      <w:bookmarkStart w:id="712" w:name="_Toc437862658"/>
      <w:bookmarkStart w:id="713" w:name="_Toc437862800"/>
      <w:bookmarkStart w:id="714" w:name="_Toc437877386"/>
      <w:bookmarkStart w:id="715" w:name="_Toc437877584"/>
      <w:bookmarkStart w:id="716" w:name="_Toc437877784"/>
      <w:bookmarkStart w:id="717" w:name="_Toc437877984"/>
      <w:bookmarkStart w:id="718" w:name="_Toc437878187"/>
      <w:bookmarkStart w:id="719" w:name="_Toc437878391"/>
      <w:bookmarkStart w:id="720" w:name="_Toc437878595"/>
      <w:bookmarkStart w:id="721" w:name="_Toc437878799"/>
      <w:bookmarkStart w:id="722" w:name="_Toc437862659"/>
      <w:bookmarkStart w:id="723" w:name="_Toc437862801"/>
      <w:bookmarkStart w:id="724" w:name="_Toc437877387"/>
      <w:bookmarkStart w:id="725" w:name="_Toc437877585"/>
      <w:bookmarkStart w:id="726" w:name="_Toc437877785"/>
      <w:bookmarkStart w:id="727" w:name="_Toc437877985"/>
      <w:bookmarkStart w:id="728" w:name="_Toc437878188"/>
      <w:bookmarkStart w:id="729" w:name="_Toc437878392"/>
      <w:bookmarkStart w:id="730" w:name="_Toc437878596"/>
      <w:bookmarkStart w:id="731" w:name="_Toc437878800"/>
      <w:bookmarkStart w:id="732" w:name="_Toc437862660"/>
      <w:bookmarkStart w:id="733" w:name="_Toc437862802"/>
      <w:bookmarkStart w:id="734" w:name="_Toc437877388"/>
      <w:bookmarkStart w:id="735" w:name="_Toc437877586"/>
      <w:bookmarkStart w:id="736" w:name="_Toc437877786"/>
      <w:bookmarkStart w:id="737" w:name="_Toc437877986"/>
      <w:bookmarkStart w:id="738" w:name="_Toc437878189"/>
      <w:bookmarkStart w:id="739" w:name="_Toc437878393"/>
      <w:bookmarkStart w:id="740" w:name="_Toc437878597"/>
      <w:bookmarkStart w:id="741" w:name="_Toc437878801"/>
      <w:bookmarkStart w:id="742" w:name="_Toc437862661"/>
      <w:bookmarkStart w:id="743" w:name="_Toc437862803"/>
      <w:bookmarkStart w:id="744" w:name="_Toc437877389"/>
      <w:bookmarkStart w:id="745" w:name="_Toc437877587"/>
      <w:bookmarkStart w:id="746" w:name="_Toc437877787"/>
      <w:bookmarkStart w:id="747" w:name="_Toc437877987"/>
      <w:bookmarkStart w:id="748" w:name="_Toc437878190"/>
      <w:bookmarkStart w:id="749" w:name="_Toc437878394"/>
      <w:bookmarkStart w:id="750" w:name="_Toc437878598"/>
      <w:bookmarkStart w:id="751" w:name="_Toc437878802"/>
      <w:bookmarkStart w:id="752" w:name="_Toc437861978"/>
      <w:bookmarkStart w:id="753" w:name="_Toc437862663"/>
      <w:bookmarkStart w:id="754" w:name="_Toc437862805"/>
      <w:bookmarkStart w:id="755" w:name="_Toc437877391"/>
      <w:bookmarkStart w:id="756" w:name="_Toc437877589"/>
      <w:bookmarkStart w:id="757" w:name="_Toc437877789"/>
      <w:bookmarkStart w:id="758" w:name="_Toc437877989"/>
      <w:bookmarkStart w:id="759" w:name="_Toc437878192"/>
      <w:bookmarkStart w:id="760" w:name="_Toc437878396"/>
      <w:bookmarkStart w:id="761" w:name="_Toc437878600"/>
      <w:bookmarkStart w:id="762" w:name="_Toc437878804"/>
      <w:bookmarkStart w:id="763" w:name="_Toc439149980"/>
      <w:bookmarkStart w:id="764" w:name="_Toc439150336"/>
      <w:bookmarkStart w:id="765" w:name="_Toc439150535"/>
      <w:bookmarkStart w:id="766" w:name="_Toc485645625"/>
      <w:bookmarkStart w:id="767" w:name="_Toc48564578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2BFB84E" w14:textId="77777777" w:rsidR="001751A5" w:rsidRPr="001751A5" w:rsidRDefault="001751A5" w:rsidP="003301D6">
      <w:pPr>
        <w:pStyle w:val="Odsekzoznamu"/>
        <w:keepNext/>
        <w:keepLines/>
        <w:numPr>
          <w:ilvl w:val="0"/>
          <w:numId w:val="7"/>
        </w:numPr>
        <w:spacing w:after="0" w:line="360" w:lineRule="auto"/>
        <w:contextualSpacing w:val="0"/>
        <w:outlineLvl w:val="1"/>
        <w:rPr>
          <w:rFonts w:ascii="Times New Roman" w:eastAsiaTheme="majorEastAsia" w:hAnsi="Times New Roman" w:cstheme="majorBidi"/>
          <w:b/>
          <w:vanish/>
          <w:sz w:val="24"/>
          <w:szCs w:val="26"/>
        </w:rPr>
      </w:pPr>
      <w:bookmarkStart w:id="768" w:name="_Toc437861979"/>
      <w:bookmarkStart w:id="769" w:name="_Toc437862664"/>
      <w:bookmarkStart w:id="770" w:name="_Toc437862806"/>
      <w:bookmarkStart w:id="771" w:name="_Toc437877392"/>
      <w:bookmarkStart w:id="772" w:name="_Toc437877590"/>
      <w:bookmarkStart w:id="773" w:name="_Toc437877790"/>
      <w:bookmarkStart w:id="774" w:name="_Toc437877990"/>
      <w:bookmarkStart w:id="775" w:name="_Toc437878193"/>
      <w:bookmarkStart w:id="776" w:name="_Toc437878397"/>
      <w:bookmarkStart w:id="777" w:name="_Toc437878601"/>
      <w:bookmarkStart w:id="778" w:name="_Toc437878805"/>
      <w:bookmarkStart w:id="779" w:name="_Toc439149981"/>
      <w:bookmarkStart w:id="780" w:name="_Toc439150337"/>
      <w:bookmarkStart w:id="781" w:name="_Toc439150536"/>
      <w:bookmarkStart w:id="782" w:name="_Toc485645626"/>
      <w:bookmarkStart w:id="783" w:name="_Toc485645785"/>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600E4673" w14:textId="77777777" w:rsidR="001751A5" w:rsidRPr="001751A5" w:rsidRDefault="001751A5" w:rsidP="003301D6">
      <w:pPr>
        <w:pStyle w:val="Odsekzoznamu"/>
        <w:keepNext/>
        <w:keepLines/>
        <w:numPr>
          <w:ilvl w:val="0"/>
          <w:numId w:val="7"/>
        </w:numPr>
        <w:spacing w:after="0" w:line="360" w:lineRule="auto"/>
        <w:contextualSpacing w:val="0"/>
        <w:outlineLvl w:val="1"/>
        <w:rPr>
          <w:rFonts w:ascii="Times New Roman" w:eastAsiaTheme="majorEastAsia" w:hAnsi="Times New Roman" w:cstheme="majorBidi"/>
          <w:b/>
          <w:vanish/>
          <w:sz w:val="24"/>
          <w:szCs w:val="26"/>
        </w:rPr>
      </w:pPr>
      <w:bookmarkStart w:id="784" w:name="_Toc437861980"/>
      <w:bookmarkStart w:id="785" w:name="_Toc437862665"/>
      <w:bookmarkStart w:id="786" w:name="_Toc437862807"/>
      <w:bookmarkStart w:id="787" w:name="_Toc437877393"/>
      <w:bookmarkStart w:id="788" w:name="_Toc437877591"/>
      <w:bookmarkStart w:id="789" w:name="_Toc437877791"/>
      <w:bookmarkStart w:id="790" w:name="_Toc437877991"/>
      <w:bookmarkStart w:id="791" w:name="_Toc437878194"/>
      <w:bookmarkStart w:id="792" w:name="_Toc437878398"/>
      <w:bookmarkStart w:id="793" w:name="_Toc437878602"/>
      <w:bookmarkStart w:id="794" w:name="_Toc437878806"/>
      <w:bookmarkStart w:id="795" w:name="_Toc439149982"/>
      <w:bookmarkStart w:id="796" w:name="_Toc439150338"/>
      <w:bookmarkStart w:id="797" w:name="_Toc439150537"/>
      <w:bookmarkStart w:id="798" w:name="_Toc485645627"/>
      <w:bookmarkStart w:id="799" w:name="_Toc485645786"/>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1EB199DF" w14:textId="77777777" w:rsidR="001751A5" w:rsidRPr="001751A5" w:rsidRDefault="001751A5" w:rsidP="003301D6">
      <w:pPr>
        <w:pStyle w:val="Odsekzoznamu"/>
        <w:keepNext/>
        <w:keepLines/>
        <w:numPr>
          <w:ilvl w:val="0"/>
          <w:numId w:val="7"/>
        </w:numPr>
        <w:spacing w:after="0" w:line="360" w:lineRule="auto"/>
        <w:contextualSpacing w:val="0"/>
        <w:outlineLvl w:val="1"/>
        <w:rPr>
          <w:rFonts w:ascii="Times New Roman" w:eastAsiaTheme="majorEastAsia" w:hAnsi="Times New Roman" w:cstheme="majorBidi"/>
          <w:b/>
          <w:vanish/>
          <w:sz w:val="24"/>
          <w:szCs w:val="26"/>
        </w:rPr>
      </w:pPr>
      <w:bookmarkStart w:id="800" w:name="_Toc437861981"/>
      <w:bookmarkStart w:id="801" w:name="_Toc437862666"/>
      <w:bookmarkStart w:id="802" w:name="_Toc437862808"/>
      <w:bookmarkStart w:id="803" w:name="_Toc437877394"/>
      <w:bookmarkStart w:id="804" w:name="_Toc437877592"/>
      <w:bookmarkStart w:id="805" w:name="_Toc437877792"/>
      <w:bookmarkStart w:id="806" w:name="_Toc437877992"/>
      <w:bookmarkStart w:id="807" w:name="_Toc437878195"/>
      <w:bookmarkStart w:id="808" w:name="_Toc437878399"/>
      <w:bookmarkStart w:id="809" w:name="_Toc437878603"/>
      <w:bookmarkStart w:id="810" w:name="_Toc437878807"/>
      <w:bookmarkStart w:id="811" w:name="_Toc439149983"/>
      <w:bookmarkStart w:id="812" w:name="_Toc439150339"/>
      <w:bookmarkStart w:id="813" w:name="_Toc439150538"/>
      <w:bookmarkStart w:id="814" w:name="_Toc485645628"/>
      <w:bookmarkStart w:id="815" w:name="_Toc485645787"/>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1E68CFAA" w14:textId="77777777" w:rsidR="001751A5" w:rsidRPr="001751A5" w:rsidRDefault="001751A5" w:rsidP="003301D6">
      <w:pPr>
        <w:pStyle w:val="Odsekzoznamu"/>
        <w:keepNext/>
        <w:keepLines/>
        <w:numPr>
          <w:ilvl w:val="1"/>
          <w:numId w:val="7"/>
        </w:numPr>
        <w:spacing w:after="0" w:line="360" w:lineRule="auto"/>
        <w:contextualSpacing w:val="0"/>
        <w:outlineLvl w:val="1"/>
        <w:rPr>
          <w:rFonts w:ascii="Times New Roman" w:eastAsiaTheme="majorEastAsia" w:hAnsi="Times New Roman" w:cstheme="majorBidi"/>
          <w:b/>
          <w:vanish/>
          <w:sz w:val="24"/>
          <w:szCs w:val="26"/>
        </w:rPr>
      </w:pPr>
      <w:bookmarkStart w:id="816" w:name="_Toc437861982"/>
      <w:bookmarkStart w:id="817" w:name="_Toc437862667"/>
      <w:bookmarkStart w:id="818" w:name="_Toc437862809"/>
      <w:bookmarkStart w:id="819" w:name="_Toc437877395"/>
      <w:bookmarkStart w:id="820" w:name="_Toc437877593"/>
      <w:bookmarkStart w:id="821" w:name="_Toc437877793"/>
      <w:bookmarkStart w:id="822" w:name="_Toc437877993"/>
      <w:bookmarkStart w:id="823" w:name="_Toc437878196"/>
      <w:bookmarkStart w:id="824" w:name="_Toc437878400"/>
      <w:bookmarkStart w:id="825" w:name="_Toc437878604"/>
      <w:bookmarkStart w:id="826" w:name="_Toc437878808"/>
      <w:bookmarkStart w:id="827" w:name="_Toc439149984"/>
      <w:bookmarkStart w:id="828" w:name="_Toc439150340"/>
      <w:bookmarkStart w:id="829" w:name="_Toc439150539"/>
      <w:bookmarkStart w:id="830" w:name="_Toc485645629"/>
      <w:bookmarkStart w:id="831" w:name="_Toc485645788"/>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35F36375" w14:textId="77777777" w:rsidR="001751A5" w:rsidRPr="001751A5" w:rsidRDefault="001751A5" w:rsidP="003301D6">
      <w:pPr>
        <w:pStyle w:val="Odsekzoznamu"/>
        <w:keepNext/>
        <w:keepLines/>
        <w:numPr>
          <w:ilvl w:val="1"/>
          <w:numId w:val="7"/>
        </w:numPr>
        <w:spacing w:after="0" w:line="360" w:lineRule="auto"/>
        <w:contextualSpacing w:val="0"/>
        <w:outlineLvl w:val="1"/>
        <w:rPr>
          <w:rFonts w:ascii="Times New Roman" w:eastAsiaTheme="majorEastAsia" w:hAnsi="Times New Roman" w:cstheme="majorBidi"/>
          <w:b/>
          <w:vanish/>
          <w:sz w:val="24"/>
          <w:szCs w:val="26"/>
        </w:rPr>
      </w:pPr>
      <w:bookmarkStart w:id="832" w:name="_Toc437861983"/>
      <w:bookmarkStart w:id="833" w:name="_Toc437862668"/>
      <w:bookmarkStart w:id="834" w:name="_Toc437862810"/>
      <w:bookmarkStart w:id="835" w:name="_Toc437877396"/>
      <w:bookmarkStart w:id="836" w:name="_Toc437877594"/>
      <w:bookmarkStart w:id="837" w:name="_Toc437877794"/>
      <w:bookmarkStart w:id="838" w:name="_Toc437877994"/>
      <w:bookmarkStart w:id="839" w:name="_Toc437878197"/>
      <w:bookmarkStart w:id="840" w:name="_Toc437878401"/>
      <w:bookmarkStart w:id="841" w:name="_Toc437878605"/>
      <w:bookmarkStart w:id="842" w:name="_Toc437878809"/>
      <w:bookmarkStart w:id="843" w:name="_Toc439149985"/>
      <w:bookmarkStart w:id="844" w:name="_Toc439150341"/>
      <w:bookmarkStart w:id="845" w:name="_Toc439150540"/>
      <w:bookmarkStart w:id="846" w:name="_Toc485645630"/>
      <w:bookmarkStart w:id="847" w:name="_Toc485645789"/>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553B49E8" w14:textId="77777777" w:rsidR="00A7388C" w:rsidRPr="00A7388C" w:rsidRDefault="00A7388C" w:rsidP="003301D6">
      <w:pPr>
        <w:pStyle w:val="Odsekzoznamu"/>
        <w:keepNext/>
        <w:keepLines/>
        <w:numPr>
          <w:ilvl w:val="0"/>
          <w:numId w:val="12"/>
        </w:numPr>
        <w:spacing w:after="0" w:line="360" w:lineRule="auto"/>
        <w:contextualSpacing w:val="0"/>
        <w:outlineLvl w:val="1"/>
        <w:rPr>
          <w:rFonts w:ascii="Times New Roman" w:eastAsiaTheme="majorEastAsia" w:hAnsi="Times New Roman" w:cstheme="majorBidi"/>
          <w:b/>
          <w:vanish/>
          <w:sz w:val="24"/>
          <w:szCs w:val="26"/>
        </w:rPr>
      </w:pPr>
      <w:bookmarkStart w:id="848" w:name="_Toc437862669"/>
      <w:bookmarkStart w:id="849" w:name="_Toc437862811"/>
      <w:bookmarkStart w:id="850" w:name="_Toc437877397"/>
      <w:bookmarkStart w:id="851" w:name="_Toc437877595"/>
      <w:bookmarkStart w:id="852" w:name="_Toc437877795"/>
      <w:bookmarkStart w:id="853" w:name="_Toc437877995"/>
      <w:bookmarkStart w:id="854" w:name="_Toc437878198"/>
      <w:bookmarkStart w:id="855" w:name="_Toc437878402"/>
      <w:bookmarkStart w:id="856" w:name="_Toc437878606"/>
      <w:bookmarkStart w:id="857" w:name="_Toc437878810"/>
      <w:bookmarkStart w:id="858" w:name="_Toc439149986"/>
      <w:bookmarkStart w:id="859" w:name="_Toc439150342"/>
      <w:bookmarkStart w:id="860" w:name="_Toc439150541"/>
      <w:bookmarkStart w:id="861" w:name="_Toc485645631"/>
      <w:bookmarkStart w:id="862" w:name="_Toc485645790"/>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5E8F3148" w14:textId="77777777" w:rsidR="00A7388C" w:rsidRPr="00A7388C" w:rsidRDefault="00A7388C" w:rsidP="003301D6">
      <w:pPr>
        <w:pStyle w:val="Odsekzoznamu"/>
        <w:keepNext/>
        <w:keepLines/>
        <w:numPr>
          <w:ilvl w:val="0"/>
          <w:numId w:val="12"/>
        </w:numPr>
        <w:spacing w:after="0" w:line="360" w:lineRule="auto"/>
        <w:contextualSpacing w:val="0"/>
        <w:outlineLvl w:val="1"/>
        <w:rPr>
          <w:rFonts w:ascii="Times New Roman" w:eastAsiaTheme="majorEastAsia" w:hAnsi="Times New Roman" w:cstheme="majorBidi"/>
          <w:b/>
          <w:vanish/>
          <w:sz w:val="24"/>
          <w:szCs w:val="26"/>
        </w:rPr>
      </w:pPr>
      <w:bookmarkStart w:id="863" w:name="_Toc437862670"/>
      <w:bookmarkStart w:id="864" w:name="_Toc437862812"/>
      <w:bookmarkStart w:id="865" w:name="_Toc437877398"/>
      <w:bookmarkStart w:id="866" w:name="_Toc437877596"/>
      <w:bookmarkStart w:id="867" w:name="_Toc437877796"/>
      <w:bookmarkStart w:id="868" w:name="_Toc437877996"/>
      <w:bookmarkStart w:id="869" w:name="_Toc437878199"/>
      <w:bookmarkStart w:id="870" w:name="_Toc437878403"/>
      <w:bookmarkStart w:id="871" w:name="_Toc437878607"/>
      <w:bookmarkStart w:id="872" w:name="_Toc437878811"/>
      <w:bookmarkStart w:id="873" w:name="_Toc439149987"/>
      <w:bookmarkStart w:id="874" w:name="_Toc439150343"/>
      <w:bookmarkStart w:id="875" w:name="_Toc439150542"/>
      <w:bookmarkStart w:id="876" w:name="_Toc485645632"/>
      <w:bookmarkStart w:id="877" w:name="_Toc485645791"/>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3662757E" w14:textId="77777777" w:rsidR="00A7388C" w:rsidRPr="00A7388C" w:rsidRDefault="00A7388C" w:rsidP="003301D6">
      <w:pPr>
        <w:pStyle w:val="Odsekzoznamu"/>
        <w:keepNext/>
        <w:keepLines/>
        <w:numPr>
          <w:ilvl w:val="0"/>
          <w:numId w:val="12"/>
        </w:numPr>
        <w:spacing w:after="0" w:line="360" w:lineRule="auto"/>
        <w:contextualSpacing w:val="0"/>
        <w:outlineLvl w:val="1"/>
        <w:rPr>
          <w:rFonts w:ascii="Times New Roman" w:eastAsiaTheme="majorEastAsia" w:hAnsi="Times New Roman" w:cstheme="majorBidi"/>
          <w:b/>
          <w:vanish/>
          <w:sz w:val="24"/>
          <w:szCs w:val="26"/>
        </w:rPr>
      </w:pPr>
      <w:bookmarkStart w:id="878" w:name="_Toc437862671"/>
      <w:bookmarkStart w:id="879" w:name="_Toc437862813"/>
      <w:bookmarkStart w:id="880" w:name="_Toc437877399"/>
      <w:bookmarkStart w:id="881" w:name="_Toc437877597"/>
      <w:bookmarkStart w:id="882" w:name="_Toc437877797"/>
      <w:bookmarkStart w:id="883" w:name="_Toc437877997"/>
      <w:bookmarkStart w:id="884" w:name="_Toc437878200"/>
      <w:bookmarkStart w:id="885" w:name="_Toc437878404"/>
      <w:bookmarkStart w:id="886" w:name="_Toc437878608"/>
      <w:bookmarkStart w:id="887" w:name="_Toc437878812"/>
      <w:bookmarkStart w:id="888" w:name="_Toc439149988"/>
      <w:bookmarkStart w:id="889" w:name="_Toc439150344"/>
      <w:bookmarkStart w:id="890" w:name="_Toc439150543"/>
      <w:bookmarkStart w:id="891" w:name="_Toc485645633"/>
      <w:bookmarkStart w:id="892" w:name="_Toc485645792"/>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7A42308C" w14:textId="77777777" w:rsidR="00A7388C" w:rsidRPr="00A7388C" w:rsidRDefault="00A7388C" w:rsidP="003301D6">
      <w:pPr>
        <w:pStyle w:val="Odsekzoznamu"/>
        <w:keepNext/>
        <w:keepLines/>
        <w:numPr>
          <w:ilvl w:val="0"/>
          <w:numId w:val="12"/>
        </w:numPr>
        <w:spacing w:after="0" w:line="360" w:lineRule="auto"/>
        <w:contextualSpacing w:val="0"/>
        <w:outlineLvl w:val="1"/>
        <w:rPr>
          <w:rFonts w:ascii="Times New Roman" w:eastAsiaTheme="majorEastAsia" w:hAnsi="Times New Roman" w:cstheme="majorBidi"/>
          <w:b/>
          <w:vanish/>
          <w:sz w:val="24"/>
          <w:szCs w:val="26"/>
        </w:rPr>
      </w:pPr>
      <w:bookmarkStart w:id="893" w:name="_Toc437862672"/>
      <w:bookmarkStart w:id="894" w:name="_Toc437862814"/>
      <w:bookmarkStart w:id="895" w:name="_Toc437877400"/>
      <w:bookmarkStart w:id="896" w:name="_Toc437877598"/>
      <w:bookmarkStart w:id="897" w:name="_Toc437877798"/>
      <w:bookmarkStart w:id="898" w:name="_Toc437877998"/>
      <w:bookmarkStart w:id="899" w:name="_Toc437878201"/>
      <w:bookmarkStart w:id="900" w:name="_Toc437878405"/>
      <w:bookmarkStart w:id="901" w:name="_Toc437878609"/>
      <w:bookmarkStart w:id="902" w:name="_Toc437878813"/>
      <w:bookmarkStart w:id="903" w:name="_Toc439149989"/>
      <w:bookmarkStart w:id="904" w:name="_Toc439150345"/>
      <w:bookmarkStart w:id="905" w:name="_Toc439150544"/>
      <w:bookmarkStart w:id="906" w:name="_Toc485645634"/>
      <w:bookmarkStart w:id="907" w:name="_Toc485645793"/>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584D5987" w14:textId="77777777" w:rsidR="00A7388C" w:rsidRPr="00A7388C" w:rsidRDefault="00A7388C" w:rsidP="003301D6">
      <w:pPr>
        <w:pStyle w:val="Odsekzoznamu"/>
        <w:keepNext/>
        <w:keepLines/>
        <w:numPr>
          <w:ilvl w:val="1"/>
          <w:numId w:val="12"/>
        </w:numPr>
        <w:spacing w:after="0" w:line="360" w:lineRule="auto"/>
        <w:contextualSpacing w:val="0"/>
        <w:outlineLvl w:val="1"/>
        <w:rPr>
          <w:rFonts w:ascii="Times New Roman" w:eastAsiaTheme="majorEastAsia" w:hAnsi="Times New Roman" w:cstheme="majorBidi"/>
          <w:b/>
          <w:vanish/>
          <w:sz w:val="24"/>
          <w:szCs w:val="26"/>
        </w:rPr>
      </w:pPr>
      <w:bookmarkStart w:id="908" w:name="_Toc437862673"/>
      <w:bookmarkStart w:id="909" w:name="_Toc437862815"/>
      <w:bookmarkStart w:id="910" w:name="_Toc437877401"/>
      <w:bookmarkStart w:id="911" w:name="_Toc437877599"/>
      <w:bookmarkStart w:id="912" w:name="_Toc437877799"/>
      <w:bookmarkStart w:id="913" w:name="_Toc437877999"/>
      <w:bookmarkStart w:id="914" w:name="_Toc437878202"/>
      <w:bookmarkStart w:id="915" w:name="_Toc437878406"/>
      <w:bookmarkStart w:id="916" w:name="_Toc437878610"/>
      <w:bookmarkStart w:id="917" w:name="_Toc437878814"/>
      <w:bookmarkStart w:id="918" w:name="_Toc439149990"/>
      <w:bookmarkStart w:id="919" w:name="_Toc439150346"/>
      <w:bookmarkStart w:id="920" w:name="_Toc439150545"/>
      <w:bookmarkStart w:id="921" w:name="_Toc485645635"/>
      <w:bookmarkStart w:id="922" w:name="_Toc485645794"/>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2A7074D3" w14:textId="77777777" w:rsidR="00A7388C" w:rsidRPr="00A7388C" w:rsidRDefault="00A7388C" w:rsidP="003301D6">
      <w:pPr>
        <w:pStyle w:val="Odsekzoznamu"/>
        <w:keepNext/>
        <w:keepLines/>
        <w:numPr>
          <w:ilvl w:val="1"/>
          <w:numId w:val="12"/>
        </w:numPr>
        <w:spacing w:after="0" w:line="360" w:lineRule="auto"/>
        <w:contextualSpacing w:val="0"/>
        <w:outlineLvl w:val="1"/>
        <w:rPr>
          <w:rFonts w:ascii="Times New Roman" w:eastAsiaTheme="majorEastAsia" w:hAnsi="Times New Roman" w:cstheme="majorBidi"/>
          <w:b/>
          <w:vanish/>
          <w:sz w:val="24"/>
          <w:szCs w:val="26"/>
        </w:rPr>
      </w:pPr>
      <w:bookmarkStart w:id="923" w:name="_Toc437862674"/>
      <w:bookmarkStart w:id="924" w:name="_Toc437862816"/>
      <w:bookmarkStart w:id="925" w:name="_Toc437877402"/>
      <w:bookmarkStart w:id="926" w:name="_Toc437877600"/>
      <w:bookmarkStart w:id="927" w:name="_Toc437877800"/>
      <w:bookmarkStart w:id="928" w:name="_Toc437878000"/>
      <w:bookmarkStart w:id="929" w:name="_Toc437878203"/>
      <w:bookmarkStart w:id="930" w:name="_Toc437878407"/>
      <w:bookmarkStart w:id="931" w:name="_Toc437878611"/>
      <w:bookmarkStart w:id="932" w:name="_Toc437878815"/>
      <w:bookmarkStart w:id="933" w:name="_Toc439149991"/>
      <w:bookmarkStart w:id="934" w:name="_Toc439150347"/>
      <w:bookmarkStart w:id="935" w:name="_Toc439150546"/>
      <w:bookmarkStart w:id="936" w:name="_Toc485645636"/>
      <w:bookmarkStart w:id="937" w:name="_Toc485645795"/>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373E81E5" w14:textId="77777777" w:rsidR="004E4D25" w:rsidRPr="00891B13" w:rsidRDefault="006D56E5" w:rsidP="003301D6">
      <w:pPr>
        <w:pStyle w:val="Nadpis2"/>
        <w:numPr>
          <w:ilvl w:val="1"/>
          <w:numId w:val="12"/>
        </w:numPr>
        <w:ind w:left="567"/>
      </w:pPr>
      <w:bookmarkStart w:id="938" w:name="_Toc485645796"/>
      <w:r w:rsidRPr="00891B13">
        <w:t xml:space="preserve">Súhrn </w:t>
      </w:r>
      <w:r w:rsidR="00BB7C75" w:rsidRPr="00891B13">
        <w:t>strategického rámca</w:t>
      </w:r>
      <w:bookmarkEnd w:id="938"/>
    </w:p>
    <w:p w14:paraId="7409ED5A" w14:textId="77777777" w:rsidR="00512FE8" w:rsidRPr="00891B13" w:rsidRDefault="00512FE8" w:rsidP="00E37887">
      <w:pPr>
        <w:pStyle w:val="Odsekzoznamu"/>
        <w:spacing w:after="0" w:line="360" w:lineRule="auto"/>
        <w:ind w:left="792"/>
        <w:rPr>
          <w:rFonts w:ascii="Times New Roman" w:hAnsi="Times New Roman" w:cs="Times New Roman"/>
          <w:b/>
          <w:sz w:val="24"/>
          <w:szCs w:val="24"/>
        </w:rPr>
      </w:pPr>
    </w:p>
    <w:p w14:paraId="3BE39A9E" w14:textId="77777777" w:rsidR="00F71DDC" w:rsidRPr="008951E2" w:rsidRDefault="00F71DDC" w:rsidP="00E37887">
      <w:pPr>
        <w:spacing w:after="0" w:line="360" w:lineRule="auto"/>
        <w:rPr>
          <w:rFonts w:ascii="Times New Roman" w:hAnsi="Times New Roman" w:cs="Times New Roman"/>
          <w:b/>
          <w:sz w:val="20"/>
          <w:szCs w:val="20"/>
        </w:rPr>
      </w:pPr>
      <w:r w:rsidRPr="008951E2">
        <w:rPr>
          <w:rFonts w:ascii="Times New Roman" w:hAnsi="Times New Roman" w:cs="Times New Roman"/>
          <w:b/>
          <w:sz w:val="20"/>
          <w:szCs w:val="20"/>
        </w:rPr>
        <w:t xml:space="preserve">Tabuľka </w:t>
      </w:r>
      <w:r w:rsidR="003940DB" w:rsidRPr="008951E2">
        <w:rPr>
          <w:rFonts w:ascii="Times New Roman" w:hAnsi="Times New Roman" w:cs="Times New Roman"/>
          <w:b/>
          <w:sz w:val="20"/>
          <w:szCs w:val="20"/>
        </w:rPr>
        <w:t>4.3.1</w:t>
      </w:r>
      <w:r w:rsidRPr="008951E2">
        <w:rPr>
          <w:rFonts w:ascii="Times New Roman" w:hAnsi="Times New Roman" w:cs="Times New Roman"/>
          <w:b/>
          <w:sz w:val="20"/>
          <w:szCs w:val="20"/>
        </w:rPr>
        <w:t xml:space="preserve"> Súhrnný prehľad strategického rámca </w:t>
      </w:r>
    </w:p>
    <w:tbl>
      <w:tblPr>
        <w:tblStyle w:val="Mriekatabuky"/>
        <w:tblW w:w="0" w:type="auto"/>
        <w:tblLook w:val="04A0" w:firstRow="1" w:lastRow="0" w:firstColumn="1" w:lastColumn="0" w:noHBand="0" w:noVBand="1"/>
      </w:tblPr>
      <w:tblGrid>
        <w:gridCol w:w="3042"/>
        <w:gridCol w:w="3006"/>
        <w:gridCol w:w="3013"/>
      </w:tblGrid>
      <w:tr w:rsidR="003940DB" w:rsidRPr="00891B13" w14:paraId="4FA169A6" w14:textId="77777777" w:rsidTr="00387D99">
        <w:tc>
          <w:tcPr>
            <w:tcW w:w="9061" w:type="dxa"/>
            <w:gridSpan w:val="3"/>
          </w:tcPr>
          <w:p w14:paraId="25AF823B" w14:textId="77777777" w:rsidR="003940DB" w:rsidRPr="00891B13" w:rsidRDefault="003940DB" w:rsidP="00387D99">
            <w:pPr>
              <w:spacing w:line="360" w:lineRule="auto"/>
              <w:jc w:val="center"/>
              <w:rPr>
                <w:rFonts w:ascii="Times New Roman" w:hAnsi="Times New Roman" w:cs="Times New Roman"/>
                <w:b/>
                <w:sz w:val="24"/>
                <w:szCs w:val="24"/>
              </w:rPr>
            </w:pPr>
            <w:r w:rsidRPr="00891B13">
              <w:rPr>
                <w:rFonts w:ascii="Times New Roman" w:hAnsi="Times New Roman" w:cs="Times New Roman"/>
                <w:b/>
                <w:sz w:val="24"/>
                <w:szCs w:val="24"/>
              </w:rPr>
              <w:t>Vízia</w:t>
            </w:r>
          </w:p>
          <w:p w14:paraId="5923DB50" w14:textId="77777777" w:rsidR="003940DB" w:rsidRPr="00891B13" w:rsidRDefault="003940DB" w:rsidP="00387D99">
            <w:pPr>
              <w:spacing w:line="360" w:lineRule="auto"/>
              <w:jc w:val="center"/>
              <w:rPr>
                <w:rFonts w:ascii="Times New Roman" w:hAnsi="Times New Roman" w:cs="Times New Roman"/>
                <w:b/>
                <w:sz w:val="24"/>
                <w:szCs w:val="24"/>
              </w:rPr>
            </w:pPr>
            <w:r w:rsidRPr="00124490">
              <w:rPr>
                <w:rFonts w:ascii="Times New Roman" w:hAnsi="Times New Roman" w:cs="Times New Roman"/>
                <w:b/>
                <w:sz w:val="24"/>
                <w:szCs w:val="24"/>
              </w:rPr>
              <w:t xml:space="preserve">Kopaničiarsky región ako prosperujúce územie vďaka kvalitnému podnikateľskému prostrediu, efektívnym verejným službám a s krásnym prírodným prostredím pohorí Bielych a Malých Karpát a Myjavskej pahorkatiny, ponúkajúcim bývanie v atraktívnom vidieckom prostredí a možnosť hodnotne stráveného času relaxu a oddychu s využitím širokej ponuky špecifických produktov a služieb vidieckeho cestovného ruchu typických pre kopaničiarsky región. Bohatá história, ľudové </w:t>
            </w:r>
            <w:r w:rsidRPr="00124490">
              <w:rPr>
                <w:rFonts w:ascii="Times New Roman" w:hAnsi="Times New Roman" w:cs="Times New Roman"/>
                <w:b/>
                <w:sz w:val="24"/>
                <w:szCs w:val="24"/>
              </w:rPr>
              <w:lastRenderedPageBreak/>
              <w:t>tradície, folklór a zachovaná tradičná architektúra sú základnými atribútmi identity územia.</w:t>
            </w:r>
          </w:p>
        </w:tc>
      </w:tr>
      <w:tr w:rsidR="003940DB" w:rsidRPr="00891B13" w14:paraId="17E2C8C8" w14:textId="77777777" w:rsidTr="00387D99">
        <w:tc>
          <w:tcPr>
            <w:tcW w:w="9061" w:type="dxa"/>
            <w:gridSpan w:val="3"/>
          </w:tcPr>
          <w:p w14:paraId="7E5EDA1F" w14:textId="77777777" w:rsidR="003940DB" w:rsidRPr="00891B13" w:rsidRDefault="003940DB" w:rsidP="00387D99">
            <w:pPr>
              <w:spacing w:line="360" w:lineRule="auto"/>
              <w:rPr>
                <w:rFonts w:ascii="Times New Roman" w:hAnsi="Times New Roman" w:cs="Times New Roman"/>
                <w:b/>
                <w:sz w:val="24"/>
                <w:szCs w:val="24"/>
              </w:rPr>
            </w:pPr>
          </w:p>
        </w:tc>
      </w:tr>
      <w:tr w:rsidR="003940DB" w:rsidRPr="00891B13" w14:paraId="18DE6B3A" w14:textId="77777777" w:rsidTr="00387D99">
        <w:tc>
          <w:tcPr>
            <w:tcW w:w="9061" w:type="dxa"/>
            <w:gridSpan w:val="3"/>
          </w:tcPr>
          <w:p w14:paraId="723D5B53" w14:textId="77777777" w:rsidR="003940DB" w:rsidRPr="00891B13" w:rsidRDefault="003940DB" w:rsidP="00387D99">
            <w:pPr>
              <w:spacing w:line="360" w:lineRule="auto"/>
              <w:jc w:val="center"/>
              <w:rPr>
                <w:rFonts w:ascii="Times New Roman" w:hAnsi="Times New Roman" w:cs="Times New Roman"/>
                <w:b/>
                <w:sz w:val="24"/>
                <w:szCs w:val="24"/>
              </w:rPr>
            </w:pPr>
            <w:r w:rsidRPr="00891B13">
              <w:rPr>
                <w:rFonts w:ascii="Times New Roman" w:hAnsi="Times New Roman" w:cs="Times New Roman"/>
                <w:b/>
                <w:sz w:val="24"/>
                <w:szCs w:val="24"/>
              </w:rPr>
              <w:t>Strategický cieľ</w:t>
            </w:r>
          </w:p>
          <w:p w14:paraId="36E5619C" w14:textId="77777777" w:rsidR="003940DB" w:rsidRPr="00891B13" w:rsidRDefault="003940DB" w:rsidP="00387D99">
            <w:pPr>
              <w:spacing w:line="360" w:lineRule="auto"/>
              <w:jc w:val="center"/>
              <w:rPr>
                <w:rFonts w:ascii="Times New Roman" w:hAnsi="Times New Roman" w:cs="Times New Roman"/>
                <w:b/>
                <w:sz w:val="24"/>
                <w:szCs w:val="24"/>
              </w:rPr>
            </w:pPr>
            <w:r w:rsidRPr="00124490">
              <w:rPr>
                <w:rFonts w:ascii="Times New Roman" w:hAnsi="Times New Roman" w:cs="Times New Roman"/>
                <w:b/>
                <w:sz w:val="24"/>
                <w:szCs w:val="24"/>
              </w:rPr>
              <w:t>Zvýšiť prosperitu a atraktivitu územia „Kopaničiarsky región – miestna akčná skupina“ do roku 2022 prostredníctvom kvalitného podnikateľského prostredia, efektívnych verejných služieb a rozvojom vidieckeho cestovného ruchu prezentujúceho špecifiká Kopaničiarskeho regiónu.</w:t>
            </w:r>
          </w:p>
        </w:tc>
      </w:tr>
      <w:tr w:rsidR="003940DB" w:rsidRPr="00891B13" w14:paraId="2F5D43A9" w14:textId="77777777" w:rsidTr="00387D99">
        <w:tc>
          <w:tcPr>
            <w:tcW w:w="9061" w:type="dxa"/>
            <w:gridSpan w:val="3"/>
          </w:tcPr>
          <w:p w14:paraId="27C44379" w14:textId="77777777" w:rsidR="003940DB" w:rsidRPr="00891B13" w:rsidRDefault="003940DB" w:rsidP="00387D99">
            <w:pPr>
              <w:spacing w:line="360" w:lineRule="auto"/>
              <w:rPr>
                <w:rFonts w:ascii="Times New Roman" w:hAnsi="Times New Roman" w:cs="Times New Roman"/>
                <w:b/>
                <w:sz w:val="24"/>
                <w:szCs w:val="24"/>
              </w:rPr>
            </w:pPr>
          </w:p>
        </w:tc>
      </w:tr>
      <w:tr w:rsidR="003940DB" w:rsidRPr="00891B13" w14:paraId="5F9BF0A0" w14:textId="77777777" w:rsidTr="00387D99">
        <w:tc>
          <w:tcPr>
            <w:tcW w:w="9061" w:type="dxa"/>
            <w:gridSpan w:val="3"/>
          </w:tcPr>
          <w:p w14:paraId="27F987E8" w14:textId="77777777" w:rsidR="003940DB" w:rsidRPr="00891B13" w:rsidRDefault="003940DB" w:rsidP="00387D99">
            <w:pPr>
              <w:spacing w:line="360" w:lineRule="auto"/>
              <w:jc w:val="center"/>
              <w:rPr>
                <w:rFonts w:ascii="Times New Roman" w:hAnsi="Times New Roman" w:cs="Times New Roman"/>
                <w:b/>
                <w:sz w:val="24"/>
                <w:szCs w:val="24"/>
              </w:rPr>
            </w:pPr>
            <w:r w:rsidRPr="00891B13">
              <w:rPr>
                <w:rFonts w:ascii="Times New Roman" w:hAnsi="Times New Roman" w:cs="Times New Roman"/>
                <w:b/>
                <w:sz w:val="24"/>
                <w:szCs w:val="24"/>
              </w:rPr>
              <w:t>Priorita 1:</w:t>
            </w:r>
          </w:p>
          <w:p w14:paraId="2ADF9D22" w14:textId="77777777" w:rsidR="003940DB" w:rsidRPr="00087159" w:rsidRDefault="003940DB" w:rsidP="00387D99">
            <w:pPr>
              <w:spacing w:line="360" w:lineRule="auto"/>
              <w:jc w:val="center"/>
              <w:rPr>
                <w:rFonts w:ascii="Times New Roman" w:hAnsi="Times New Roman" w:cs="Times New Roman"/>
                <w:b/>
                <w:sz w:val="24"/>
                <w:szCs w:val="24"/>
              </w:rPr>
            </w:pPr>
            <w:r w:rsidRPr="00087159">
              <w:rPr>
                <w:rFonts w:ascii="Times New Roman" w:hAnsi="Times New Roman" w:cs="Times New Roman"/>
                <w:b/>
                <w:sz w:val="24"/>
                <w:szCs w:val="24"/>
              </w:rPr>
              <w:t>Kvalitné verejné služby a občianska vybavenosť pre vidiecke obyvateľstvo</w:t>
            </w:r>
          </w:p>
        </w:tc>
      </w:tr>
      <w:tr w:rsidR="003940DB" w:rsidRPr="00891B13" w14:paraId="3186A0C4" w14:textId="77777777" w:rsidTr="00387D99">
        <w:tc>
          <w:tcPr>
            <w:tcW w:w="9061" w:type="dxa"/>
            <w:gridSpan w:val="3"/>
          </w:tcPr>
          <w:p w14:paraId="7C6B0AB4" w14:textId="77777777" w:rsidR="003940DB" w:rsidRPr="00891B13" w:rsidRDefault="003940DB" w:rsidP="00387D99">
            <w:pPr>
              <w:spacing w:line="360" w:lineRule="auto"/>
              <w:rPr>
                <w:rFonts w:ascii="Times New Roman" w:hAnsi="Times New Roman" w:cs="Times New Roman"/>
                <w:b/>
                <w:sz w:val="24"/>
                <w:szCs w:val="24"/>
              </w:rPr>
            </w:pPr>
            <w:r w:rsidRPr="00891B13">
              <w:rPr>
                <w:rFonts w:ascii="Times New Roman" w:hAnsi="Times New Roman" w:cs="Times New Roman"/>
                <w:b/>
                <w:sz w:val="24"/>
                <w:szCs w:val="24"/>
              </w:rPr>
              <w:t xml:space="preserve">Špecifický cieľ: </w:t>
            </w:r>
            <w:r w:rsidRPr="00734299">
              <w:rPr>
                <w:rFonts w:ascii="Times New Roman" w:hAnsi="Times New Roman" w:cs="Times New Roman"/>
                <w:b/>
                <w:sz w:val="24"/>
                <w:szCs w:val="24"/>
              </w:rPr>
              <w:t xml:space="preserve">Zvýšenie kvality </w:t>
            </w:r>
            <w:r w:rsidRPr="00B46B24">
              <w:rPr>
                <w:rFonts w:ascii="Times New Roman" w:hAnsi="Times New Roman" w:cs="Times New Roman"/>
                <w:b/>
                <w:sz w:val="24"/>
                <w:szCs w:val="24"/>
              </w:rPr>
              <w:t>infraštruktúry a verejných služieb</w:t>
            </w:r>
          </w:p>
        </w:tc>
      </w:tr>
      <w:tr w:rsidR="003940DB" w:rsidRPr="00891B13" w14:paraId="4897A4D1" w14:textId="77777777" w:rsidTr="00387D99">
        <w:tc>
          <w:tcPr>
            <w:tcW w:w="3042" w:type="dxa"/>
          </w:tcPr>
          <w:p w14:paraId="14D23EF8"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Opatrenia PRV:</w:t>
            </w:r>
          </w:p>
          <w:p w14:paraId="60C679AC" w14:textId="77777777" w:rsidR="003940DB"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t xml:space="preserve"> </w:t>
            </w:r>
            <w:r w:rsidRPr="00B46B24">
              <w:rPr>
                <w:rFonts w:ascii="Times New Roman" w:hAnsi="Times New Roman" w:cs="Times New Roman"/>
                <w:sz w:val="24"/>
                <w:szCs w:val="24"/>
              </w:rPr>
              <w:t>Opatrenie 1.1 Podpora na investície do vytvárania, zlepšovania alebo rozširovania miestnych základných služieb pre vidiecke obyvateľstvo vrátane voľného času a kultúry a súvisiacej infraštruktúry (kód opatrenia podľa PRV 7.4.)</w:t>
            </w:r>
          </w:p>
          <w:p w14:paraId="3936A38F" w14:textId="77777777" w:rsidR="003940DB" w:rsidRPr="00891B13" w:rsidRDefault="003940DB" w:rsidP="00387D99">
            <w:pPr>
              <w:spacing w:line="360" w:lineRule="auto"/>
              <w:rPr>
                <w:rFonts w:ascii="Times New Roman" w:hAnsi="Times New Roman" w:cs="Times New Roman"/>
                <w:sz w:val="24"/>
                <w:szCs w:val="24"/>
              </w:rPr>
            </w:pPr>
          </w:p>
          <w:p w14:paraId="002D8A42"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t xml:space="preserve"> </w:t>
            </w:r>
            <w:r w:rsidRPr="00B46B24">
              <w:rPr>
                <w:rFonts w:ascii="Times New Roman" w:hAnsi="Times New Roman" w:cs="Times New Roman"/>
                <w:sz w:val="24"/>
                <w:szCs w:val="24"/>
              </w:rPr>
              <w:t>Opatrenie 1.4 Podpora na investície do vytvárania, zlepšovania alebo rozširovania infraštruktúr malých rozmerov (kód opatrenia podľa PRV 7.2)</w:t>
            </w:r>
          </w:p>
        </w:tc>
        <w:tc>
          <w:tcPr>
            <w:tcW w:w="3006" w:type="dxa"/>
          </w:tcPr>
          <w:p w14:paraId="6E1DA944"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Opatrenia IROP:</w:t>
            </w:r>
          </w:p>
          <w:p w14:paraId="02F384C1" w14:textId="77777777" w:rsidR="003940DB"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t xml:space="preserve"> </w:t>
            </w:r>
            <w:r w:rsidRPr="00B46B24">
              <w:rPr>
                <w:rFonts w:ascii="Times New Roman" w:hAnsi="Times New Roman" w:cs="Times New Roman"/>
                <w:sz w:val="24"/>
                <w:szCs w:val="24"/>
              </w:rPr>
              <w:t>Opatrenie 1.2 Rozvoj základnej infraštruktúry v mestách a obciach (kód opatrenia podľa IROP 5.1.2)</w:t>
            </w:r>
          </w:p>
          <w:p w14:paraId="533882F4" w14:textId="77777777" w:rsidR="003940DB" w:rsidRPr="00B46B24" w:rsidRDefault="003940DB" w:rsidP="00387D99">
            <w:pPr>
              <w:spacing w:line="360" w:lineRule="auto"/>
              <w:rPr>
                <w:rFonts w:ascii="Times New Roman" w:hAnsi="Times New Roman" w:cs="Times New Roman"/>
                <w:sz w:val="24"/>
                <w:szCs w:val="24"/>
              </w:rPr>
            </w:pPr>
          </w:p>
          <w:p w14:paraId="3A04B63E"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rsidRPr="00B46B24">
              <w:rPr>
                <w:rFonts w:ascii="Times New Roman" w:hAnsi="Times New Roman" w:cs="Times New Roman"/>
                <w:sz w:val="24"/>
                <w:szCs w:val="24"/>
              </w:rPr>
              <w:t xml:space="preserve"> Opatrenie 1.3 Podpora sociálnych a komunitných služieb (kód opatrenia podľa IROP 5.1.2)</w:t>
            </w:r>
          </w:p>
        </w:tc>
        <w:tc>
          <w:tcPr>
            <w:tcW w:w="3013" w:type="dxa"/>
          </w:tcPr>
          <w:p w14:paraId="61D02CB5"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Iné opatrenia:</w:t>
            </w:r>
          </w:p>
          <w:p w14:paraId="0A5000D6"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p>
          <w:p w14:paraId="3A3CC67E" w14:textId="77777777" w:rsidR="003940DB" w:rsidRPr="00891B13" w:rsidRDefault="003940DB" w:rsidP="00387D99">
            <w:pPr>
              <w:spacing w:line="360" w:lineRule="auto"/>
              <w:rPr>
                <w:rFonts w:ascii="Times New Roman" w:hAnsi="Times New Roman" w:cs="Times New Roman"/>
                <w:sz w:val="24"/>
                <w:szCs w:val="24"/>
              </w:rPr>
            </w:pPr>
          </w:p>
        </w:tc>
      </w:tr>
      <w:tr w:rsidR="003940DB" w:rsidRPr="00891B13" w14:paraId="12F926C4" w14:textId="77777777" w:rsidTr="00387D99">
        <w:tc>
          <w:tcPr>
            <w:tcW w:w="9061" w:type="dxa"/>
            <w:gridSpan w:val="3"/>
          </w:tcPr>
          <w:p w14:paraId="7C9AC5FB" w14:textId="77777777" w:rsidR="003940DB" w:rsidRPr="00891B13" w:rsidRDefault="003940DB" w:rsidP="00387D99">
            <w:pPr>
              <w:spacing w:line="360" w:lineRule="auto"/>
              <w:jc w:val="center"/>
              <w:rPr>
                <w:rFonts w:ascii="Times New Roman" w:hAnsi="Times New Roman" w:cs="Times New Roman"/>
                <w:b/>
                <w:sz w:val="24"/>
                <w:szCs w:val="24"/>
              </w:rPr>
            </w:pPr>
            <w:r w:rsidRPr="00891B13">
              <w:rPr>
                <w:rFonts w:ascii="Times New Roman" w:hAnsi="Times New Roman" w:cs="Times New Roman"/>
                <w:b/>
                <w:sz w:val="24"/>
                <w:szCs w:val="24"/>
              </w:rPr>
              <w:t>Priorita 2:</w:t>
            </w:r>
          </w:p>
          <w:p w14:paraId="58AA2924" w14:textId="77777777" w:rsidR="003940DB" w:rsidRPr="00B46B24" w:rsidRDefault="003940DB" w:rsidP="00387D99">
            <w:pPr>
              <w:spacing w:line="360" w:lineRule="auto"/>
              <w:jc w:val="center"/>
              <w:rPr>
                <w:rFonts w:ascii="Times New Roman" w:hAnsi="Times New Roman" w:cs="Times New Roman"/>
                <w:b/>
                <w:sz w:val="24"/>
                <w:szCs w:val="24"/>
              </w:rPr>
            </w:pPr>
            <w:r w:rsidRPr="00B46B24">
              <w:rPr>
                <w:rFonts w:ascii="Times New Roman" w:hAnsi="Times New Roman" w:cs="Times New Roman"/>
                <w:b/>
                <w:sz w:val="24"/>
                <w:szCs w:val="24"/>
              </w:rPr>
              <w:t>Využitie miestneho potenciálu pre rozvoj cestovného ruchu</w:t>
            </w:r>
          </w:p>
        </w:tc>
      </w:tr>
      <w:tr w:rsidR="003940DB" w:rsidRPr="00891B13" w14:paraId="6CBEF73A" w14:textId="77777777" w:rsidTr="00387D99">
        <w:tc>
          <w:tcPr>
            <w:tcW w:w="9061" w:type="dxa"/>
            <w:gridSpan w:val="3"/>
          </w:tcPr>
          <w:p w14:paraId="7B50FB20"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b/>
                <w:sz w:val="24"/>
                <w:szCs w:val="24"/>
              </w:rPr>
              <w:t xml:space="preserve">Špecifický cieľ: </w:t>
            </w:r>
            <w:r w:rsidRPr="00B46B24">
              <w:rPr>
                <w:rFonts w:ascii="Times New Roman" w:hAnsi="Times New Roman" w:cs="Times New Roman"/>
                <w:b/>
                <w:sz w:val="24"/>
                <w:szCs w:val="24"/>
              </w:rPr>
              <w:t xml:space="preserve">Zlepšiť podmienky pre rozvoj potenciálu vidieckeho cestovného </w:t>
            </w:r>
            <w:r w:rsidRPr="00B46B24">
              <w:rPr>
                <w:rFonts w:ascii="Times New Roman" w:hAnsi="Times New Roman" w:cs="Times New Roman"/>
                <w:b/>
                <w:sz w:val="24"/>
                <w:szCs w:val="24"/>
              </w:rPr>
              <w:lastRenderedPageBreak/>
              <w:t>ruchu a spolupráce</w:t>
            </w:r>
          </w:p>
        </w:tc>
      </w:tr>
      <w:tr w:rsidR="003940DB" w:rsidRPr="00891B13" w14:paraId="121D237A" w14:textId="77777777" w:rsidTr="00387D99">
        <w:tc>
          <w:tcPr>
            <w:tcW w:w="3042" w:type="dxa"/>
          </w:tcPr>
          <w:p w14:paraId="751F6EF8"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lastRenderedPageBreak/>
              <w:t>Opatrenia PRV:</w:t>
            </w:r>
          </w:p>
          <w:p w14:paraId="51F10685" w14:textId="77777777" w:rsidR="003940DB"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t xml:space="preserve"> </w:t>
            </w:r>
            <w:r w:rsidRPr="00B46B24">
              <w:rPr>
                <w:rFonts w:ascii="Times New Roman" w:hAnsi="Times New Roman" w:cs="Times New Roman"/>
                <w:sz w:val="24"/>
                <w:szCs w:val="24"/>
              </w:rPr>
              <w:t>Opatrenie 2.1 Podpora na investície do rekreačnej infraštruktúry, turistických informácií a do turistickej infraštruktúry malých rozmerov na verejné využitie (kód opatrenia podľa PRV 7.5)</w:t>
            </w:r>
          </w:p>
          <w:p w14:paraId="269401D9" w14:textId="77777777" w:rsidR="003940DB" w:rsidRPr="00B46B24" w:rsidRDefault="003940DB" w:rsidP="00387D99">
            <w:pPr>
              <w:spacing w:line="360" w:lineRule="auto"/>
              <w:rPr>
                <w:rFonts w:ascii="Times New Roman" w:hAnsi="Times New Roman" w:cs="Times New Roman"/>
                <w:sz w:val="24"/>
                <w:szCs w:val="24"/>
              </w:rPr>
            </w:pPr>
          </w:p>
          <w:p w14:paraId="17179A08" w14:textId="77777777" w:rsidR="003940DB" w:rsidRDefault="003940DB"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6B24">
              <w:rPr>
                <w:rFonts w:ascii="Times New Roman" w:hAnsi="Times New Roman" w:cs="Times New Roman"/>
                <w:sz w:val="24"/>
                <w:szCs w:val="24"/>
              </w:rPr>
              <w:t>Opatrenie 2.2 Podpora na investície do zlepšenia odolnosti a environmentálnej hodnoty lesných ekosystémov (kód opatrenia podľa PRV 8.5)</w:t>
            </w:r>
          </w:p>
          <w:p w14:paraId="7F7CE138" w14:textId="77777777" w:rsidR="003940DB" w:rsidRPr="00B46B24" w:rsidRDefault="003940DB" w:rsidP="00387D99">
            <w:pPr>
              <w:spacing w:line="360" w:lineRule="auto"/>
              <w:rPr>
                <w:rFonts w:ascii="Times New Roman" w:hAnsi="Times New Roman" w:cs="Times New Roman"/>
                <w:sz w:val="24"/>
                <w:szCs w:val="24"/>
              </w:rPr>
            </w:pPr>
          </w:p>
          <w:p w14:paraId="74D92A03" w14:textId="77777777" w:rsidR="003940DB" w:rsidRDefault="003940DB"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6B24">
              <w:rPr>
                <w:rFonts w:ascii="Times New Roman" w:hAnsi="Times New Roman" w:cs="Times New Roman"/>
                <w:sz w:val="24"/>
                <w:szCs w:val="24"/>
              </w:rPr>
              <w:t xml:space="preserve">Opatrenie 2.3 </w:t>
            </w:r>
            <w:r w:rsidRPr="00217509">
              <w:rPr>
                <w:rFonts w:ascii="Times New Roman" w:hAnsi="Times New Roman" w:cs="Times New Roman"/>
                <w:sz w:val="24"/>
                <w:szCs w:val="24"/>
              </w:rPr>
              <w:t xml:space="preserve">Podpora na investície do rozvoja vidieckeho cestovného ruchu a agroturistiky </w:t>
            </w:r>
            <w:r w:rsidRPr="00B46B24">
              <w:rPr>
                <w:rFonts w:ascii="Times New Roman" w:hAnsi="Times New Roman" w:cs="Times New Roman"/>
                <w:sz w:val="24"/>
                <w:szCs w:val="24"/>
              </w:rPr>
              <w:t>(kód opatrenia podľa PRV 6.4)</w:t>
            </w:r>
          </w:p>
          <w:p w14:paraId="4A2D9AEB" w14:textId="77777777" w:rsidR="003940DB" w:rsidRPr="00891B13" w:rsidRDefault="003940DB" w:rsidP="00387D99">
            <w:pPr>
              <w:spacing w:line="360" w:lineRule="auto"/>
              <w:rPr>
                <w:rFonts w:ascii="Times New Roman" w:hAnsi="Times New Roman" w:cs="Times New Roman"/>
                <w:sz w:val="24"/>
                <w:szCs w:val="24"/>
              </w:rPr>
            </w:pPr>
          </w:p>
        </w:tc>
        <w:tc>
          <w:tcPr>
            <w:tcW w:w="3006" w:type="dxa"/>
          </w:tcPr>
          <w:p w14:paraId="529CFD84"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Opatrenia IROP:</w:t>
            </w:r>
          </w:p>
          <w:p w14:paraId="6BB68A1E" w14:textId="77777777" w:rsidR="003940DB" w:rsidRPr="00891B13" w:rsidRDefault="003940DB" w:rsidP="00387D99">
            <w:pPr>
              <w:spacing w:line="360" w:lineRule="auto"/>
              <w:rPr>
                <w:rFonts w:ascii="Times New Roman" w:hAnsi="Times New Roman" w:cs="Times New Roman"/>
                <w:sz w:val="24"/>
                <w:szCs w:val="24"/>
              </w:rPr>
            </w:pPr>
          </w:p>
        </w:tc>
        <w:tc>
          <w:tcPr>
            <w:tcW w:w="3013" w:type="dxa"/>
          </w:tcPr>
          <w:p w14:paraId="54DD8095"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Iné opatrenia:</w:t>
            </w:r>
          </w:p>
          <w:p w14:paraId="509AAC52" w14:textId="77777777" w:rsidR="003940DB" w:rsidRDefault="003940DB"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6B24">
              <w:rPr>
                <w:rFonts w:ascii="Times New Roman" w:hAnsi="Times New Roman" w:cs="Times New Roman"/>
                <w:sz w:val="24"/>
                <w:szCs w:val="24"/>
              </w:rPr>
              <w:t>Opatrenie 2.</w:t>
            </w:r>
            <w:r>
              <w:rPr>
                <w:rFonts w:ascii="Times New Roman" w:hAnsi="Times New Roman" w:cs="Times New Roman"/>
                <w:sz w:val="24"/>
                <w:szCs w:val="24"/>
              </w:rPr>
              <w:t>4</w:t>
            </w:r>
            <w:r w:rsidRPr="00B46B24">
              <w:rPr>
                <w:rFonts w:ascii="Times New Roman" w:hAnsi="Times New Roman" w:cs="Times New Roman"/>
                <w:sz w:val="24"/>
                <w:szCs w:val="24"/>
              </w:rPr>
              <w:t xml:space="preserve"> Budovanie a značenie jazdeckých a bežkárskych trás (</w:t>
            </w:r>
            <w:r w:rsidRPr="00D53211">
              <w:rPr>
                <w:rFonts w:ascii="Times New Roman" w:hAnsi="Times New Roman" w:cs="Times New Roman"/>
                <w:sz w:val="24"/>
                <w:szCs w:val="24"/>
              </w:rPr>
              <w:t>o</w:t>
            </w:r>
            <w:r>
              <w:rPr>
                <w:rFonts w:ascii="Times New Roman" w:hAnsi="Times New Roman" w:cs="Times New Roman"/>
                <w:sz w:val="24"/>
                <w:szCs w:val="24"/>
              </w:rPr>
              <w:t xml:space="preserve">patrenie </w:t>
            </w:r>
            <w:r w:rsidRPr="00D53211">
              <w:rPr>
                <w:rFonts w:ascii="Times New Roman" w:hAnsi="Times New Roman" w:cs="Times New Roman"/>
                <w:sz w:val="24"/>
                <w:szCs w:val="24"/>
              </w:rPr>
              <w:t>Interreg V – A SR – ČR 2014 - 2020)</w:t>
            </w:r>
          </w:p>
          <w:p w14:paraId="58D1979C" w14:textId="77777777" w:rsidR="003940DB" w:rsidRPr="00D53211" w:rsidRDefault="003940DB" w:rsidP="00387D99">
            <w:pPr>
              <w:spacing w:line="360" w:lineRule="auto"/>
              <w:rPr>
                <w:rFonts w:ascii="Times New Roman" w:hAnsi="Times New Roman" w:cs="Times New Roman"/>
                <w:sz w:val="24"/>
                <w:szCs w:val="24"/>
              </w:rPr>
            </w:pPr>
          </w:p>
          <w:p w14:paraId="7BB222FF" w14:textId="77777777" w:rsidR="003940DB" w:rsidRPr="00891B13" w:rsidRDefault="003940DB"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53211">
              <w:rPr>
                <w:rFonts w:ascii="Times New Roman" w:hAnsi="Times New Roman" w:cs="Times New Roman"/>
                <w:sz w:val="24"/>
                <w:szCs w:val="24"/>
              </w:rPr>
              <w:t>Opatrenie 2.</w:t>
            </w:r>
            <w:r>
              <w:rPr>
                <w:rFonts w:ascii="Times New Roman" w:hAnsi="Times New Roman" w:cs="Times New Roman"/>
                <w:sz w:val="24"/>
                <w:szCs w:val="24"/>
              </w:rPr>
              <w:t>5</w:t>
            </w:r>
            <w:r w:rsidRPr="00D53211">
              <w:rPr>
                <w:rFonts w:ascii="Times New Roman" w:hAnsi="Times New Roman" w:cs="Times New Roman"/>
                <w:sz w:val="24"/>
                <w:szCs w:val="24"/>
              </w:rPr>
              <w:t xml:space="preserve"> Grantový program „Podporujeme akčných!“ (opatrenie bude podporované z vlastných zdrojov KR - MAS)</w:t>
            </w:r>
          </w:p>
          <w:p w14:paraId="7BF57CFB" w14:textId="77777777" w:rsidR="003940DB" w:rsidRDefault="003940DB" w:rsidP="00387D99">
            <w:pPr>
              <w:spacing w:line="360" w:lineRule="auto"/>
              <w:rPr>
                <w:rFonts w:ascii="Times New Roman" w:hAnsi="Times New Roman" w:cs="Times New Roman"/>
                <w:sz w:val="24"/>
                <w:szCs w:val="24"/>
              </w:rPr>
            </w:pPr>
          </w:p>
          <w:p w14:paraId="13C89C34" w14:textId="77777777" w:rsidR="003940DB" w:rsidRPr="00FA2070" w:rsidRDefault="003940DB" w:rsidP="00387D99">
            <w:pPr>
              <w:pStyle w:val="Odsekzoznamu"/>
              <w:spacing w:line="360" w:lineRule="auto"/>
              <w:ind w:left="74"/>
              <w:rPr>
                <w:rFonts w:ascii="Times New Roman" w:hAnsi="Times New Roman" w:cs="Times New Roman"/>
                <w:sz w:val="24"/>
                <w:szCs w:val="24"/>
              </w:rPr>
            </w:pPr>
            <w:r>
              <w:rPr>
                <w:rFonts w:ascii="Times New Roman" w:hAnsi="Times New Roman" w:cs="Times New Roman"/>
                <w:sz w:val="24"/>
                <w:szCs w:val="24"/>
              </w:rPr>
              <w:t xml:space="preserve">- </w:t>
            </w:r>
            <w:r w:rsidRPr="00FA2070">
              <w:rPr>
                <w:rFonts w:ascii="Times New Roman" w:hAnsi="Times New Roman" w:cs="Times New Roman"/>
                <w:sz w:val="24"/>
                <w:szCs w:val="24"/>
              </w:rPr>
              <w:t xml:space="preserve">Opatrenie 2.6 </w:t>
            </w:r>
            <w:r w:rsidRPr="00FA2070">
              <w:rPr>
                <w:rFonts w:ascii="Times New Roman" w:hAnsi="Times New Roman" w:cs="Times New Roman"/>
                <w:bCs/>
                <w:sz w:val="24"/>
                <w:szCs w:val="24"/>
              </w:rPr>
              <w:t>Projekty spolupráce so zameraním na cestovný ruch</w:t>
            </w:r>
            <w:r>
              <w:rPr>
                <w:rFonts w:ascii="Times New Roman" w:hAnsi="Times New Roman" w:cs="Times New Roman"/>
                <w:bCs/>
                <w:sz w:val="24"/>
                <w:szCs w:val="24"/>
              </w:rPr>
              <w:t xml:space="preserve"> </w:t>
            </w:r>
            <w:r w:rsidRPr="00FA2070">
              <w:rPr>
                <w:rFonts w:ascii="Times New Roman" w:hAnsi="Times New Roman" w:cs="Times New Roman"/>
                <w:bCs/>
                <w:sz w:val="24"/>
                <w:szCs w:val="24"/>
              </w:rPr>
              <w:t>(Interreg V – A SR – ČR 2014 – 2020 a podopatrenie 19.3 Príprava a vykonávanie činností spolupráce miestnej akčnej skupiny z PRV SR 2014 – 2020, Dunajský nadnárodný program)</w:t>
            </w:r>
          </w:p>
        </w:tc>
      </w:tr>
      <w:tr w:rsidR="003940DB" w:rsidRPr="00891B13" w14:paraId="1DE5ACC9" w14:textId="77777777" w:rsidTr="00387D99">
        <w:tc>
          <w:tcPr>
            <w:tcW w:w="9061" w:type="dxa"/>
            <w:gridSpan w:val="3"/>
          </w:tcPr>
          <w:p w14:paraId="02E6B5B9" w14:textId="77777777" w:rsidR="003940DB" w:rsidRPr="00891B13" w:rsidRDefault="003940DB" w:rsidP="00387D99">
            <w:pPr>
              <w:spacing w:line="360" w:lineRule="auto"/>
              <w:jc w:val="center"/>
              <w:rPr>
                <w:rFonts w:ascii="Times New Roman" w:hAnsi="Times New Roman" w:cs="Times New Roman"/>
                <w:b/>
                <w:sz w:val="24"/>
                <w:szCs w:val="24"/>
              </w:rPr>
            </w:pPr>
            <w:r w:rsidRPr="00891B13">
              <w:rPr>
                <w:rFonts w:ascii="Times New Roman" w:hAnsi="Times New Roman" w:cs="Times New Roman"/>
                <w:b/>
                <w:sz w:val="24"/>
                <w:szCs w:val="24"/>
              </w:rPr>
              <w:t xml:space="preserve">Priorita </w:t>
            </w:r>
            <w:r>
              <w:rPr>
                <w:rFonts w:ascii="Times New Roman" w:hAnsi="Times New Roman" w:cs="Times New Roman"/>
                <w:b/>
                <w:sz w:val="24"/>
                <w:szCs w:val="24"/>
              </w:rPr>
              <w:t>3</w:t>
            </w:r>
            <w:r w:rsidRPr="00891B13">
              <w:rPr>
                <w:rFonts w:ascii="Times New Roman" w:hAnsi="Times New Roman" w:cs="Times New Roman"/>
                <w:b/>
                <w:sz w:val="24"/>
                <w:szCs w:val="24"/>
              </w:rPr>
              <w:t>:</w:t>
            </w:r>
          </w:p>
          <w:p w14:paraId="67D628BC" w14:textId="77777777" w:rsidR="003940DB" w:rsidRPr="00891B13" w:rsidRDefault="003940DB" w:rsidP="00387D99">
            <w:pPr>
              <w:spacing w:line="360" w:lineRule="auto"/>
              <w:jc w:val="center"/>
              <w:rPr>
                <w:rFonts w:ascii="Times New Roman" w:hAnsi="Times New Roman" w:cs="Times New Roman"/>
                <w:b/>
                <w:sz w:val="24"/>
                <w:szCs w:val="24"/>
              </w:rPr>
            </w:pPr>
            <w:r w:rsidRPr="003E2DC3">
              <w:rPr>
                <w:rFonts w:ascii="Times New Roman" w:hAnsi="Times New Roman" w:cs="Times New Roman"/>
                <w:b/>
                <w:sz w:val="24"/>
                <w:szCs w:val="24"/>
              </w:rPr>
              <w:t>Posilnenie rastu a konkurencieschopnosti malých a stredných podnikov</w:t>
            </w:r>
          </w:p>
        </w:tc>
      </w:tr>
      <w:tr w:rsidR="003940DB" w:rsidRPr="00891B13" w14:paraId="360FA2EF" w14:textId="77777777" w:rsidTr="00387D99">
        <w:tc>
          <w:tcPr>
            <w:tcW w:w="9061" w:type="dxa"/>
            <w:gridSpan w:val="3"/>
          </w:tcPr>
          <w:p w14:paraId="0F226880" w14:textId="77777777" w:rsidR="003940DB" w:rsidRPr="00891B13" w:rsidRDefault="003940DB" w:rsidP="00387D99">
            <w:pPr>
              <w:spacing w:line="360" w:lineRule="auto"/>
              <w:rPr>
                <w:rFonts w:ascii="Times New Roman" w:hAnsi="Times New Roman" w:cs="Times New Roman"/>
                <w:b/>
                <w:sz w:val="24"/>
                <w:szCs w:val="24"/>
              </w:rPr>
            </w:pPr>
            <w:r w:rsidRPr="00891B13">
              <w:rPr>
                <w:rFonts w:ascii="Times New Roman" w:hAnsi="Times New Roman" w:cs="Times New Roman"/>
                <w:b/>
                <w:sz w:val="24"/>
                <w:szCs w:val="24"/>
              </w:rPr>
              <w:t>Špecifický cieľ</w:t>
            </w:r>
            <w:r>
              <w:rPr>
                <w:rFonts w:ascii="Times New Roman" w:hAnsi="Times New Roman" w:cs="Times New Roman"/>
                <w:b/>
                <w:sz w:val="24"/>
                <w:szCs w:val="24"/>
              </w:rPr>
              <w:t>:</w:t>
            </w:r>
            <w:r>
              <w:t xml:space="preserve"> </w:t>
            </w:r>
            <w:r w:rsidRPr="00B46B24">
              <w:rPr>
                <w:rFonts w:ascii="Times New Roman" w:hAnsi="Times New Roman" w:cs="Times New Roman"/>
                <w:b/>
                <w:sz w:val="24"/>
                <w:szCs w:val="24"/>
              </w:rPr>
              <w:t>Vytvoriť kvalitné podmienky pre rozvoj podnikania</w:t>
            </w:r>
            <w:r w:rsidR="00246FC5">
              <w:rPr>
                <w:rFonts w:ascii="Times New Roman" w:hAnsi="Times New Roman" w:cs="Times New Roman"/>
                <w:b/>
                <w:sz w:val="24"/>
                <w:szCs w:val="24"/>
              </w:rPr>
              <w:t xml:space="preserve"> a zamestnanosti</w:t>
            </w:r>
          </w:p>
        </w:tc>
      </w:tr>
      <w:tr w:rsidR="003940DB" w:rsidRPr="00891B13" w14:paraId="54BF282D" w14:textId="77777777" w:rsidTr="00387D99">
        <w:tc>
          <w:tcPr>
            <w:tcW w:w="3042" w:type="dxa"/>
          </w:tcPr>
          <w:p w14:paraId="10EA79A7"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Opatrenia PRV:</w:t>
            </w:r>
          </w:p>
          <w:p w14:paraId="0E49B272" w14:textId="77777777" w:rsidR="003940DB" w:rsidRPr="0049689F"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t xml:space="preserve"> </w:t>
            </w:r>
            <w:r w:rsidRPr="0049689F">
              <w:rPr>
                <w:rFonts w:ascii="Times New Roman" w:hAnsi="Times New Roman" w:cs="Times New Roman"/>
                <w:sz w:val="24"/>
                <w:szCs w:val="24"/>
              </w:rPr>
              <w:t xml:space="preserve">Opatrenie 3.1 Podpora pre investície na spracovanie/uvádzanie na trh a/alebo vývoj </w:t>
            </w:r>
            <w:r w:rsidRPr="0049689F">
              <w:rPr>
                <w:rFonts w:ascii="Times New Roman" w:hAnsi="Times New Roman" w:cs="Times New Roman"/>
                <w:sz w:val="24"/>
                <w:szCs w:val="24"/>
              </w:rPr>
              <w:lastRenderedPageBreak/>
              <w:t>poľnohospodárskych výrobkov (kód opatrenia podľa PRV 4.2)</w:t>
            </w:r>
          </w:p>
          <w:p w14:paraId="3C4F6A6C" w14:textId="77777777" w:rsidR="003940DB" w:rsidRDefault="003940DB" w:rsidP="00387D99">
            <w:pPr>
              <w:spacing w:line="360" w:lineRule="auto"/>
              <w:rPr>
                <w:rFonts w:ascii="Times New Roman" w:hAnsi="Times New Roman" w:cs="Times New Roman"/>
                <w:sz w:val="24"/>
                <w:szCs w:val="24"/>
              </w:rPr>
            </w:pPr>
          </w:p>
          <w:p w14:paraId="4DB2951D" w14:textId="77777777" w:rsidR="003940DB" w:rsidRDefault="003940DB"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689F">
              <w:rPr>
                <w:rFonts w:ascii="Times New Roman" w:hAnsi="Times New Roman" w:cs="Times New Roman"/>
                <w:sz w:val="24"/>
                <w:szCs w:val="24"/>
              </w:rPr>
              <w:t>Opatrenie 3.2 Podpora investícií do lesníckych technológií a spracovania, do mobilizácie lesníckych výrobkov a ich uvádzania na trh (kód opatrenia podľa PRV 8.6)</w:t>
            </w:r>
          </w:p>
          <w:p w14:paraId="570F583E" w14:textId="77777777" w:rsidR="003940DB" w:rsidRDefault="003940DB" w:rsidP="00387D99">
            <w:pPr>
              <w:spacing w:line="360" w:lineRule="auto"/>
              <w:rPr>
                <w:rFonts w:ascii="Times New Roman" w:hAnsi="Times New Roman" w:cs="Times New Roman"/>
                <w:sz w:val="24"/>
                <w:szCs w:val="24"/>
              </w:rPr>
            </w:pPr>
          </w:p>
          <w:p w14:paraId="02B93325" w14:textId="77777777" w:rsidR="003940DB" w:rsidRPr="00891B13" w:rsidRDefault="003940DB" w:rsidP="00376AE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006" w:type="dxa"/>
          </w:tcPr>
          <w:p w14:paraId="15EBC625" w14:textId="77777777" w:rsidR="003940DB" w:rsidRPr="00891B13"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lastRenderedPageBreak/>
              <w:t>Opatrenia IROP:</w:t>
            </w:r>
          </w:p>
          <w:p w14:paraId="111D39A9" w14:textId="77777777" w:rsidR="003940DB"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rsidRPr="0049689F">
              <w:rPr>
                <w:rFonts w:ascii="Times New Roman" w:hAnsi="Times New Roman" w:cs="Times New Roman"/>
                <w:sz w:val="24"/>
                <w:szCs w:val="24"/>
              </w:rPr>
              <w:t xml:space="preserve"> Opatrenie 3.3 </w:t>
            </w:r>
            <w:r w:rsidRPr="003E2DC3">
              <w:rPr>
                <w:rFonts w:ascii="Times New Roman" w:hAnsi="Times New Roman" w:cs="Times New Roman"/>
                <w:sz w:val="24"/>
                <w:szCs w:val="24"/>
              </w:rPr>
              <w:t xml:space="preserve">Vznik nových a rozširovanie existujúcich podnikov v oblasti remeselnej a </w:t>
            </w:r>
            <w:r w:rsidRPr="003E2DC3">
              <w:rPr>
                <w:rFonts w:ascii="Times New Roman" w:hAnsi="Times New Roman" w:cs="Times New Roman"/>
                <w:sz w:val="24"/>
                <w:szCs w:val="24"/>
              </w:rPr>
              <w:lastRenderedPageBreak/>
              <w:t xml:space="preserve">priemyselnej výroby </w:t>
            </w:r>
            <w:r w:rsidRPr="0049689F">
              <w:rPr>
                <w:rFonts w:ascii="Times New Roman" w:hAnsi="Times New Roman" w:cs="Times New Roman"/>
                <w:sz w:val="24"/>
                <w:szCs w:val="24"/>
              </w:rPr>
              <w:t>(kód opatrenia podľa IROP 5.1.1)</w:t>
            </w:r>
          </w:p>
          <w:p w14:paraId="2939C610" w14:textId="77777777" w:rsidR="003940DB" w:rsidRDefault="003940DB" w:rsidP="00387D99">
            <w:pPr>
              <w:spacing w:line="360" w:lineRule="auto"/>
              <w:rPr>
                <w:rFonts w:ascii="Times New Roman" w:hAnsi="Times New Roman" w:cs="Times New Roman"/>
                <w:sz w:val="24"/>
                <w:szCs w:val="24"/>
              </w:rPr>
            </w:pPr>
          </w:p>
          <w:p w14:paraId="28701A19" w14:textId="77777777" w:rsidR="003940DB" w:rsidRPr="0049689F"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t>-</w:t>
            </w:r>
            <w:r w:rsidRPr="0049689F">
              <w:rPr>
                <w:rFonts w:ascii="Times New Roman" w:hAnsi="Times New Roman" w:cs="Times New Roman"/>
                <w:sz w:val="24"/>
                <w:szCs w:val="24"/>
              </w:rPr>
              <w:t xml:space="preserve"> Opatrenie 3.4 </w:t>
            </w:r>
            <w:r w:rsidRPr="003E2DC3">
              <w:rPr>
                <w:rFonts w:ascii="Times New Roman" w:hAnsi="Times New Roman" w:cs="Times New Roman"/>
                <w:sz w:val="24"/>
                <w:szCs w:val="24"/>
              </w:rPr>
              <w:t xml:space="preserve">Kvalitné služby na vidieku </w:t>
            </w:r>
            <w:r w:rsidRPr="0049689F">
              <w:rPr>
                <w:rFonts w:ascii="Times New Roman" w:hAnsi="Times New Roman" w:cs="Times New Roman"/>
                <w:sz w:val="24"/>
                <w:szCs w:val="24"/>
              </w:rPr>
              <w:t>(kód opatrenia podľa IROP 5.1.1)</w:t>
            </w:r>
          </w:p>
          <w:p w14:paraId="6FA5F317" w14:textId="77777777" w:rsidR="003940DB" w:rsidRDefault="003940DB" w:rsidP="00387D99">
            <w:pPr>
              <w:spacing w:line="360" w:lineRule="auto"/>
              <w:rPr>
                <w:rFonts w:ascii="Times New Roman" w:hAnsi="Times New Roman" w:cs="Times New Roman"/>
                <w:sz w:val="24"/>
                <w:szCs w:val="24"/>
              </w:rPr>
            </w:pPr>
          </w:p>
          <w:p w14:paraId="4C6BBA88" w14:textId="77777777" w:rsidR="003940DB" w:rsidRPr="00891B13" w:rsidRDefault="003940DB" w:rsidP="00376AE1">
            <w:pPr>
              <w:spacing w:line="360" w:lineRule="auto"/>
              <w:rPr>
                <w:rFonts w:ascii="Times New Roman" w:hAnsi="Times New Roman" w:cs="Times New Roman"/>
                <w:sz w:val="24"/>
                <w:szCs w:val="24"/>
              </w:rPr>
            </w:pPr>
          </w:p>
        </w:tc>
        <w:tc>
          <w:tcPr>
            <w:tcW w:w="3013" w:type="dxa"/>
          </w:tcPr>
          <w:p w14:paraId="5BDFD2F0" w14:textId="77777777" w:rsidR="003940DB" w:rsidRDefault="003940DB" w:rsidP="00387D99">
            <w:pPr>
              <w:spacing w:line="360" w:lineRule="auto"/>
              <w:rPr>
                <w:rFonts w:ascii="Times New Roman" w:hAnsi="Times New Roman" w:cs="Times New Roman"/>
                <w:sz w:val="24"/>
                <w:szCs w:val="24"/>
              </w:rPr>
            </w:pPr>
            <w:r w:rsidRPr="00891B13">
              <w:rPr>
                <w:rFonts w:ascii="Times New Roman" w:hAnsi="Times New Roman" w:cs="Times New Roman"/>
                <w:sz w:val="24"/>
                <w:szCs w:val="24"/>
              </w:rPr>
              <w:lastRenderedPageBreak/>
              <w:t>Iné opatrenia:</w:t>
            </w:r>
          </w:p>
          <w:p w14:paraId="34AC31BB" w14:textId="77777777" w:rsidR="00376AE1" w:rsidRDefault="00376AE1" w:rsidP="00387D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9689F">
              <w:rPr>
                <w:rFonts w:ascii="Times New Roman" w:hAnsi="Times New Roman" w:cs="Times New Roman"/>
                <w:sz w:val="24"/>
                <w:szCs w:val="24"/>
              </w:rPr>
              <w:t xml:space="preserve">Opatrenie 3.5 Spolupráca medzi malými hospodárskymi subjektmi pri organizácii spoločných </w:t>
            </w:r>
            <w:r w:rsidRPr="0049689F">
              <w:rPr>
                <w:rFonts w:ascii="Times New Roman" w:hAnsi="Times New Roman" w:cs="Times New Roman"/>
                <w:sz w:val="24"/>
                <w:szCs w:val="24"/>
              </w:rPr>
              <w:lastRenderedPageBreak/>
              <w:t>pracovných procesov a spoločnom využívaní zariadení a zdrojov a pri rozvoji služieb v oblasti cestovného ruchu/ich uvádzania na trh (kód opatrenia podľa PRV 16.3)</w:t>
            </w:r>
          </w:p>
          <w:p w14:paraId="4CFCA607" w14:textId="77777777" w:rsidR="003940DB" w:rsidRPr="00D77E4B" w:rsidRDefault="003940DB" w:rsidP="00387D99">
            <w:pPr>
              <w:spacing w:line="360" w:lineRule="auto"/>
              <w:rPr>
                <w:rFonts w:ascii="Times New Roman" w:hAnsi="Times New Roman" w:cs="Times New Roman"/>
                <w:sz w:val="24"/>
                <w:szCs w:val="24"/>
              </w:rPr>
            </w:pPr>
            <w:r w:rsidRPr="00D77E4B">
              <w:rPr>
                <w:rFonts w:ascii="Times New Roman" w:hAnsi="Times New Roman" w:cs="Times New Roman"/>
                <w:sz w:val="24"/>
                <w:szCs w:val="24"/>
              </w:rPr>
              <w:t xml:space="preserve">- Opatrenie </w:t>
            </w:r>
            <w:r w:rsidRPr="00D77E4B">
              <w:rPr>
                <w:rFonts w:ascii="Times New Roman" w:hAnsi="Times New Roman" w:cs="Times New Roman"/>
                <w:bCs/>
                <w:sz w:val="24"/>
                <w:szCs w:val="24"/>
              </w:rPr>
              <w:t>3.6 Podpora zamestnanosti, začleňovania a rozvoja ľudských zdrojov (Operačný program ľudské z</w:t>
            </w:r>
            <w:r w:rsidR="00376AE1">
              <w:rPr>
                <w:rFonts w:ascii="Times New Roman" w:hAnsi="Times New Roman" w:cs="Times New Roman"/>
                <w:bCs/>
                <w:sz w:val="24"/>
                <w:szCs w:val="24"/>
              </w:rPr>
              <w:t>d</w:t>
            </w:r>
            <w:r w:rsidRPr="00D77E4B">
              <w:rPr>
                <w:rFonts w:ascii="Times New Roman" w:hAnsi="Times New Roman" w:cs="Times New Roman"/>
                <w:bCs/>
                <w:sz w:val="24"/>
                <w:szCs w:val="24"/>
              </w:rPr>
              <w:t>roje)</w:t>
            </w:r>
          </w:p>
          <w:p w14:paraId="137A453E" w14:textId="77777777" w:rsidR="003940DB" w:rsidRPr="00891B13" w:rsidRDefault="003940DB" w:rsidP="00387D99">
            <w:pPr>
              <w:spacing w:line="360" w:lineRule="auto"/>
              <w:rPr>
                <w:rFonts w:ascii="Times New Roman" w:hAnsi="Times New Roman" w:cs="Times New Roman"/>
                <w:sz w:val="24"/>
                <w:szCs w:val="24"/>
              </w:rPr>
            </w:pPr>
          </w:p>
        </w:tc>
      </w:tr>
    </w:tbl>
    <w:p w14:paraId="44751938" w14:textId="77777777" w:rsidR="003940DB" w:rsidRDefault="003940DB" w:rsidP="00E37887">
      <w:pPr>
        <w:spacing w:after="0" w:line="360" w:lineRule="auto"/>
        <w:rPr>
          <w:rFonts w:ascii="Times New Roman" w:hAnsi="Times New Roman" w:cs="Times New Roman"/>
          <w:b/>
          <w:sz w:val="24"/>
          <w:szCs w:val="24"/>
        </w:rPr>
      </w:pPr>
    </w:p>
    <w:p w14:paraId="5B554F23" w14:textId="77777777" w:rsidR="00787158" w:rsidRDefault="00787158" w:rsidP="003940DB">
      <w:pPr>
        <w:pStyle w:val="Nadpis2"/>
        <w:ind w:left="426"/>
        <w:rPr>
          <w:rFonts w:cs="Times New Roman"/>
          <w:szCs w:val="24"/>
        </w:rPr>
      </w:pPr>
    </w:p>
    <w:p w14:paraId="72C9CABA" w14:textId="77777777" w:rsidR="004E4D25" w:rsidRDefault="003940DB" w:rsidP="003940DB">
      <w:pPr>
        <w:pStyle w:val="Nadpis2"/>
        <w:ind w:left="426"/>
      </w:pPr>
      <w:bookmarkStart w:id="939" w:name="_Toc485645797"/>
      <w:r w:rsidRPr="003940DB">
        <w:rPr>
          <w:rFonts w:cs="Times New Roman"/>
          <w:szCs w:val="24"/>
        </w:rPr>
        <w:t xml:space="preserve">4.4. </w:t>
      </w:r>
      <w:bookmarkStart w:id="940" w:name="_Toc437861985"/>
      <w:bookmarkStart w:id="941" w:name="_Toc437862676"/>
      <w:bookmarkStart w:id="942" w:name="_Toc437862818"/>
      <w:bookmarkStart w:id="943" w:name="_Toc437877404"/>
      <w:bookmarkStart w:id="944" w:name="_Toc437877602"/>
      <w:bookmarkStart w:id="945" w:name="_Toc437877802"/>
      <w:bookmarkStart w:id="946" w:name="_Toc437878002"/>
      <w:bookmarkStart w:id="947" w:name="_Toc437878205"/>
      <w:bookmarkStart w:id="948" w:name="_Toc437878409"/>
      <w:bookmarkStart w:id="949" w:name="_Toc437878613"/>
      <w:bookmarkStart w:id="950" w:name="_Toc437878817"/>
      <w:bookmarkStart w:id="951" w:name="_Toc437861986"/>
      <w:bookmarkStart w:id="952" w:name="_Toc437862677"/>
      <w:bookmarkStart w:id="953" w:name="_Toc437862819"/>
      <w:bookmarkStart w:id="954" w:name="_Toc437877405"/>
      <w:bookmarkStart w:id="955" w:name="_Toc437877603"/>
      <w:bookmarkStart w:id="956" w:name="_Toc437877803"/>
      <w:bookmarkStart w:id="957" w:name="_Toc437878003"/>
      <w:bookmarkStart w:id="958" w:name="_Toc437878206"/>
      <w:bookmarkStart w:id="959" w:name="_Toc437878410"/>
      <w:bookmarkStart w:id="960" w:name="_Toc437878614"/>
      <w:bookmarkStart w:id="961" w:name="_Toc437878818"/>
      <w:bookmarkStart w:id="962" w:name="_Toc437861987"/>
      <w:bookmarkStart w:id="963" w:name="_Toc437862678"/>
      <w:bookmarkStart w:id="964" w:name="_Toc437862820"/>
      <w:bookmarkStart w:id="965" w:name="_Toc437877406"/>
      <w:bookmarkStart w:id="966" w:name="_Toc437877604"/>
      <w:bookmarkStart w:id="967" w:name="_Toc437877804"/>
      <w:bookmarkStart w:id="968" w:name="_Toc437878004"/>
      <w:bookmarkStart w:id="969" w:name="_Toc437878207"/>
      <w:bookmarkStart w:id="970" w:name="_Toc437878411"/>
      <w:bookmarkStart w:id="971" w:name="_Toc437878615"/>
      <w:bookmarkStart w:id="972" w:name="_Toc437878819"/>
      <w:bookmarkStart w:id="973" w:name="_Toc437861988"/>
      <w:bookmarkStart w:id="974" w:name="_Toc437862679"/>
      <w:bookmarkStart w:id="975" w:name="_Toc437862821"/>
      <w:bookmarkStart w:id="976" w:name="_Toc437877407"/>
      <w:bookmarkStart w:id="977" w:name="_Toc437877605"/>
      <w:bookmarkStart w:id="978" w:name="_Toc437877805"/>
      <w:bookmarkStart w:id="979" w:name="_Toc437878005"/>
      <w:bookmarkStart w:id="980" w:name="_Toc437878208"/>
      <w:bookmarkStart w:id="981" w:name="_Toc437878412"/>
      <w:bookmarkStart w:id="982" w:name="_Toc437878616"/>
      <w:bookmarkStart w:id="983" w:name="_Toc437878820"/>
      <w:bookmarkStart w:id="984" w:name="_Toc437861989"/>
      <w:bookmarkStart w:id="985" w:name="_Toc437862680"/>
      <w:bookmarkStart w:id="986" w:name="_Toc437862822"/>
      <w:bookmarkStart w:id="987" w:name="_Toc437877408"/>
      <w:bookmarkStart w:id="988" w:name="_Toc437877606"/>
      <w:bookmarkStart w:id="989" w:name="_Toc437877806"/>
      <w:bookmarkStart w:id="990" w:name="_Toc437878006"/>
      <w:bookmarkStart w:id="991" w:name="_Toc437878209"/>
      <w:bookmarkStart w:id="992" w:name="_Toc437878413"/>
      <w:bookmarkStart w:id="993" w:name="_Toc437878617"/>
      <w:bookmarkStart w:id="994" w:name="_Toc437878821"/>
      <w:bookmarkStart w:id="995" w:name="_Toc437861990"/>
      <w:bookmarkStart w:id="996" w:name="_Toc437862681"/>
      <w:bookmarkStart w:id="997" w:name="_Toc437862823"/>
      <w:bookmarkStart w:id="998" w:name="_Toc437877409"/>
      <w:bookmarkStart w:id="999" w:name="_Toc437877607"/>
      <w:bookmarkStart w:id="1000" w:name="_Toc437877807"/>
      <w:bookmarkStart w:id="1001" w:name="_Toc437878007"/>
      <w:bookmarkStart w:id="1002" w:name="_Toc437878210"/>
      <w:bookmarkStart w:id="1003" w:name="_Toc437878414"/>
      <w:bookmarkStart w:id="1004" w:name="_Toc437878618"/>
      <w:bookmarkStart w:id="1005" w:name="_Toc437878822"/>
      <w:bookmarkStart w:id="1006" w:name="_Toc437861991"/>
      <w:bookmarkStart w:id="1007" w:name="_Toc437862682"/>
      <w:bookmarkStart w:id="1008" w:name="_Toc437862824"/>
      <w:bookmarkStart w:id="1009" w:name="_Toc437877410"/>
      <w:bookmarkStart w:id="1010" w:name="_Toc437877608"/>
      <w:bookmarkStart w:id="1011" w:name="_Toc437877808"/>
      <w:bookmarkStart w:id="1012" w:name="_Toc437878008"/>
      <w:bookmarkStart w:id="1013" w:name="_Toc437878211"/>
      <w:bookmarkStart w:id="1014" w:name="_Toc437878415"/>
      <w:bookmarkStart w:id="1015" w:name="_Toc437878619"/>
      <w:bookmarkStart w:id="1016" w:name="_Toc437878823"/>
      <w:bookmarkStart w:id="1017" w:name="_Toc437862683"/>
      <w:bookmarkStart w:id="1018" w:name="_Toc437862825"/>
      <w:bookmarkStart w:id="1019" w:name="_Toc437877411"/>
      <w:bookmarkStart w:id="1020" w:name="_Toc437877609"/>
      <w:bookmarkStart w:id="1021" w:name="_Toc437877809"/>
      <w:bookmarkStart w:id="1022" w:name="_Toc437878009"/>
      <w:bookmarkStart w:id="1023" w:name="_Toc437878212"/>
      <w:bookmarkStart w:id="1024" w:name="_Toc437878416"/>
      <w:bookmarkStart w:id="1025" w:name="_Toc437878620"/>
      <w:bookmarkStart w:id="1026" w:name="_Toc437878824"/>
      <w:bookmarkStart w:id="1027" w:name="_Toc437862684"/>
      <w:bookmarkStart w:id="1028" w:name="_Toc437862826"/>
      <w:bookmarkStart w:id="1029" w:name="_Toc437877412"/>
      <w:bookmarkStart w:id="1030" w:name="_Toc437877610"/>
      <w:bookmarkStart w:id="1031" w:name="_Toc437877810"/>
      <w:bookmarkStart w:id="1032" w:name="_Toc437878010"/>
      <w:bookmarkStart w:id="1033" w:name="_Toc437878213"/>
      <w:bookmarkStart w:id="1034" w:name="_Toc437878417"/>
      <w:bookmarkStart w:id="1035" w:name="_Toc437878621"/>
      <w:bookmarkStart w:id="1036" w:name="_Toc437878825"/>
      <w:bookmarkStart w:id="1037" w:name="_Toc437862685"/>
      <w:bookmarkStart w:id="1038" w:name="_Toc437862827"/>
      <w:bookmarkStart w:id="1039" w:name="_Toc437877413"/>
      <w:bookmarkStart w:id="1040" w:name="_Toc437877611"/>
      <w:bookmarkStart w:id="1041" w:name="_Toc437877811"/>
      <w:bookmarkStart w:id="1042" w:name="_Toc437878011"/>
      <w:bookmarkStart w:id="1043" w:name="_Toc437878214"/>
      <w:bookmarkStart w:id="1044" w:name="_Toc437878418"/>
      <w:bookmarkStart w:id="1045" w:name="_Toc437878622"/>
      <w:bookmarkStart w:id="1046" w:name="_Toc437878826"/>
      <w:bookmarkStart w:id="1047" w:name="_Toc437862686"/>
      <w:bookmarkStart w:id="1048" w:name="_Toc437862828"/>
      <w:bookmarkStart w:id="1049" w:name="_Toc437877414"/>
      <w:bookmarkStart w:id="1050" w:name="_Toc437877612"/>
      <w:bookmarkStart w:id="1051" w:name="_Toc437877812"/>
      <w:bookmarkStart w:id="1052" w:name="_Toc437878012"/>
      <w:bookmarkStart w:id="1053" w:name="_Toc437878215"/>
      <w:bookmarkStart w:id="1054" w:name="_Toc437878419"/>
      <w:bookmarkStart w:id="1055" w:name="_Toc437878623"/>
      <w:bookmarkStart w:id="1056" w:name="_Toc437878827"/>
      <w:bookmarkStart w:id="1057" w:name="_Toc437862687"/>
      <w:bookmarkStart w:id="1058" w:name="_Toc437862829"/>
      <w:bookmarkStart w:id="1059" w:name="_Toc437877415"/>
      <w:bookmarkStart w:id="1060" w:name="_Toc437877613"/>
      <w:bookmarkStart w:id="1061" w:name="_Toc437877813"/>
      <w:bookmarkStart w:id="1062" w:name="_Toc437878013"/>
      <w:bookmarkStart w:id="1063" w:name="_Toc437878216"/>
      <w:bookmarkStart w:id="1064" w:name="_Toc437878420"/>
      <w:bookmarkStart w:id="1065" w:name="_Toc437878624"/>
      <w:bookmarkStart w:id="1066" w:name="_Toc437878828"/>
      <w:bookmarkStart w:id="1067" w:name="_Toc437862688"/>
      <w:bookmarkStart w:id="1068" w:name="_Toc437862830"/>
      <w:bookmarkStart w:id="1069" w:name="_Toc437877416"/>
      <w:bookmarkStart w:id="1070" w:name="_Toc437877614"/>
      <w:bookmarkStart w:id="1071" w:name="_Toc437877814"/>
      <w:bookmarkStart w:id="1072" w:name="_Toc437878014"/>
      <w:bookmarkStart w:id="1073" w:name="_Toc437878217"/>
      <w:bookmarkStart w:id="1074" w:name="_Toc437878421"/>
      <w:bookmarkStart w:id="1075" w:name="_Toc437878625"/>
      <w:bookmarkStart w:id="1076" w:name="_Toc437878829"/>
      <w:bookmarkStart w:id="1077" w:name="_Toc437862689"/>
      <w:bookmarkStart w:id="1078" w:name="_Toc437862831"/>
      <w:bookmarkStart w:id="1079" w:name="_Toc437877417"/>
      <w:bookmarkStart w:id="1080" w:name="_Toc437877615"/>
      <w:bookmarkStart w:id="1081" w:name="_Toc437877815"/>
      <w:bookmarkStart w:id="1082" w:name="_Toc437878015"/>
      <w:bookmarkStart w:id="1083" w:name="_Toc437878218"/>
      <w:bookmarkStart w:id="1084" w:name="_Toc437878422"/>
      <w:bookmarkStart w:id="1085" w:name="_Toc437878626"/>
      <w:bookmarkStart w:id="1086" w:name="_Toc437878830"/>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AE4F12" w:rsidRPr="00891B13">
        <w:t>Integrované znaky stratégie</w:t>
      </w:r>
      <w:r w:rsidR="00825434" w:rsidRPr="00891B13">
        <w:t xml:space="preserve"> CLLD</w:t>
      </w:r>
      <w:bookmarkEnd w:id="939"/>
    </w:p>
    <w:p w14:paraId="427339AE" w14:textId="77777777" w:rsidR="00E135B2" w:rsidRPr="00891B13" w:rsidRDefault="00E135B2" w:rsidP="00E37887">
      <w:pPr>
        <w:pStyle w:val="Odsekzoznamu"/>
        <w:spacing w:after="0" w:line="360" w:lineRule="auto"/>
        <w:ind w:left="792"/>
        <w:rPr>
          <w:rFonts w:ascii="Times New Roman" w:hAnsi="Times New Roman" w:cs="Times New Roman"/>
          <w:b/>
          <w:sz w:val="24"/>
          <w:szCs w:val="24"/>
        </w:rPr>
      </w:pPr>
    </w:p>
    <w:p w14:paraId="5978A8A4"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rámci implementácie stratégie budú podporené najmä projekty </w:t>
      </w:r>
      <w:r w:rsidRPr="00C53B2F">
        <w:rPr>
          <w:rFonts w:ascii="Times New Roman" w:hAnsi="Times New Roman" w:cs="Times New Roman"/>
          <w:sz w:val="24"/>
          <w:szCs w:val="24"/>
        </w:rPr>
        <w:t>súvis</w:t>
      </w:r>
      <w:r>
        <w:rPr>
          <w:rFonts w:ascii="Times New Roman" w:hAnsi="Times New Roman" w:cs="Times New Roman"/>
          <w:sz w:val="24"/>
          <w:szCs w:val="24"/>
        </w:rPr>
        <w:t>iac</w:t>
      </w:r>
      <w:r w:rsidR="00376AE1">
        <w:rPr>
          <w:rFonts w:ascii="Times New Roman" w:hAnsi="Times New Roman" w:cs="Times New Roman"/>
          <w:sz w:val="24"/>
          <w:szCs w:val="24"/>
        </w:rPr>
        <w:t>e</w:t>
      </w:r>
      <w:r>
        <w:rPr>
          <w:rFonts w:ascii="Times New Roman" w:hAnsi="Times New Roman" w:cs="Times New Roman"/>
          <w:sz w:val="24"/>
          <w:szCs w:val="24"/>
        </w:rPr>
        <w:t xml:space="preserve"> </w:t>
      </w:r>
      <w:r w:rsidRPr="00C53B2F">
        <w:rPr>
          <w:rFonts w:ascii="Times New Roman" w:hAnsi="Times New Roman" w:cs="Times New Roman"/>
          <w:sz w:val="24"/>
          <w:szCs w:val="24"/>
        </w:rPr>
        <w:t>s ekonomickým rozvojom alebo projekt</w:t>
      </w:r>
      <w:r>
        <w:rPr>
          <w:rFonts w:ascii="Times New Roman" w:hAnsi="Times New Roman" w:cs="Times New Roman"/>
          <w:sz w:val="24"/>
          <w:szCs w:val="24"/>
        </w:rPr>
        <w:t>y</w:t>
      </w:r>
      <w:r w:rsidRPr="00C53B2F">
        <w:rPr>
          <w:rFonts w:ascii="Times New Roman" w:hAnsi="Times New Roman" w:cs="Times New Roman"/>
          <w:sz w:val="24"/>
          <w:szCs w:val="24"/>
        </w:rPr>
        <w:t xml:space="preserve"> kombinuj</w:t>
      </w:r>
      <w:r>
        <w:rPr>
          <w:rFonts w:ascii="Times New Roman" w:hAnsi="Times New Roman" w:cs="Times New Roman"/>
          <w:sz w:val="24"/>
          <w:szCs w:val="24"/>
        </w:rPr>
        <w:t>úce</w:t>
      </w:r>
      <w:r w:rsidRPr="00C53B2F">
        <w:rPr>
          <w:rFonts w:ascii="Times New Roman" w:hAnsi="Times New Roman" w:cs="Times New Roman"/>
          <w:sz w:val="24"/>
          <w:szCs w:val="24"/>
        </w:rPr>
        <w:t xml:space="preserve"> viacero akcií vytvárajúcich konkrétne podmienky pre ekonomický rozvoj vidieckych obcí (t. z. napr., že podporené investície budú mať pozitívny vplyv na zamestnanosť, rozvoj podnikania a pod.), za predpokladu súladu ekonomického rozvoja s ochranou životného prostredia a racionálneho využitia prírodných zdrojov</w:t>
      </w:r>
      <w:r>
        <w:rPr>
          <w:rFonts w:ascii="Times New Roman" w:hAnsi="Times New Roman" w:cs="Times New Roman"/>
          <w:sz w:val="24"/>
          <w:szCs w:val="24"/>
        </w:rPr>
        <w:t>.</w:t>
      </w:r>
    </w:p>
    <w:p w14:paraId="04EA9305"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Jedným s cieľov stratégie je pre</w:t>
      </w:r>
      <w:r w:rsidRPr="00100E01">
        <w:rPr>
          <w:rFonts w:ascii="Times New Roman" w:hAnsi="Times New Roman" w:cs="Times New Roman"/>
          <w:sz w:val="24"/>
          <w:szCs w:val="24"/>
        </w:rPr>
        <w:t>pojiť znevýhodnené oblasti s oblasťami príležitostí</w:t>
      </w:r>
      <w:r>
        <w:rPr>
          <w:rFonts w:ascii="Times New Roman" w:hAnsi="Times New Roman" w:cs="Times New Roman"/>
          <w:sz w:val="24"/>
          <w:szCs w:val="24"/>
        </w:rPr>
        <w:t>, t. j.</w:t>
      </w:r>
      <w:r w:rsidRPr="00100E01">
        <w:rPr>
          <w:rFonts w:ascii="Times New Roman" w:hAnsi="Times New Roman" w:cs="Times New Roman"/>
          <w:sz w:val="24"/>
          <w:szCs w:val="24"/>
        </w:rPr>
        <w:t xml:space="preserve"> vidiecke oblasti s trhovými mestami a </w:t>
      </w:r>
      <w:r>
        <w:rPr>
          <w:rFonts w:ascii="Times New Roman" w:hAnsi="Times New Roman" w:cs="Times New Roman"/>
          <w:sz w:val="24"/>
          <w:szCs w:val="24"/>
        </w:rPr>
        <w:t xml:space="preserve">centrami rastu zamestnanosti, podporované budú projekty na </w:t>
      </w:r>
      <w:r w:rsidRPr="00100E01">
        <w:rPr>
          <w:rFonts w:ascii="Times New Roman" w:hAnsi="Times New Roman" w:cs="Times New Roman"/>
          <w:sz w:val="24"/>
          <w:szCs w:val="24"/>
        </w:rPr>
        <w:t>zriaďovanie, obnov</w:t>
      </w:r>
      <w:r>
        <w:rPr>
          <w:rFonts w:ascii="Times New Roman" w:hAnsi="Times New Roman" w:cs="Times New Roman"/>
          <w:sz w:val="24"/>
          <w:szCs w:val="24"/>
        </w:rPr>
        <w:t>u</w:t>
      </w:r>
      <w:r w:rsidRPr="00100E01">
        <w:rPr>
          <w:rFonts w:ascii="Times New Roman" w:hAnsi="Times New Roman" w:cs="Times New Roman"/>
          <w:sz w:val="24"/>
          <w:szCs w:val="24"/>
        </w:rPr>
        <w:t xml:space="preserve"> a výstavb</w:t>
      </w:r>
      <w:r>
        <w:rPr>
          <w:rFonts w:ascii="Times New Roman" w:hAnsi="Times New Roman" w:cs="Times New Roman"/>
          <w:sz w:val="24"/>
          <w:szCs w:val="24"/>
        </w:rPr>
        <w:t>u</w:t>
      </w:r>
      <w:r w:rsidRPr="00100E01">
        <w:rPr>
          <w:rFonts w:ascii="Times New Roman" w:hAnsi="Times New Roman" w:cs="Times New Roman"/>
          <w:sz w:val="24"/>
          <w:szCs w:val="24"/>
        </w:rPr>
        <w:t xml:space="preserve">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w:t>
      </w:r>
      <w:r>
        <w:rPr>
          <w:rFonts w:ascii="Times New Roman" w:hAnsi="Times New Roman" w:cs="Times New Roman"/>
          <w:sz w:val="24"/>
          <w:szCs w:val="24"/>
        </w:rPr>
        <w:t xml:space="preserve">taníc pre elektrobicykle a pod.. V opatrení </w:t>
      </w:r>
      <w:r w:rsidRPr="008E4A9B">
        <w:rPr>
          <w:rFonts w:ascii="Times New Roman" w:hAnsi="Times New Roman" w:cs="Times New Roman"/>
          <w:i/>
          <w:sz w:val="24"/>
          <w:szCs w:val="24"/>
        </w:rPr>
        <w:t>1.2 Rozvoj základnej infraštruktúry v mestách a</w:t>
      </w:r>
      <w:r>
        <w:rPr>
          <w:rFonts w:ascii="Times New Roman" w:hAnsi="Times New Roman" w:cs="Times New Roman"/>
          <w:i/>
          <w:sz w:val="24"/>
          <w:szCs w:val="24"/>
        </w:rPr>
        <w:t> </w:t>
      </w:r>
      <w:r w:rsidRPr="008E4A9B">
        <w:rPr>
          <w:rFonts w:ascii="Times New Roman" w:hAnsi="Times New Roman" w:cs="Times New Roman"/>
          <w:i/>
          <w:sz w:val="24"/>
          <w:szCs w:val="24"/>
        </w:rPr>
        <w:t>obciach</w:t>
      </w:r>
      <w:r>
        <w:rPr>
          <w:rFonts w:ascii="Times New Roman" w:hAnsi="Times New Roman" w:cs="Times New Roman"/>
          <w:i/>
          <w:sz w:val="24"/>
          <w:szCs w:val="24"/>
        </w:rPr>
        <w:t xml:space="preserve"> </w:t>
      </w:r>
      <w:r>
        <w:rPr>
          <w:rFonts w:ascii="Times New Roman" w:hAnsi="Times New Roman" w:cs="Times New Roman"/>
          <w:sz w:val="24"/>
          <w:szCs w:val="24"/>
        </w:rPr>
        <w:t xml:space="preserve">budú zvýhodňované projekty </w:t>
      </w:r>
      <w:r w:rsidRPr="008E4A9B">
        <w:rPr>
          <w:rFonts w:ascii="Times New Roman" w:hAnsi="Times New Roman" w:cs="Times New Roman"/>
          <w:sz w:val="24"/>
          <w:szCs w:val="24"/>
        </w:rPr>
        <w:t>prispievajúce k integrácii a previazanosti služieb vo verejnej doprave</w:t>
      </w:r>
      <w:r>
        <w:rPr>
          <w:rFonts w:ascii="Times New Roman" w:hAnsi="Times New Roman" w:cs="Times New Roman"/>
          <w:sz w:val="24"/>
          <w:szCs w:val="24"/>
        </w:rPr>
        <w:t xml:space="preserve">, </w:t>
      </w:r>
      <w:r w:rsidRPr="008E4A9B">
        <w:rPr>
          <w:rFonts w:ascii="Times New Roman" w:hAnsi="Times New Roman" w:cs="Times New Roman"/>
          <w:sz w:val="24"/>
          <w:szCs w:val="24"/>
        </w:rPr>
        <w:t>prestupné stanice a integrované zastávky integrujú</w:t>
      </w:r>
      <w:r>
        <w:rPr>
          <w:rFonts w:ascii="Times New Roman" w:hAnsi="Times New Roman" w:cs="Times New Roman"/>
          <w:sz w:val="24"/>
          <w:szCs w:val="24"/>
        </w:rPr>
        <w:t>ce</w:t>
      </w:r>
      <w:r w:rsidRPr="008E4A9B">
        <w:rPr>
          <w:rFonts w:ascii="Times New Roman" w:hAnsi="Times New Roman" w:cs="Times New Roman"/>
          <w:sz w:val="24"/>
          <w:szCs w:val="24"/>
        </w:rPr>
        <w:t xml:space="preserve"> regionálnu verejnú osobnú dopravu a mestskú hromadnú dopravu</w:t>
      </w:r>
      <w:r>
        <w:rPr>
          <w:rFonts w:ascii="Times New Roman" w:hAnsi="Times New Roman" w:cs="Times New Roman"/>
          <w:sz w:val="24"/>
          <w:szCs w:val="24"/>
        </w:rPr>
        <w:t xml:space="preserve">. V oblasti školstva </w:t>
      </w:r>
      <w:r w:rsidRPr="008E4A9B">
        <w:rPr>
          <w:rFonts w:ascii="Times New Roman" w:hAnsi="Times New Roman" w:cs="Times New Roman"/>
          <w:sz w:val="24"/>
          <w:szCs w:val="24"/>
        </w:rPr>
        <w:t xml:space="preserve">integrované projekty riešiace súčasne školské i predškolské zariadenie, s intervenciami do infraštruktúry i do vybavenia </w:t>
      </w:r>
      <w:r w:rsidRPr="008E4A9B">
        <w:rPr>
          <w:rFonts w:ascii="Times New Roman" w:hAnsi="Times New Roman" w:cs="Times New Roman"/>
          <w:sz w:val="24"/>
          <w:szCs w:val="24"/>
        </w:rPr>
        <w:lastRenderedPageBreak/>
        <w:t>učební s využitím vzdelávacieho zariadenia aj mimo vyučovacích hodín na krúžkovú činnosť ako komunitná škola (celoživotné vzdelávanie, počítačové, jazykové kurzy, športové, vzdelávacie a záujmové krúžky)</w:t>
      </w:r>
      <w:r>
        <w:rPr>
          <w:rFonts w:ascii="Times New Roman" w:hAnsi="Times New Roman" w:cs="Times New Roman"/>
          <w:sz w:val="24"/>
          <w:szCs w:val="24"/>
        </w:rPr>
        <w:t xml:space="preserve">. </w:t>
      </w:r>
    </w:p>
    <w:p w14:paraId="3616C876"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oblasti cestovného ruchu bude uprednostňované budovanie takých cyklotrás, ktoré budú zároveň v zime slúžiť ako bežecké trasy, alebo budú prepájať zaujímavé </w:t>
      </w:r>
      <w:r w:rsidRPr="00667106">
        <w:rPr>
          <w:rFonts w:ascii="Times New Roman" w:hAnsi="Times New Roman" w:cs="Times New Roman"/>
          <w:sz w:val="24"/>
          <w:szCs w:val="24"/>
        </w:rPr>
        <w:t>miestne kultúrne, historické, prírodné a iné objekty a</w:t>
      </w:r>
      <w:r>
        <w:rPr>
          <w:rFonts w:ascii="Times New Roman" w:hAnsi="Times New Roman" w:cs="Times New Roman"/>
          <w:sz w:val="24"/>
          <w:szCs w:val="24"/>
        </w:rPr>
        <w:t> </w:t>
      </w:r>
      <w:r w:rsidRPr="00667106">
        <w:rPr>
          <w:rFonts w:ascii="Times New Roman" w:hAnsi="Times New Roman" w:cs="Times New Roman"/>
          <w:sz w:val="24"/>
          <w:szCs w:val="24"/>
        </w:rPr>
        <w:t>zaujímavosti</w:t>
      </w:r>
      <w:r>
        <w:rPr>
          <w:rFonts w:ascii="Times New Roman" w:hAnsi="Times New Roman" w:cs="Times New Roman"/>
          <w:sz w:val="24"/>
          <w:szCs w:val="24"/>
        </w:rPr>
        <w:t xml:space="preserve">. </w:t>
      </w:r>
    </w:p>
    <w:p w14:paraId="23151FB3"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Aj v opatreniach </w:t>
      </w:r>
      <w:r w:rsidRPr="009209CE">
        <w:rPr>
          <w:rFonts w:ascii="Times New Roman" w:hAnsi="Times New Roman" w:cs="Times New Roman"/>
          <w:i/>
          <w:sz w:val="24"/>
          <w:szCs w:val="24"/>
        </w:rPr>
        <w:t>1.1 Podpora na investície do vytvárania, zlepšovania alebo rozširovania miestnych základných služieb pre vidiecke obyvateľstvo vrátane voľného času a kultúry a súvisiacej infraštruktúry</w:t>
      </w:r>
      <w:r>
        <w:rPr>
          <w:rFonts w:ascii="Times New Roman" w:hAnsi="Times New Roman" w:cs="Times New Roman"/>
          <w:i/>
          <w:sz w:val="24"/>
          <w:szCs w:val="24"/>
        </w:rPr>
        <w:t xml:space="preserve"> </w:t>
      </w:r>
      <w:r>
        <w:rPr>
          <w:rFonts w:ascii="Times New Roman" w:hAnsi="Times New Roman" w:cs="Times New Roman"/>
          <w:sz w:val="24"/>
          <w:szCs w:val="24"/>
        </w:rPr>
        <w:t xml:space="preserve">a  </w:t>
      </w:r>
      <w:r w:rsidRPr="009209CE">
        <w:rPr>
          <w:rFonts w:ascii="Times New Roman" w:hAnsi="Times New Roman" w:cs="Times New Roman"/>
          <w:i/>
          <w:sz w:val="24"/>
          <w:szCs w:val="24"/>
        </w:rPr>
        <w:t xml:space="preserve">2.1 Podpora na investície do rekreačnej infraštruktúry, turistických informácií a do turistickej infraštruktúry malých rozmerov na verejné využitie </w:t>
      </w:r>
      <w:r>
        <w:rPr>
          <w:rFonts w:ascii="Times New Roman" w:hAnsi="Times New Roman" w:cs="Times New Roman"/>
          <w:sz w:val="24"/>
          <w:szCs w:val="24"/>
        </w:rPr>
        <w:t>budú zvýhodnené projekty, ktoré budú mať</w:t>
      </w:r>
      <w:r w:rsidRPr="009209CE">
        <w:rPr>
          <w:rFonts w:ascii="Times New Roman" w:hAnsi="Times New Roman" w:cs="Times New Roman"/>
          <w:sz w:val="24"/>
          <w:szCs w:val="24"/>
        </w:rPr>
        <w:t xml:space="preserve"> znaky integrovaného projektu (napr. má dokázateľnú prepojiteľnosť na iné projekty) alebo synergický efekt</w:t>
      </w:r>
      <w:r>
        <w:rPr>
          <w:rFonts w:ascii="Times New Roman" w:hAnsi="Times New Roman" w:cs="Times New Roman"/>
          <w:sz w:val="24"/>
          <w:szCs w:val="24"/>
        </w:rPr>
        <w:t>. Podporované budú také aktivity, ktoré zabezpečia</w:t>
      </w:r>
      <w:r w:rsidRPr="000D2E6D">
        <w:rPr>
          <w:rFonts w:ascii="Times New Roman" w:hAnsi="Times New Roman" w:cs="Times New Roman"/>
          <w:sz w:val="24"/>
          <w:szCs w:val="24"/>
        </w:rPr>
        <w:t xml:space="preserve"> postupné vykonávanie rôznych miestnych podporných opatrení v špecifickom poradí a ich zosúladenie, aby dosahovali rovnaké strategické ciele</w:t>
      </w:r>
      <w:r>
        <w:rPr>
          <w:rFonts w:ascii="Times New Roman" w:hAnsi="Times New Roman" w:cs="Times New Roman"/>
          <w:sz w:val="24"/>
          <w:szCs w:val="24"/>
        </w:rPr>
        <w:t xml:space="preserve">. Napr. podpora spracovania odpadového dreva a výroba drevnej štiepky či peliet a následne podpora objektov s výmenou kotlov využívajúcich tieto druhy paliva pri kúrení. Výhodou pre projekt bude i </w:t>
      </w:r>
      <w:r w:rsidRPr="00A0540C">
        <w:rPr>
          <w:rFonts w:ascii="Times New Roman" w:hAnsi="Times New Roman" w:cs="Times New Roman"/>
          <w:sz w:val="24"/>
          <w:szCs w:val="24"/>
        </w:rPr>
        <w:t xml:space="preserve">multifunkčné </w:t>
      </w:r>
      <w:r>
        <w:rPr>
          <w:rFonts w:ascii="Times New Roman" w:hAnsi="Times New Roman" w:cs="Times New Roman"/>
          <w:sz w:val="24"/>
          <w:szCs w:val="24"/>
        </w:rPr>
        <w:t xml:space="preserve">využitie objektu </w:t>
      </w:r>
      <w:r w:rsidRPr="00A0540C">
        <w:rPr>
          <w:rFonts w:ascii="Times New Roman" w:hAnsi="Times New Roman" w:cs="Times New Roman"/>
          <w:sz w:val="24"/>
          <w:szCs w:val="24"/>
        </w:rPr>
        <w:t xml:space="preserve">služieb pre obyvateľov (napr. </w:t>
      </w:r>
      <w:r>
        <w:rPr>
          <w:rFonts w:ascii="Times New Roman" w:hAnsi="Times New Roman" w:cs="Times New Roman"/>
          <w:sz w:val="24"/>
          <w:szCs w:val="24"/>
        </w:rPr>
        <w:t>k</w:t>
      </w:r>
      <w:r w:rsidRPr="00A0540C">
        <w:rPr>
          <w:rFonts w:ascii="Times New Roman" w:hAnsi="Times New Roman" w:cs="Times New Roman"/>
          <w:sz w:val="24"/>
          <w:szCs w:val="24"/>
        </w:rPr>
        <w:t>nižnica + infocentrum + kaviareň, alebo klub matiek a miestnej galérie)</w:t>
      </w:r>
    </w:p>
    <w:p w14:paraId="7C6DDEC8" w14:textId="77777777" w:rsidR="003940DB" w:rsidRDefault="003940DB" w:rsidP="003940DB">
      <w:pPr>
        <w:spacing w:after="0" w:line="360" w:lineRule="auto"/>
        <w:jc w:val="both"/>
      </w:pPr>
      <w:r>
        <w:rPr>
          <w:rFonts w:ascii="Times New Roman" w:hAnsi="Times New Roman" w:cs="Times New Roman"/>
          <w:sz w:val="24"/>
          <w:szCs w:val="24"/>
        </w:rPr>
        <w:tab/>
        <w:t>I</w:t>
      </w:r>
      <w:r w:rsidRPr="008975E7">
        <w:rPr>
          <w:rFonts w:ascii="Times New Roman" w:hAnsi="Times New Roman" w:cs="Times New Roman"/>
          <w:sz w:val="24"/>
          <w:szCs w:val="24"/>
        </w:rPr>
        <w:t>nvestície</w:t>
      </w:r>
      <w:r>
        <w:rPr>
          <w:rFonts w:ascii="Times New Roman" w:hAnsi="Times New Roman" w:cs="Times New Roman"/>
          <w:sz w:val="24"/>
          <w:szCs w:val="24"/>
        </w:rPr>
        <w:t xml:space="preserve"> </w:t>
      </w:r>
      <w:r w:rsidRPr="008975E7">
        <w:rPr>
          <w:rFonts w:ascii="Times New Roman" w:hAnsi="Times New Roman" w:cs="Times New Roman"/>
          <w:sz w:val="24"/>
          <w:szCs w:val="24"/>
        </w:rPr>
        <w:t>budú vo veľkom množstve integrované do podpory</w:t>
      </w:r>
      <w:r>
        <w:rPr>
          <w:rFonts w:ascii="Times New Roman" w:hAnsi="Times New Roman" w:cs="Times New Roman"/>
          <w:sz w:val="24"/>
          <w:szCs w:val="24"/>
        </w:rPr>
        <w:t xml:space="preserve"> </w:t>
      </w:r>
      <w:r w:rsidRPr="008975E7">
        <w:rPr>
          <w:rFonts w:ascii="Times New Roman" w:hAnsi="Times New Roman" w:cs="Times New Roman"/>
          <w:sz w:val="24"/>
          <w:szCs w:val="24"/>
        </w:rPr>
        <w:t>vytváran</w:t>
      </w:r>
      <w:r>
        <w:rPr>
          <w:rFonts w:ascii="Times New Roman" w:hAnsi="Times New Roman" w:cs="Times New Roman"/>
          <w:sz w:val="24"/>
          <w:szCs w:val="24"/>
        </w:rPr>
        <w:t>ia</w:t>
      </w:r>
      <w:r w:rsidRPr="008975E7">
        <w:rPr>
          <w:rFonts w:ascii="Times New Roman" w:hAnsi="Times New Roman" w:cs="Times New Roman"/>
          <w:sz w:val="24"/>
          <w:szCs w:val="24"/>
        </w:rPr>
        <w:t xml:space="preserve"> podmienok pre rozvoj podnikania –</w:t>
      </w:r>
      <w:r>
        <w:rPr>
          <w:rFonts w:ascii="Times New Roman" w:hAnsi="Times New Roman" w:cs="Times New Roman"/>
          <w:sz w:val="24"/>
          <w:szCs w:val="24"/>
        </w:rPr>
        <w:t xml:space="preserve"> napr.</w:t>
      </w:r>
      <w:r w:rsidRPr="008975E7">
        <w:rPr>
          <w:rFonts w:ascii="Times New Roman" w:hAnsi="Times New Roman" w:cs="Times New Roman"/>
          <w:sz w:val="24"/>
          <w:szCs w:val="24"/>
        </w:rPr>
        <w:t xml:space="preserve"> rekonštrukcie nevyužívaných objektov v obci</w:t>
      </w:r>
      <w:r>
        <w:rPr>
          <w:rFonts w:ascii="Times New Roman" w:hAnsi="Times New Roman" w:cs="Times New Roman"/>
          <w:sz w:val="24"/>
          <w:szCs w:val="24"/>
        </w:rPr>
        <w:t>ach</w:t>
      </w:r>
      <w:r w:rsidRPr="008975E7">
        <w:rPr>
          <w:rFonts w:ascii="Times New Roman" w:hAnsi="Times New Roman" w:cs="Times New Roman"/>
          <w:sz w:val="24"/>
          <w:szCs w:val="24"/>
        </w:rPr>
        <w:t xml:space="preserve"> pre podnikat</w:t>
      </w:r>
      <w:r>
        <w:rPr>
          <w:rFonts w:ascii="Times New Roman" w:hAnsi="Times New Roman" w:cs="Times New Roman"/>
          <w:sz w:val="24"/>
          <w:szCs w:val="24"/>
        </w:rPr>
        <w:t>eľskú činnosť</w:t>
      </w:r>
      <w:r w:rsidRPr="008975E7">
        <w:rPr>
          <w:rFonts w:ascii="Times New Roman" w:hAnsi="Times New Roman" w:cs="Times New Roman"/>
          <w:sz w:val="24"/>
          <w:szCs w:val="24"/>
        </w:rPr>
        <w:t xml:space="preserve"> a pod.</w:t>
      </w:r>
      <w:r>
        <w:rPr>
          <w:rFonts w:ascii="Times New Roman" w:hAnsi="Times New Roman" w:cs="Times New Roman"/>
          <w:sz w:val="24"/>
          <w:szCs w:val="24"/>
        </w:rPr>
        <w:t xml:space="preserve"> Ale aj priama podpora podnikateľov v rámci opatrenia </w:t>
      </w:r>
      <w:r w:rsidRPr="009209CE">
        <w:rPr>
          <w:rFonts w:ascii="Times New Roman" w:hAnsi="Times New Roman" w:cs="Times New Roman"/>
          <w:i/>
          <w:sz w:val="24"/>
          <w:szCs w:val="24"/>
        </w:rPr>
        <w:t>3.2 Podpora investícií do lesníckych technológií a spracovania, do mobilizácie lesníckych výrobkov a ich uvádzania na trh</w:t>
      </w:r>
      <w:r w:rsidRPr="009209CE">
        <w:rPr>
          <w:rFonts w:ascii="Times New Roman" w:hAnsi="Times New Roman" w:cs="Times New Roman"/>
          <w:sz w:val="24"/>
          <w:szCs w:val="24"/>
        </w:rPr>
        <w:t xml:space="preserve"> </w:t>
      </w:r>
      <w:r>
        <w:rPr>
          <w:rFonts w:ascii="Times New Roman" w:hAnsi="Times New Roman" w:cs="Times New Roman"/>
          <w:sz w:val="24"/>
          <w:szCs w:val="24"/>
        </w:rPr>
        <w:t xml:space="preserve">bude zohľadňovať pri výbere také projekty, ktoré budú mať znaky integrovaného projektu. </w:t>
      </w:r>
    </w:p>
    <w:p w14:paraId="1E0886CF"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975E7">
        <w:rPr>
          <w:rFonts w:ascii="Times New Roman" w:hAnsi="Times New Roman" w:cs="Times New Roman"/>
          <w:sz w:val="24"/>
          <w:szCs w:val="24"/>
        </w:rPr>
        <w:t>Podporená bude spolupráca medzi malými hospodárskymi subjektmi (mikropodnikmi) v odvetví poľnohospodárstva, potravinovom reťazci, sektore lesného hospodárstva a v sektore cestovného ruchu pri organizácii spoločných pracovných procesov, spoločnom využívaní zariadení a zdrojov a pri rozvoji služieb a marketingu v oblasti cestovného ruchu. Cieľom je prostredníctvom spolupráce zvýšiť</w:t>
      </w:r>
      <w:r>
        <w:rPr>
          <w:rFonts w:ascii="Times New Roman" w:hAnsi="Times New Roman" w:cs="Times New Roman"/>
          <w:sz w:val="24"/>
          <w:szCs w:val="24"/>
        </w:rPr>
        <w:t xml:space="preserve"> </w:t>
      </w:r>
      <w:r w:rsidRPr="008975E7">
        <w:rPr>
          <w:rFonts w:ascii="Times New Roman" w:hAnsi="Times New Roman" w:cs="Times New Roman"/>
          <w:sz w:val="24"/>
          <w:szCs w:val="24"/>
        </w:rPr>
        <w:t xml:space="preserve">efektivitu vykonávaných činností. </w:t>
      </w:r>
      <w:r>
        <w:rPr>
          <w:rFonts w:ascii="Times New Roman" w:hAnsi="Times New Roman" w:cs="Times New Roman"/>
          <w:sz w:val="24"/>
          <w:szCs w:val="24"/>
        </w:rPr>
        <w:t xml:space="preserve">Takýmto integrovaným projektom by z projektových zámerov mohol byť zámer na využite tepla z existujúcej bioplynovej stanice na vybudovanie kombinovanej sušiarne na sušenie či už ovocia, hríbov, byliniek či dosiek a zároveň vybudovanie wellness zariadenia. Do projektu tak môže byť zapojený výrobca čajov, spracovateľ dreva, ovocinári, výrobca sušených hríbov ale aj </w:t>
      </w:r>
      <w:r>
        <w:rPr>
          <w:rFonts w:ascii="Times New Roman" w:hAnsi="Times New Roman" w:cs="Times New Roman"/>
          <w:sz w:val="24"/>
          <w:szCs w:val="24"/>
        </w:rPr>
        <w:lastRenderedPageBreak/>
        <w:t>poskytovateľ služieb cestovného ruchu. Zámer zároveň počíta s využitím OZ Osveta myjavských Rómov pri mobilizácií Rómskeho etnika pri zbere ovocia, hríbov, či byliniek.</w:t>
      </w:r>
    </w:p>
    <w:p w14:paraId="48287942" w14:textId="77777777" w:rsidR="003940DB" w:rsidRPr="0011061C"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Integračné znaky ponesú projekty vytvárajúce p</w:t>
      </w:r>
      <w:r w:rsidRPr="0011061C">
        <w:rPr>
          <w:rFonts w:ascii="Times New Roman" w:hAnsi="Times New Roman" w:cs="Times New Roman"/>
          <w:sz w:val="24"/>
          <w:szCs w:val="24"/>
        </w:rPr>
        <w:t xml:space="preserve">repojenie medzi ekonomickými odvetviami v súčasnom hospodárstve od seba </w:t>
      </w:r>
      <w:r>
        <w:rPr>
          <w:rFonts w:ascii="Times New Roman" w:hAnsi="Times New Roman" w:cs="Times New Roman"/>
          <w:sz w:val="24"/>
          <w:szCs w:val="24"/>
        </w:rPr>
        <w:t xml:space="preserve">viac-menej </w:t>
      </w:r>
      <w:r w:rsidRPr="0011061C">
        <w:rPr>
          <w:rFonts w:ascii="Times New Roman" w:hAnsi="Times New Roman" w:cs="Times New Roman"/>
          <w:sz w:val="24"/>
          <w:szCs w:val="24"/>
        </w:rPr>
        <w:t>oddelenými,</w:t>
      </w:r>
      <w:r>
        <w:rPr>
          <w:rFonts w:ascii="Times New Roman" w:hAnsi="Times New Roman" w:cs="Times New Roman"/>
          <w:sz w:val="24"/>
          <w:szCs w:val="24"/>
        </w:rPr>
        <w:t xml:space="preserve"> ako sú</w:t>
      </w:r>
      <w:r w:rsidRPr="0011061C">
        <w:rPr>
          <w:rFonts w:ascii="Times New Roman" w:hAnsi="Times New Roman" w:cs="Times New Roman"/>
          <w:sz w:val="24"/>
          <w:szCs w:val="24"/>
        </w:rPr>
        <w:t xml:space="preserve"> poľnohospodárstvo a potravinárstvo na miestnej úrovni, miestn</w:t>
      </w:r>
      <w:r>
        <w:rPr>
          <w:rFonts w:ascii="Times New Roman" w:hAnsi="Times New Roman" w:cs="Times New Roman"/>
          <w:sz w:val="24"/>
          <w:szCs w:val="24"/>
        </w:rPr>
        <w:t>y</w:t>
      </w:r>
      <w:r w:rsidRPr="0011061C">
        <w:rPr>
          <w:rFonts w:ascii="Times New Roman" w:hAnsi="Times New Roman" w:cs="Times New Roman"/>
          <w:sz w:val="24"/>
          <w:szCs w:val="24"/>
        </w:rPr>
        <w:t xml:space="preserve"> národopis, turizmus a vzdelávanie stredných škôl, informačné tec</w:t>
      </w:r>
      <w:r>
        <w:rPr>
          <w:rFonts w:ascii="Times New Roman" w:hAnsi="Times New Roman" w:cs="Times New Roman"/>
          <w:sz w:val="24"/>
          <w:szCs w:val="24"/>
        </w:rPr>
        <w:t>hnológie a staršia generácia</w:t>
      </w:r>
      <w:r w:rsidRPr="0011061C">
        <w:rPr>
          <w:rFonts w:ascii="Times New Roman" w:hAnsi="Times New Roman" w:cs="Times New Roman"/>
          <w:sz w:val="24"/>
          <w:szCs w:val="24"/>
        </w:rPr>
        <w:t>, pestovanie lesa a výroba nábytku v</w:t>
      </w:r>
      <w:r>
        <w:rPr>
          <w:rFonts w:ascii="Times New Roman" w:hAnsi="Times New Roman" w:cs="Times New Roman"/>
          <w:sz w:val="24"/>
          <w:szCs w:val="24"/>
        </w:rPr>
        <w:t> danej lokalite</w:t>
      </w:r>
      <w:r w:rsidRPr="0011061C">
        <w:rPr>
          <w:rFonts w:ascii="Times New Roman" w:hAnsi="Times New Roman" w:cs="Times New Roman"/>
          <w:sz w:val="24"/>
          <w:szCs w:val="24"/>
        </w:rPr>
        <w:t>, údržba vidieckej krajiny a ekoturizmus, poz</w:t>
      </w:r>
      <w:r>
        <w:rPr>
          <w:rFonts w:ascii="Times New Roman" w:hAnsi="Times New Roman" w:cs="Times New Roman"/>
          <w:sz w:val="24"/>
          <w:szCs w:val="24"/>
        </w:rPr>
        <w:t>návacia a konferenčná turistika.</w:t>
      </w:r>
    </w:p>
    <w:p w14:paraId="53C0AC72" w14:textId="77777777" w:rsidR="00EC0646"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0540C">
        <w:rPr>
          <w:rFonts w:ascii="Times New Roman" w:hAnsi="Times New Roman" w:cs="Times New Roman"/>
          <w:sz w:val="24"/>
          <w:szCs w:val="24"/>
        </w:rPr>
        <w:t xml:space="preserve">Pri </w:t>
      </w:r>
      <w:r>
        <w:rPr>
          <w:rFonts w:ascii="Times New Roman" w:hAnsi="Times New Roman" w:cs="Times New Roman"/>
          <w:sz w:val="24"/>
          <w:szCs w:val="24"/>
        </w:rPr>
        <w:t>hodnotení projektov budú</w:t>
      </w:r>
      <w:r w:rsidRPr="00A0540C">
        <w:rPr>
          <w:rFonts w:ascii="Times New Roman" w:hAnsi="Times New Roman" w:cs="Times New Roman"/>
          <w:sz w:val="24"/>
          <w:szCs w:val="24"/>
        </w:rPr>
        <w:t xml:space="preserve"> uprednostňované komunitné spôsoby realizácie projektov</w:t>
      </w:r>
      <w:r>
        <w:rPr>
          <w:rFonts w:ascii="Times New Roman" w:hAnsi="Times New Roman" w:cs="Times New Roman"/>
          <w:sz w:val="24"/>
          <w:szCs w:val="24"/>
        </w:rPr>
        <w:t>, teda keď</w:t>
      </w:r>
      <w:r w:rsidRPr="00A0540C">
        <w:rPr>
          <w:rFonts w:ascii="Times New Roman" w:hAnsi="Times New Roman" w:cs="Times New Roman"/>
          <w:sz w:val="24"/>
          <w:szCs w:val="24"/>
        </w:rPr>
        <w:t xml:space="preserve"> </w:t>
      </w:r>
      <w:r>
        <w:rPr>
          <w:rFonts w:ascii="Times New Roman" w:hAnsi="Times New Roman" w:cs="Times New Roman"/>
          <w:sz w:val="24"/>
          <w:szCs w:val="24"/>
        </w:rPr>
        <w:t>na hmotnú</w:t>
      </w:r>
      <w:r w:rsidRPr="00A0540C">
        <w:rPr>
          <w:rFonts w:ascii="Times New Roman" w:hAnsi="Times New Roman" w:cs="Times New Roman"/>
          <w:sz w:val="24"/>
          <w:szCs w:val="24"/>
        </w:rPr>
        <w:t xml:space="preserve"> investíci</w:t>
      </w:r>
      <w:r>
        <w:rPr>
          <w:rFonts w:ascii="Times New Roman" w:hAnsi="Times New Roman" w:cs="Times New Roman"/>
          <w:sz w:val="24"/>
          <w:szCs w:val="24"/>
        </w:rPr>
        <w:t>u</w:t>
      </w:r>
      <w:r w:rsidRPr="00A0540C">
        <w:rPr>
          <w:rFonts w:ascii="Times New Roman" w:hAnsi="Times New Roman" w:cs="Times New Roman"/>
          <w:sz w:val="24"/>
          <w:szCs w:val="24"/>
        </w:rPr>
        <w:t xml:space="preserve"> </w:t>
      </w:r>
      <w:r>
        <w:rPr>
          <w:rFonts w:ascii="Times New Roman" w:hAnsi="Times New Roman" w:cs="Times New Roman"/>
          <w:sz w:val="24"/>
          <w:szCs w:val="24"/>
        </w:rPr>
        <w:t>bude na</w:t>
      </w:r>
      <w:r w:rsidRPr="00A0540C">
        <w:rPr>
          <w:rFonts w:ascii="Times New Roman" w:hAnsi="Times New Roman" w:cs="Times New Roman"/>
          <w:sz w:val="24"/>
          <w:szCs w:val="24"/>
        </w:rPr>
        <w:t>viazaná spoločensky prospešná akci</w:t>
      </w:r>
      <w:r>
        <w:rPr>
          <w:rFonts w:ascii="Times New Roman" w:hAnsi="Times New Roman" w:cs="Times New Roman"/>
          <w:sz w:val="24"/>
          <w:szCs w:val="24"/>
        </w:rPr>
        <w:t>a</w:t>
      </w:r>
      <w:r w:rsidRPr="00A0540C">
        <w:rPr>
          <w:rFonts w:ascii="Times New Roman" w:hAnsi="Times New Roman" w:cs="Times New Roman"/>
          <w:sz w:val="24"/>
          <w:szCs w:val="24"/>
        </w:rPr>
        <w:t xml:space="preserve"> či aktivita </w:t>
      </w:r>
      <w:r>
        <w:rPr>
          <w:rFonts w:ascii="Times New Roman" w:hAnsi="Times New Roman" w:cs="Times New Roman"/>
          <w:sz w:val="24"/>
          <w:szCs w:val="24"/>
        </w:rPr>
        <w:t xml:space="preserve">najlepšie </w:t>
      </w:r>
      <w:r w:rsidRPr="00A0540C">
        <w:rPr>
          <w:rFonts w:ascii="Times New Roman" w:hAnsi="Times New Roman" w:cs="Times New Roman"/>
          <w:sz w:val="24"/>
          <w:szCs w:val="24"/>
        </w:rPr>
        <w:t>v spolupráci s ďalšími sub</w:t>
      </w:r>
      <w:r>
        <w:rPr>
          <w:rFonts w:ascii="Times New Roman" w:hAnsi="Times New Roman" w:cs="Times New Roman"/>
          <w:sz w:val="24"/>
          <w:szCs w:val="24"/>
        </w:rPr>
        <w:t>jektmi, čo je tiež určitý znak integrovanosti projektu</w:t>
      </w:r>
    </w:p>
    <w:p w14:paraId="21A47898" w14:textId="77777777" w:rsidR="00E135B2" w:rsidRPr="00891B13" w:rsidRDefault="00E135B2" w:rsidP="00E37887">
      <w:pPr>
        <w:spacing w:after="0" w:line="360" w:lineRule="auto"/>
        <w:jc w:val="both"/>
        <w:rPr>
          <w:rFonts w:ascii="Times New Roman" w:hAnsi="Times New Roman" w:cs="Times New Roman"/>
          <w:sz w:val="24"/>
          <w:szCs w:val="24"/>
        </w:rPr>
      </w:pPr>
    </w:p>
    <w:p w14:paraId="3DB31744" w14:textId="77777777" w:rsidR="001751A5" w:rsidRPr="00A7388C" w:rsidRDefault="001751A5" w:rsidP="003301D6">
      <w:pPr>
        <w:pStyle w:val="Odsekzoznamu"/>
        <w:keepNext/>
        <w:keepLines/>
        <w:numPr>
          <w:ilvl w:val="0"/>
          <w:numId w:val="8"/>
        </w:numPr>
        <w:spacing w:after="0" w:line="360" w:lineRule="auto"/>
        <w:contextualSpacing w:val="0"/>
        <w:outlineLvl w:val="1"/>
        <w:rPr>
          <w:rFonts w:ascii="Times New Roman" w:eastAsiaTheme="majorEastAsia" w:hAnsi="Times New Roman" w:cstheme="majorBidi"/>
          <w:b/>
          <w:vanish/>
          <w:sz w:val="24"/>
          <w:szCs w:val="26"/>
        </w:rPr>
      </w:pPr>
      <w:bookmarkStart w:id="1087" w:name="_Toc437861993"/>
      <w:bookmarkStart w:id="1088" w:name="_Toc437862691"/>
      <w:bookmarkStart w:id="1089" w:name="_Toc437862833"/>
      <w:bookmarkStart w:id="1090" w:name="_Toc437877419"/>
      <w:bookmarkStart w:id="1091" w:name="_Toc437877617"/>
      <w:bookmarkStart w:id="1092" w:name="_Toc437877817"/>
      <w:bookmarkStart w:id="1093" w:name="_Toc437878017"/>
      <w:bookmarkStart w:id="1094" w:name="_Toc437878220"/>
      <w:bookmarkStart w:id="1095" w:name="_Toc437878424"/>
      <w:bookmarkStart w:id="1096" w:name="_Toc437878628"/>
      <w:bookmarkStart w:id="1097" w:name="_Toc437878832"/>
      <w:bookmarkStart w:id="1098" w:name="_Toc439149994"/>
      <w:bookmarkStart w:id="1099" w:name="_Toc439150350"/>
      <w:bookmarkStart w:id="1100" w:name="_Toc439150549"/>
      <w:bookmarkStart w:id="1101" w:name="_Toc485645639"/>
      <w:bookmarkStart w:id="1102" w:name="_Toc485645798"/>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1A906073" w14:textId="77777777" w:rsidR="001751A5" w:rsidRPr="00A7388C" w:rsidRDefault="001751A5" w:rsidP="003301D6">
      <w:pPr>
        <w:pStyle w:val="Odsekzoznamu"/>
        <w:keepNext/>
        <w:keepLines/>
        <w:numPr>
          <w:ilvl w:val="0"/>
          <w:numId w:val="8"/>
        </w:numPr>
        <w:spacing w:after="0" w:line="360" w:lineRule="auto"/>
        <w:contextualSpacing w:val="0"/>
        <w:outlineLvl w:val="1"/>
        <w:rPr>
          <w:rFonts w:ascii="Times New Roman" w:eastAsiaTheme="majorEastAsia" w:hAnsi="Times New Roman" w:cstheme="majorBidi"/>
          <w:b/>
          <w:vanish/>
          <w:sz w:val="24"/>
          <w:szCs w:val="26"/>
        </w:rPr>
      </w:pPr>
      <w:bookmarkStart w:id="1103" w:name="_Toc437861994"/>
      <w:bookmarkStart w:id="1104" w:name="_Toc437862692"/>
      <w:bookmarkStart w:id="1105" w:name="_Toc437862834"/>
      <w:bookmarkStart w:id="1106" w:name="_Toc437877420"/>
      <w:bookmarkStart w:id="1107" w:name="_Toc437877618"/>
      <w:bookmarkStart w:id="1108" w:name="_Toc437877818"/>
      <w:bookmarkStart w:id="1109" w:name="_Toc437878018"/>
      <w:bookmarkStart w:id="1110" w:name="_Toc437878221"/>
      <w:bookmarkStart w:id="1111" w:name="_Toc437878425"/>
      <w:bookmarkStart w:id="1112" w:name="_Toc437878629"/>
      <w:bookmarkStart w:id="1113" w:name="_Toc437878833"/>
      <w:bookmarkStart w:id="1114" w:name="_Toc439149995"/>
      <w:bookmarkStart w:id="1115" w:name="_Toc439150351"/>
      <w:bookmarkStart w:id="1116" w:name="_Toc439150550"/>
      <w:bookmarkStart w:id="1117" w:name="_Toc485645640"/>
      <w:bookmarkStart w:id="1118" w:name="_Toc485645799"/>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2FD0DFF7" w14:textId="77777777" w:rsidR="001751A5" w:rsidRPr="00A7388C" w:rsidRDefault="001751A5" w:rsidP="003301D6">
      <w:pPr>
        <w:pStyle w:val="Odsekzoznamu"/>
        <w:keepNext/>
        <w:keepLines/>
        <w:numPr>
          <w:ilvl w:val="0"/>
          <w:numId w:val="8"/>
        </w:numPr>
        <w:spacing w:after="0" w:line="360" w:lineRule="auto"/>
        <w:contextualSpacing w:val="0"/>
        <w:outlineLvl w:val="1"/>
        <w:rPr>
          <w:rFonts w:ascii="Times New Roman" w:eastAsiaTheme="majorEastAsia" w:hAnsi="Times New Roman" w:cstheme="majorBidi"/>
          <w:b/>
          <w:vanish/>
          <w:sz w:val="24"/>
          <w:szCs w:val="26"/>
        </w:rPr>
      </w:pPr>
      <w:bookmarkStart w:id="1119" w:name="_Toc437861995"/>
      <w:bookmarkStart w:id="1120" w:name="_Toc437862693"/>
      <w:bookmarkStart w:id="1121" w:name="_Toc437862835"/>
      <w:bookmarkStart w:id="1122" w:name="_Toc437877421"/>
      <w:bookmarkStart w:id="1123" w:name="_Toc437877619"/>
      <w:bookmarkStart w:id="1124" w:name="_Toc437877819"/>
      <w:bookmarkStart w:id="1125" w:name="_Toc437878019"/>
      <w:bookmarkStart w:id="1126" w:name="_Toc437878222"/>
      <w:bookmarkStart w:id="1127" w:name="_Toc437878426"/>
      <w:bookmarkStart w:id="1128" w:name="_Toc437878630"/>
      <w:bookmarkStart w:id="1129" w:name="_Toc437878834"/>
      <w:bookmarkStart w:id="1130" w:name="_Toc439149996"/>
      <w:bookmarkStart w:id="1131" w:name="_Toc439150352"/>
      <w:bookmarkStart w:id="1132" w:name="_Toc439150551"/>
      <w:bookmarkStart w:id="1133" w:name="_Toc485645641"/>
      <w:bookmarkStart w:id="1134" w:name="_Toc485645800"/>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7B2CC571" w14:textId="77777777" w:rsidR="001751A5" w:rsidRPr="00A7388C" w:rsidRDefault="001751A5" w:rsidP="003301D6">
      <w:pPr>
        <w:pStyle w:val="Odsekzoznamu"/>
        <w:keepNext/>
        <w:keepLines/>
        <w:numPr>
          <w:ilvl w:val="0"/>
          <w:numId w:val="8"/>
        </w:numPr>
        <w:spacing w:after="0" w:line="360" w:lineRule="auto"/>
        <w:contextualSpacing w:val="0"/>
        <w:outlineLvl w:val="1"/>
        <w:rPr>
          <w:rFonts w:ascii="Times New Roman" w:eastAsiaTheme="majorEastAsia" w:hAnsi="Times New Roman" w:cstheme="majorBidi"/>
          <w:b/>
          <w:vanish/>
          <w:sz w:val="24"/>
          <w:szCs w:val="26"/>
        </w:rPr>
      </w:pPr>
      <w:bookmarkStart w:id="1135" w:name="_Toc437861996"/>
      <w:bookmarkStart w:id="1136" w:name="_Toc437862694"/>
      <w:bookmarkStart w:id="1137" w:name="_Toc437862836"/>
      <w:bookmarkStart w:id="1138" w:name="_Toc437877422"/>
      <w:bookmarkStart w:id="1139" w:name="_Toc437877620"/>
      <w:bookmarkStart w:id="1140" w:name="_Toc437877820"/>
      <w:bookmarkStart w:id="1141" w:name="_Toc437878020"/>
      <w:bookmarkStart w:id="1142" w:name="_Toc437878223"/>
      <w:bookmarkStart w:id="1143" w:name="_Toc437878427"/>
      <w:bookmarkStart w:id="1144" w:name="_Toc437878631"/>
      <w:bookmarkStart w:id="1145" w:name="_Toc437878835"/>
      <w:bookmarkStart w:id="1146" w:name="_Toc439149997"/>
      <w:bookmarkStart w:id="1147" w:name="_Toc439150353"/>
      <w:bookmarkStart w:id="1148" w:name="_Toc439150552"/>
      <w:bookmarkStart w:id="1149" w:name="_Toc485645642"/>
      <w:bookmarkStart w:id="1150" w:name="_Toc485645801"/>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7F9F8186" w14:textId="77777777" w:rsidR="001751A5" w:rsidRPr="00A7388C" w:rsidRDefault="001751A5" w:rsidP="003301D6">
      <w:pPr>
        <w:pStyle w:val="Odsekzoznamu"/>
        <w:keepNext/>
        <w:keepLines/>
        <w:numPr>
          <w:ilvl w:val="1"/>
          <w:numId w:val="8"/>
        </w:numPr>
        <w:spacing w:after="0" w:line="360" w:lineRule="auto"/>
        <w:contextualSpacing w:val="0"/>
        <w:outlineLvl w:val="1"/>
        <w:rPr>
          <w:rFonts w:ascii="Times New Roman" w:eastAsiaTheme="majorEastAsia" w:hAnsi="Times New Roman" w:cstheme="majorBidi"/>
          <w:b/>
          <w:vanish/>
          <w:sz w:val="24"/>
          <w:szCs w:val="26"/>
        </w:rPr>
      </w:pPr>
      <w:bookmarkStart w:id="1151" w:name="_Toc437861997"/>
      <w:bookmarkStart w:id="1152" w:name="_Toc437862695"/>
      <w:bookmarkStart w:id="1153" w:name="_Toc437862837"/>
      <w:bookmarkStart w:id="1154" w:name="_Toc437877423"/>
      <w:bookmarkStart w:id="1155" w:name="_Toc437877621"/>
      <w:bookmarkStart w:id="1156" w:name="_Toc437877821"/>
      <w:bookmarkStart w:id="1157" w:name="_Toc437878021"/>
      <w:bookmarkStart w:id="1158" w:name="_Toc437878224"/>
      <w:bookmarkStart w:id="1159" w:name="_Toc437878428"/>
      <w:bookmarkStart w:id="1160" w:name="_Toc437878632"/>
      <w:bookmarkStart w:id="1161" w:name="_Toc437878836"/>
      <w:bookmarkStart w:id="1162" w:name="_Toc439149998"/>
      <w:bookmarkStart w:id="1163" w:name="_Toc439150354"/>
      <w:bookmarkStart w:id="1164" w:name="_Toc439150553"/>
      <w:bookmarkStart w:id="1165" w:name="_Toc485645643"/>
      <w:bookmarkStart w:id="1166" w:name="_Toc485645802"/>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2538ED17" w14:textId="77777777" w:rsidR="001751A5" w:rsidRPr="00A7388C" w:rsidRDefault="001751A5" w:rsidP="003301D6">
      <w:pPr>
        <w:pStyle w:val="Odsekzoznamu"/>
        <w:keepNext/>
        <w:keepLines/>
        <w:numPr>
          <w:ilvl w:val="1"/>
          <w:numId w:val="8"/>
        </w:numPr>
        <w:spacing w:after="0" w:line="360" w:lineRule="auto"/>
        <w:contextualSpacing w:val="0"/>
        <w:outlineLvl w:val="1"/>
        <w:rPr>
          <w:rFonts w:ascii="Times New Roman" w:eastAsiaTheme="majorEastAsia" w:hAnsi="Times New Roman" w:cstheme="majorBidi"/>
          <w:b/>
          <w:vanish/>
          <w:sz w:val="24"/>
          <w:szCs w:val="26"/>
        </w:rPr>
      </w:pPr>
      <w:bookmarkStart w:id="1167" w:name="_Toc437861998"/>
      <w:bookmarkStart w:id="1168" w:name="_Toc437862696"/>
      <w:bookmarkStart w:id="1169" w:name="_Toc437862838"/>
      <w:bookmarkStart w:id="1170" w:name="_Toc437877424"/>
      <w:bookmarkStart w:id="1171" w:name="_Toc437877622"/>
      <w:bookmarkStart w:id="1172" w:name="_Toc437877822"/>
      <w:bookmarkStart w:id="1173" w:name="_Toc437878022"/>
      <w:bookmarkStart w:id="1174" w:name="_Toc437878225"/>
      <w:bookmarkStart w:id="1175" w:name="_Toc437878429"/>
      <w:bookmarkStart w:id="1176" w:name="_Toc437878633"/>
      <w:bookmarkStart w:id="1177" w:name="_Toc437878837"/>
      <w:bookmarkStart w:id="1178" w:name="_Toc439149999"/>
      <w:bookmarkStart w:id="1179" w:name="_Toc439150355"/>
      <w:bookmarkStart w:id="1180" w:name="_Toc439150554"/>
      <w:bookmarkStart w:id="1181" w:name="_Toc485645644"/>
      <w:bookmarkStart w:id="1182" w:name="_Toc485645803"/>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13EC4521" w14:textId="77777777" w:rsidR="001751A5" w:rsidRPr="00A7388C" w:rsidRDefault="001751A5" w:rsidP="003301D6">
      <w:pPr>
        <w:pStyle w:val="Odsekzoznamu"/>
        <w:keepNext/>
        <w:keepLines/>
        <w:numPr>
          <w:ilvl w:val="1"/>
          <w:numId w:val="8"/>
        </w:numPr>
        <w:spacing w:after="0" w:line="360" w:lineRule="auto"/>
        <w:contextualSpacing w:val="0"/>
        <w:outlineLvl w:val="1"/>
        <w:rPr>
          <w:rFonts w:ascii="Times New Roman" w:eastAsiaTheme="majorEastAsia" w:hAnsi="Times New Roman" w:cstheme="majorBidi"/>
          <w:b/>
          <w:vanish/>
          <w:sz w:val="24"/>
          <w:szCs w:val="26"/>
        </w:rPr>
      </w:pPr>
      <w:bookmarkStart w:id="1183" w:name="_Toc437861999"/>
      <w:bookmarkStart w:id="1184" w:name="_Toc437862697"/>
      <w:bookmarkStart w:id="1185" w:name="_Toc437862839"/>
      <w:bookmarkStart w:id="1186" w:name="_Toc437877425"/>
      <w:bookmarkStart w:id="1187" w:name="_Toc437877623"/>
      <w:bookmarkStart w:id="1188" w:name="_Toc437877823"/>
      <w:bookmarkStart w:id="1189" w:name="_Toc437878023"/>
      <w:bookmarkStart w:id="1190" w:name="_Toc437878226"/>
      <w:bookmarkStart w:id="1191" w:name="_Toc437878430"/>
      <w:bookmarkStart w:id="1192" w:name="_Toc437878634"/>
      <w:bookmarkStart w:id="1193" w:name="_Toc437878838"/>
      <w:bookmarkStart w:id="1194" w:name="_Toc439150000"/>
      <w:bookmarkStart w:id="1195" w:name="_Toc439150356"/>
      <w:bookmarkStart w:id="1196" w:name="_Toc439150555"/>
      <w:bookmarkStart w:id="1197" w:name="_Toc485645645"/>
      <w:bookmarkStart w:id="1198" w:name="_Toc485645804"/>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6A24B82F" w14:textId="77777777" w:rsidR="001751A5" w:rsidRPr="00A7388C" w:rsidRDefault="001751A5" w:rsidP="003301D6">
      <w:pPr>
        <w:pStyle w:val="Odsekzoznamu"/>
        <w:keepNext/>
        <w:keepLines/>
        <w:numPr>
          <w:ilvl w:val="1"/>
          <w:numId w:val="8"/>
        </w:numPr>
        <w:spacing w:after="0" w:line="360" w:lineRule="auto"/>
        <w:contextualSpacing w:val="0"/>
        <w:outlineLvl w:val="1"/>
        <w:rPr>
          <w:rFonts w:ascii="Times New Roman" w:eastAsiaTheme="majorEastAsia" w:hAnsi="Times New Roman" w:cstheme="majorBidi"/>
          <w:b/>
          <w:vanish/>
          <w:sz w:val="24"/>
          <w:szCs w:val="26"/>
        </w:rPr>
      </w:pPr>
      <w:bookmarkStart w:id="1199" w:name="_Toc437862000"/>
      <w:bookmarkStart w:id="1200" w:name="_Toc437862698"/>
      <w:bookmarkStart w:id="1201" w:name="_Toc437862840"/>
      <w:bookmarkStart w:id="1202" w:name="_Toc437877426"/>
      <w:bookmarkStart w:id="1203" w:name="_Toc437877624"/>
      <w:bookmarkStart w:id="1204" w:name="_Toc437877824"/>
      <w:bookmarkStart w:id="1205" w:name="_Toc437878024"/>
      <w:bookmarkStart w:id="1206" w:name="_Toc437878227"/>
      <w:bookmarkStart w:id="1207" w:name="_Toc437878431"/>
      <w:bookmarkStart w:id="1208" w:name="_Toc437878635"/>
      <w:bookmarkStart w:id="1209" w:name="_Toc437878839"/>
      <w:bookmarkStart w:id="1210" w:name="_Toc439150001"/>
      <w:bookmarkStart w:id="1211" w:name="_Toc439150357"/>
      <w:bookmarkStart w:id="1212" w:name="_Toc439150556"/>
      <w:bookmarkStart w:id="1213" w:name="_Toc485645646"/>
      <w:bookmarkStart w:id="1214" w:name="_Toc485645805"/>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1DBAE1EE" w14:textId="77777777" w:rsidR="00A7388C" w:rsidRPr="00A7388C" w:rsidRDefault="00A7388C" w:rsidP="003301D6">
      <w:pPr>
        <w:pStyle w:val="Odsekzoznamu"/>
        <w:keepNext/>
        <w:keepLines/>
        <w:numPr>
          <w:ilvl w:val="0"/>
          <w:numId w:val="11"/>
        </w:numPr>
        <w:spacing w:after="0" w:line="360" w:lineRule="auto"/>
        <w:contextualSpacing w:val="0"/>
        <w:outlineLvl w:val="1"/>
        <w:rPr>
          <w:rFonts w:ascii="Times New Roman" w:eastAsiaTheme="majorEastAsia" w:hAnsi="Times New Roman" w:cstheme="majorBidi"/>
          <w:b/>
          <w:vanish/>
          <w:sz w:val="24"/>
          <w:szCs w:val="26"/>
        </w:rPr>
      </w:pPr>
      <w:bookmarkStart w:id="1215" w:name="_Toc437862699"/>
      <w:bookmarkStart w:id="1216" w:name="_Toc437862841"/>
      <w:bookmarkStart w:id="1217" w:name="_Toc437877427"/>
      <w:bookmarkStart w:id="1218" w:name="_Toc437877625"/>
      <w:bookmarkStart w:id="1219" w:name="_Toc437877825"/>
      <w:bookmarkStart w:id="1220" w:name="_Toc437878025"/>
      <w:bookmarkStart w:id="1221" w:name="_Toc437878228"/>
      <w:bookmarkStart w:id="1222" w:name="_Toc437878432"/>
      <w:bookmarkStart w:id="1223" w:name="_Toc437878636"/>
      <w:bookmarkStart w:id="1224" w:name="_Toc437878840"/>
      <w:bookmarkStart w:id="1225" w:name="_Toc439150002"/>
      <w:bookmarkStart w:id="1226" w:name="_Toc439150358"/>
      <w:bookmarkStart w:id="1227" w:name="_Toc439150557"/>
      <w:bookmarkStart w:id="1228" w:name="_Toc485645647"/>
      <w:bookmarkStart w:id="1229" w:name="_Toc485645806"/>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257A2ECB" w14:textId="77777777" w:rsidR="00A7388C" w:rsidRPr="00A7388C" w:rsidRDefault="00A7388C" w:rsidP="003301D6">
      <w:pPr>
        <w:pStyle w:val="Odsekzoznamu"/>
        <w:keepNext/>
        <w:keepLines/>
        <w:numPr>
          <w:ilvl w:val="0"/>
          <w:numId w:val="11"/>
        </w:numPr>
        <w:spacing w:after="0" w:line="360" w:lineRule="auto"/>
        <w:contextualSpacing w:val="0"/>
        <w:outlineLvl w:val="1"/>
        <w:rPr>
          <w:rFonts w:ascii="Times New Roman" w:eastAsiaTheme="majorEastAsia" w:hAnsi="Times New Roman" w:cstheme="majorBidi"/>
          <w:b/>
          <w:vanish/>
          <w:sz w:val="24"/>
          <w:szCs w:val="26"/>
        </w:rPr>
      </w:pPr>
      <w:bookmarkStart w:id="1230" w:name="_Toc437862700"/>
      <w:bookmarkStart w:id="1231" w:name="_Toc437862842"/>
      <w:bookmarkStart w:id="1232" w:name="_Toc437877428"/>
      <w:bookmarkStart w:id="1233" w:name="_Toc437877626"/>
      <w:bookmarkStart w:id="1234" w:name="_Toc437877826"/>
      <w:bookmarkStart w:id="1235" w:name="_Toc437878026"/>
      <w:bookmarkStart w:id="1236" w:name="_Toc437878229"/>
      <w:bookmarkStart w:id="1237" w:name="_Toc437878433"/>
      <w:bookmarkStart w:id="1238" w:name="_Toc437878637"/>
      <w:bookmarkStart w:id="1239" w:name="_Toc437878841"/>
      <w:bookmarkStart w:id="1240" w:name="_Toc439150003"/>
      <w:bookmarkStart w:id="1241" w:name="_Toc439150359"/>
      <w:bookmarkStart w:id="1242" w:name="_Toc439150558"/>
      <w:bookmarkStart w:id="1243" w:name="_Toc485645648"/>
      <w:bookmarkStart w:id="1244" w:name="_Toc485645807"/>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5B61F896" w14:textId="77777777" w:rsidR="00A7388C" w:rsidRPr="00A7388C" w:rsidRDefault="00A7388C" w:rsidP="003301D6">
      <w:pPr>
        <w:pStyle w:val="Odsekzoznamu"/>
        <w:keepNext/>
        <w:keepLines/>
        <w:numPr>
          <w:ilvl w:val="0"/>
          <w:numId w:val="11"/>
        </w:numPr>
        <w:spacing w:after="0" w:line="360" w:lineRule="auto"/>
        <w:contextualSpacing w:val="0"/>
        <w:outlineLvl w:val="1"/>
        <w:rPr>
          <w:rFonts w:ascii="Times New Roman" w:eastAsiaTheme="majorEastAsia" w:hAnsi="Times New Roman" w:cstheme="majorBidi"/>
          <w:b/>
          <w:vanish/>
          <w:sz w:val="24"/>
          <w:szCs w:val="26"/>
        </w:rPr>
      </w:pPr>
      <w:bookmarkStart w:id="1245" w:name="_Toc437862701"/>
      <w:bookmarkStart w:id="1246" w:name="_Toc437862843"/>
      <w:bookmarkStart w:id="1247" w:name="_Toc437877429"/>
      <w:bookmarkStart w:id="1248" w:name="_Toc437877627"/>
      <w:bookmarkStart w:id="1249" w:name="_Toc437877827"/>
      <w:bookmarkStart w:id="1250" w:name="_Toc437878027"/>
      <w:bookmarkStart w:id="1251" w:name="_Toc437878230"/>
      <w:bookmarkStart w:id="1252" w:name="_Toc437878434"/>
      <w:bookmarkStart w:id="1253" w:name="_Toc437878638"/>
      <w:bookmarkStart w:id="1254" w:name="_Toc437878842"/>
      <w:bookmarkStart w:id="1255" w:name="_Toc439150004"/>
      <w:bookmarkStart w:id="1256" w:name="_Toc439150360"/>
      <w:bookmarkStart w:id="1257" w:name="_Toc439150559"/>
      <w:bookmarkStart w:id="1258" w:name="_Toc485645649"/>
      <w:bookmarkStart w:id="1259" w:name="_Toc485645808"/>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588A8056" w14:textId="77777777" w:rsidR="00A7388C" w:rsidRPr="00A7388C" w:rsidRDefault="00A7388C" w:rsidP="003301D6">
      <w:pPr>
        <w:pStyle w:val="Odsekzoznamu"/>
        <w:keepNext/>
        <w:keepLines/>
        <w:numPr>
          <w:ilvl w:val="0"/>
          <w:numId w:val="11"/>
        </w:numPr>
        <w:spacing w:after="0" w:line="360" w:lineRule="auto"/>
        <w:contextualSpacing w:val="0"/>
        <w:outlineLvl w:val="1"/>
        <w:rPr>
          <w:rFonts w:ascii="Times New Roman" w:eastAsiaTheme="majorEastAsia" w:hAnsi="Times New Roman" w:cstheme="majorBidi"/>
          <w:b/>
          <w:vanish/>
          <w:sz w:val="24"/>
          <w:szCs w:val="26"/>
        </w:rPr>
      </w:pPr>
      <w:bookmarkStart w:id="1260" w:name="_Toc437862702"/>
      <w:bookmarkStart w:id="1261" w:name="_Toc437862844"/>
      <w:bookmarkStart w:id="1262" w:name="_Toc437877430"/>
      <w:bookmarkStart w:id="1263" w:name="_Toc437877628"/>
      <w:bookmarkStart w:id="1264" w:name="_Toc437877828"/>
      <w:bookmarkStart w:id="1265" w:name="_Toc437878028"/>
      <w:bookmarkStart w:id="1266" w:name="_Toc437878231"/>
      <w:bookmarkStart w:id="1267" w:name="_Toc437878435"/>
      <w:bookmarkStart w:id="1268" w:name="_Toc437878639"/>
      <w:bookmarkStart w:id="1269" w:name="_Toc437878843"/>
      <w:bookmarkStart w:id="1270" w:name="_Toc439150005"/>
      <w:bookmarkStart w:id="1271" w:name="_Toc439150361"/>
      <w:bookmarkStart w:id="1272" w:name="_Toc439150560"/>
      <w:bookmarkStart w:id="1273" w:name="_Toc485645650"/>
      <w:bookmarkStart w:id="1274" w:name="_Toc48564580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546A4805" w14:textId="77777777" w:rsidR="00A7388C" w:rsidRPr="00A7388C" w:rsidRDefault="00A7388C" w:rsidP="003301D6">
      <w:pPr>
        <w:pStyle w:val="Odsekzoznamu"/>
        <w:keepNext/>
        <w:keepLines/>
        <w:numPr>
          <w:ilvl w:val="1"/>
          <w:numId w:val="11"/>
        </w:numPr>
        <w:spacing w:after="0" w:line="360" w:lineRule="auto"/>
        <w:contextualSpacing w:val="0"/>
        <w:outlineLvl w:val="1"/>
        <w:rPr>
          <w:rFonts w:ascii="Times New Roman" w:eastAsiaTheme="majorEastAsia" w:hAnsi="Times New Roman" w:cstheme="majorBidi"/>
          <w:b/>
          <w:vanish/>
          <w:sz w:val="24"/>
          <w:szCs w:val="26"/>
        </w:rPr>
      </w:pPr>
      <w:bookmarkStart w:id="1275" w:name="_Toc437862703"/>
      <w:bookmarkStart w:id="1276" w:name="_Toc437862845"/>
      <w:bookmarkStart w:id="1277" w:name="_Toc437877431"/>
      <w:bookmarkStart w:id="1278" w:name="_Toc437877629"/>
      <w:bookmarkStart w:id="1279" w:name="_Toc437877829"/>
      <w:bookmarkStart w:id="1280" w:name="_Toc437878029"/>
      <w:bookmarkStart w:id="1281" w:name="_Toc437878232"/>
      <w:bookmarkStart w:id="1282" w:name="_Toc437878436"/>
      <w:bookmarkStart w:id="1283" w:name="_Toc437878640"/>
      <w:bookmarkStart w:id="1284" w:name="_Toc437878844"/>
      <w:bookmarkStart w:id="1285" w:name="_Toc439150006"/>
      <w:bookmarkStart w:id="1286" w:name="_Toc439150362"/>
      <w:bookmarkStart w:id="1287" w:name="_Toc439150561"/>
      <w:bookmarkStart w:id="1288" w:name="_Toc485645651"/>
      <w:bookmarkStart w:id="1289" w:name="_Toc485645810"/>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0C59CD6C" w14:textId="77777777" w:rsidR="00A7388C" w:rsidRPr="00A7388C" w:rsidRDefault="00A7388C" w:rsidP="003301D6">
      <w:pPr>
        <w:pStyle w:val="Odsekzoznamu"/>
        <w:keepNext/>
        <w:keepLines/>
        <w:numPr>
          <w:ilvl w:val="1"/>
          <w:numId w:val="11"/>
        </w:numPr>
        <w:spacing w:after="0" w:line="360" w:lineRule="auto"/>
        <w:contextualSpacing w:val="0"/>
        <w:outlineLvl w:val="1"/>
        <w:rPr>
          <w:rFonts w:ascii="Times New Roman" w:eastAsiaTheme="majorEastAsia" w:hAnsi="Times New Roman" w:cstheme="majorBidi"/>
          <w:b/>
          <w:vanish/>
          <w:sz w:val="24"/>
          <w:szCs w:val="26"/>
        </w:rPr>
      </w:pPr>
      <w:bookmarkStart w:id="1290" w:name="_Toc437862704"/>
      <w:bookmarkStart w:id="1291" w:name="_Toc437862846"/>
      <w:bookmarkStart w:id="1292" w:name="_Toc437877432"/>
      <w:bookmarkStart w:id="1293" w:name="_Toc437877630"/>
      <w:bookmarkStart w:id="1294" w:name="_Toc437877830"/>
      <w:bookmarkStart w:id="1295" w:name="_Toc437878030"/>
      <w:bookmarkStart w:id="1296" w:name="_Toc437878233"/>
      <w:bookmarkStart w:id="1297" w:name="_Toc437878437"/>
      <w:bookmarkStart w:id="1298" w:name="_Toc437878641"/>
      <w:bookmarkStart w:id="1299" w:name="_Toc437878845"/>
      <w:bookmarkStart w:id="1300" w:name="_Toc439150007"/>
      <w:bookmarkStart w:id="1301" w:name="_Toc439150363"/>
      <w:bookmarkStart w:id="1302" w:name="_Toc439150562"/>
      <w:bookmarkStart w:id="1303" w:name="_Toc485645652"/>
      <w:bookmarkStart w:id="1304" w:name="_Toc485645811"/>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6C2A6766" w14:textId="77777777" w:rsidR="00A7388C" w:rsidRPr="00A7388C" w:rsidRDefault="00A7388C" w:rsidP="003301D6">
      <w:pPr>
        <w:pStyle w:val="Odsekzoznamu"/>
        <w:keepNext/>
        <w:keepLines/>
        <w:numPr>
          <w:ilvl w:val="1"/>
          <w:numId w:val="11"/>
        </w:numPr>
        <w:spacing w:after="0" w:line="360" w:lineRule="auto"/>
        <w:contextualSpacing w:val="0"/>
        <w:outlineLvl w:val="1"/>
        <w:rPr>
          <w:rFonts w:ascii="Times New Roman" w:eastAsiaTheme="majorEastAsia" w:hAnsi="Times New Roman" w:cstheme="majorBidi"/>
          <w:b/>
          <w:vanish/>
          <w:sz w:val="24"/>
          <w:szCs w:val="26"/>
        </w:rPr>
      </w:pPr>
      <w:bookmarkStart w:id="1305" w:name="_Toc437862705"/>
      <w:bookmarkStart w:id="1306" w:name="_Toc437862847"/>
      <w:bookmarkStart w:id="1307" w:name="_Toc437877433"/>
      <w:bookmarkStart w:id="1308" w:name="_Toc437877631"/>
      <w:bookmarkStart w:id="1309" w:name="_Toc437877831"/>
      <w:bookmarkStart w:id="1310" w:name="_Toc437878031"/>
      <w:bookmarkStart w:id="1311" w:name="_Toc437878234"/>
      <w:bookmarkStart w:id="1312" w:name="_Toc437878438"/>
      <w:bookmarkStart w:id="1313" w:name="_Toc437878642"/>
      <w:bookmarkStart w:id="1314" w:name="_Toc437878846"/>
      <w:bookmarkStart w:id="1315" w:name="_Toc439150008"/>
      <w:bookmarkStart w:id="1316" w:name="_Toc439150364"/>
      <w:bookmarkStart w:id="1317" w:name="_Toc439150563"/>
      <w:bookmarkStart w:id="1318" w:name="_Toc485645653"/>
      <w:bookmarkStart w:id="1319" w:name="_Toc485645812"/>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31CD929E" w14:textId="77777777" w:rsidR="00A7388C" w:rsidRPr="00A7388C" w:rsidRDefault="00A7388C" w:rsidP="003301D6">
      <w:pPr>
        <w:pStyle w:val="Odsekzoznamu"/>
        <w:keepNext/>
        <w:keepLines/>
        <w:numPr>
          <w:ilvl w:val="1"/>
          <w:numId w:val="11"/>
        </w:numPr>
        <w:spacing w:after="0" w:line="360" w:lineRule="auto"/>
        <w:contextualSpacing w:val="0"/>
        <w:outlineLvl w:val="1"/>
        <w:rPr>
          <w:rFonts w:ascii="Times New Roman" w:eastAsiaTheme="majorEastAsia" w:hAnsi="Times New Roman" w:cstheme="majorBidi"/>
          <w:b/>
          <w:vanish/>
          <w:sz w:val="24"/>
          <w:szCs w:val="26"/>
        </w:rPr>
      </w:pPr>
      <w:bookmarkStart w:id="1320" w:name="_Toc437862706"/>
      <w:bookmarkStart w:id="1321" w:name="_Toc437862848"/>
      <w:bookmarkStart w:id="1322" w:name="_Toc437877434"/>
      <w:bookmarkStart w:id="1323" w:name="_Toc437877632"/>
      <w:bookmarkStart w:id="1324" w:name="_Toc437877832"/>
      <w:bookmarkStart w:id="1325" w:name="_Toc437878032"/>
      <w:bookmarkStart w:id="1326" w:name="_Toc437878235"/>
      <w:bookmarkStart w:id="1327" w:name="_Toc437878439"/>
      <w:bookmarkStart w:id="1328" w:name="_Toc437878643"/>
      <w:bookmarkStart w:id="1329" w:name="_Toc437878847"/>
      <w:bookmarkStart w:id="1330" w:name="_Toc439150009"/>
      <w:bookmarkStart w:id="1331" w:name="_Toc439150365"/>
      <w:bookmarkStart w:id="1332" w:name="_Toc439150564"/>
      <w:bookmarkStart w:id="1333" w:name="_Toc485645654"/>
      <w:bookmarkStart w:id="1334" w:name="_Toc485645813"/>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67E73DE" w14:textId="77777777" w:rsidR="004E4D25" w:rsidRPr="00A7388C" w:rsidRDefault="00825434" w:rsidP="003301D6">
      <w:pPr>
        <w:pStyle w:val="Nadpis2"/>
        <w:numPr>
          <w:ilvl w:val="1"/>
          <w:numId w:val="11"/>
        </w:numPr>
        <w:ind w:left="851"/>
      </w:pPr>
      <w:bookmarkStart w:id="1335" w:name="_Toc485645814"/>
      <w:r w:rsidRPr="00A7388C">
        <w:t>Inovatívne znaky stratégie CLLD</w:t>
      </w:r>
      <w:bookmarkEnd w:id="1335"/>
    </w:p>
    <w:p w14:paraId="2C2FD587" w14:textId="77777777" w:rsidR="00512FE8" w:rsidRPr="00891B13" w:rsidRDefault="00512FE8" w:rsidP="00E37887">
      <w:pPr>
        <w:pStyle w:val="Odsekzoznamu"/>
        <w:spacing w:after="0" w:line="360" w:lineRule="auto"/>
        <w:ind w:left="792"/>
        <w:rPr>
          <w:rFonts w:ascii="Times New Roman" w:hAnsi="Times New Roman" w:cs="Times New Roman"/>
          <w:b/>
          <w:sz w:val="24"/>
          <w:szCs w:val="24"/>
        </w:rPr>
      </w:pPr>
    </w:p>
    <w:p w14:paraId="421F79A1"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Už samotná t</w:t>
      </w:r>
      <w:r w:rsidRPr="004C762E">
        <w:rPr>
          <w:rFonts w:ascii="Times New Roman" w:hAnsi="Times New Roman" w:cs="Times New Roman"/>
          <w:sz w:val="24"/>
          <w:szCs w:val="24"/>
        </w:rPr>
        <w:t xml:space="preserve">vorba </w:t>
      </w:r>
      <w:r>
        <w:rPr>
          <w:rFonts w:ascii="Times New Roman" w:hAnsi="Times New Roman" w:cs="Times New Roman"/>
          <w:sz w:val="24"/>
          <w:szCs w:val="24"/>
        </w:rPr>
        <w:t>s</w:t>
      </w:r>
      <w:r w:rsidRPr="004C762E">
        <w:rPr>
          <w:rFonts w:ascii="Times New Roman" w:hAnsi="Times New Roman" w:cs="Times New Roman"/>
          <w:sz w:val="24"/>
          <w:szCs w:val="24"/>
        </w:rPr>
        <w:t xml:space="preserve">tratégie </w:t>
      </w:r>
      <w:r>
        <w:rPr>
          <w:rFonts w:ascii="Times New Roman" w:hAnsi="Times New Roman" w:cs="Times New Roman"/>
          <w:sz w:val="24"/>
          <w:szCs w:val="24"/>
        </w:rPr>
        <w:t xml:space="preserve">preukázala </w:t>
      </w:r>
      <w:r w:rsidRPr="004C762E">
        <w:rPr>
          <w:rFonts w:ascii="Times New Roman" w:hAnsi="Times New Roman" w:cs="Times New Roman"/>
          <w:sz w:val="24"/>
          <w:szCs w:val="24"/>
        </w:rPr>
        <w:t xml:space="preserve">inovácie v </w:t>
      </w:r>
      <w:r>
        <w:rPr>
          <w:rFonts w:ascii="Times New Roman" w:hAnsi="Times New Roman" w:cs="Times New Roman"/>
          <w:sz w:val="24"/>
          <w:szCs w:val="24"/>
        </w:rPr>
        <w:t>aspekte zapojenia</w:t>
      </w:r>
      <w:r w:rsidRPr="004C762E">
        <w:rPr>
          <w:rFonts w:ascii="Times New Roman" w:hAnsi="Times New Roman" w:cs="Times New Roman"/>
          <w:sz w:val="24"/>
          <w:szCs w:val="24"/>
        </w:rPr>
        <w:t xml:space="preserve"> všetkých zložiek </w:t>
      </w:r>
      <w:r>
        <w:rPr>
          <w:rFonts w:ascii="Times New Roman" w:hAnsi="Times New Roman" w:cs="Times New Roman"/>
          <w:sz w:val="24"/>
          <w:szCs w:val="24"/>
        </w:rPr>
        <w:t>spoločnosti na príprave dokumentu</w:t>
      </w:r>
      <w:r w:rsidRPr="004C762E">
        <w:rPr>
          <w:rFonts w:ascii="Times New Roman" w:hAnsi="Times New Roman" w:cs="Times New Roman"/>
          <w:sz w:val="24"/>
          <w:szCs w:val="24"/>
        </w:rPr>
        <w:t xml:space="preserve"> s</w:t>
      </w:r>
      <w:r>
        <w:rPr>
          <w:rFonts w:ascii="Times New Roman" w:hAnsi="Times New Roman" w:cs="Times New Roman"/>
          <w:sz w:val="24"/>
          <w:szCs w:val="24"/>
        </w:rPr>
        <w:t> </w:t>
      </w:r>
      <w:r w:rsidRPr="004C762E">
        <w:rPr>
          <w:rFonts w:ascii="Times New Roman" w:hAnsi="Times New Roman" w:cs="Times New Roman"/>
          <w:sz w:val="24"/>
          <w:szCs w:val="24"/>
        </w:rPr>
        <w:t>rovnomerným podielom rozhodovania žien, mladých ľudí a seniorov ako aj zap</w:t>
      </w:r>
      <w:r>
        <w:rPr>
          <w:rFonts w:ascii="Times New Roman" w:hAnsi="Times New Roman" w:cs="Times New Roman"/>
          <w:sz w:val="24"/>
          <w:szCs w:val="24"/>
        </w:rPr>
        <w:t>ojenie sociálne slabých skupín (</w:t>
      </w:r>
      <w:r w:rsidRPr="004C762E">
        <w:rPr>
          <w:rFonts w:ascii="Times New Roman" w:hAnsi="Times New Roman" w:cs="Times New Roman"/>
          <w:sz w:val="24"/>
          <w:szCs w:val="24"/>
        </w:rPr>
        <w:t>telesne postihnutý</w:t>
      </w:r>
      <w:r>
        <w:rPr>
          <w:rFonts w:ascii="Times New Roman" w:hAnsi="Times New Roman" w:cs="Times New Roman"/>
          <w:sz w:val="24"/>
          <w:szCs w:val="24"/>
        </w:rPr>
        <w:t>, Rómovia), teda skupín, ktoré</w:t>
      </w:r>
      <w:r w:rsidRPr="004C762E">
        <w:t xml:space="preserve"> </w:t>
      </w:r>
      <w:r w:rsidRPr="004C762E">
        <w:rPr>
          <w:rFonts w:ascii="Times New Roman" w:hAnsi="Times New Roman" w:cs="Times New Roman"/>
          <w:sz w:val="24"/>
          <w:szCs w:val="24"/>
        </w:rPr>
        <w:t>doteraz stáli bokom verejného života</w:t>
      </w:r>
      <w:r>
        <w:rPr>
          <w:rFonts w:ascii="Times New Roman" w:hAnsi="Times New Roman" w:cs="Times New Roman"/>
          <w:sz w:val="24"/>
          <w:szCs w:val="24"/>
        </w:rPr>
        <w:t>. Svojimi názormi, zámermi či postrehmi tak mali možnosť zasiahnuť</w:t>
      </w:r>
      <w:r w:rsidRPr="004C762E">
        <w:rPr>
          <w:rFonts w:ascii="Times New Roman" w:hAnsi="Times New Roman" w:cs="Times New Roman"/>
          <w:sz w:val="24"/>
          <w:szCs w:val="24"/>
        </w:rPr>
        <w:t xml:space="preserve"> do rozhodovania o smerovaní regiónu</w:t>
      </w:r>
      <w:r>
        <w:rPr>
          <w:rFonts w:ascii="Times New Roman" w:hAnsi="Times New Roman" w:cs="Times New Roman"/>
          <w:sz w:val="24"/>
          <w:szCs w:val="24"/>
        </w:rPr>
        <w:t xml:space="preserve">. </w:t>
      </w:r>
      <w:r w:rsidRPr="00A0540C">
        <w:rPr>
          <w:rFonts w:ascii="Times New Roman" w:hAnsi="Times New Roman" w:cs="Times New Roman"/>
          <w:sz w:val="24"/>
          <w:szCs w:val="24"/>
        </w:rPr>
        <w:t xml:space="preserve">V rámci </w:t>
      </w:r>
      <w:r>
        <w:rPr>
          <w:rFonts w:ascii="Times New Roman" w:hAnsi="Times New Roman" w:cs="Times New Roman"/>
          <w:sz w:val="24"/>
          <w:szCs w:val="24"/>
        </w:rPr>
        <w:t>stratégie</w:t>
      </w:r>
      <w:r w:rsidRPr="00A0540C">
        <w:rPr>
          <w:rFonts w:ascii="Times New Roman" w:hAnsi="Times New Roman" w:cs="Times New Roman"/>
          <w:sz w:val="24"/>
          <w:szCs w:val="24"/>
        </w:rPr>
        <w:t xml:space="preserve"> sa „inovácie“ k napĺňaniu strategického a špecifických cieľov premietnu predovšetkým na úrovni projektov realizovaných konečnými prijímateľmi pomoci. Zavádzanie inovatívnych prvkov a celkovo „inovácie“ je v rámci stratégie „bodovo zvýhodnené“ pri procese hodnotenia projektov.</w:t>
      </w:r>
      <w:r>
        <w:rPr>
          <w:rFonts w:ascii="Times New Roman" w:hAnsi="Times New Roman" w:cs="Times New Roman"/>
          <w:sz w:val="24"/>
          <w:szCs w:val="24"/>
        </w:rPr>
        <w:t xml:space="preserve"> </w:t>
      </w:r>
    </w:p>
    <w:p w14:paraId="4C89EA4F" w14:textId="77777777" w:rsidR="003940DB" w:rsidRPr="00A0540C"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Pri</w:t>
      </w:r>
      <w:r w:rsidRPr="00480276">
        <w:rPr>
          <w:rFonts w:ascii="Times New Roman" w:hAnsi="Times New Roman" w:cs="Times New Roman"/>
          <w:sz w:val="24"/>
          <w:szCs w:val="24"/>
        </w:rPr>
        <w:t xml:space="preserve"> opatreniach </w:t>
      </w:r>
      <w:r w:rsidRPr="00D554D6">
        <w:rPr>
          <w:rFonts w:ascii="Times New Roman" w:hAnsi="Times New Roman" w:cs="Times New Roman"/>
          <w:i/>
          <w:sz w:val="24"/>
          <w:szCs w:val="24"/>
        </w:rPr>
        <w:t>1.1 Podpora na investície do vytvárania, zlepšovania alebo rozširovania miestnych základných služieb pre vidiecke obyvateľstvo vrátane voľného času a kultúry a súvisiacej infraštruktúry</w:t>
      </w:r>
      <w:r w:rsidRPr="00480276">
        <w:rPr>
          <w:rFonts w:ascii="Times New Roman" w:hAnsi="Times New Roman" w:cs="Times New Roman"/>
          <w:sz w:val="24"/>
          <w:szCs w:val="24"/>
        </w:rPr>
        <w:t xml:space="preserve"> a  </w:t>
      </w:r>
      <w:r w:rsidRPr="00D554D6">
        <w:rPr>
          <w:rFonts w:ascii="Times New Roman" w:hAnsi="Times New Roman" w:cs="Times New Roman"/>
          <w:i/>
          <w:sz w:val="24"/>
          <w:szCs w:val="24"/>
        </w:rPr>
        <w:t>2.1 Podpora na investície do rekreačnej infraštruktúry, turistických informácií a do turistickej infraštruktúry malých rozmerov na verejné využitie</w:t>
      </w:r>
      <w:r w:rsidRPr="00480276">
        <w:rPr>
          <w:rFonts w:ascii="Times New Roman" w:hAnsi="Times New Roman" w:cs="Times New Roman"/>
          <w:sz w:val="24"/>
          <w:szCs w:val="24"/>
        </w:rPr>
        <w:t xml:space="preserve"> budú zvýhodnené projekty, ktoré budú mať </w:t>
      </w:r>
      <w:r w:rsidRPr="0076189A">
        <w:rPr>
          <w:rFonts w:ascii="Times New Roman" w:eastAsia="SimSun" w:hAnsi="Times New Roman" w:cs="Mangal"/>
          <w:kern w:val="3"/>
          <w:sz w:val="24"/>
          <w:szCs w:val="24"/>
          <w:lang w:eastAsia="zh-CN" w:bidi="hi-IN"/>
        </w:rPr>
        <w:t>inovatívne znaky</w:t>
      </w:r>
      <w:r>
        <w:rPr>
          <w:rFonts w:ascii="Times New Roman" w:eastAsia="SimSun" w:hAnsi="Times New Roman" w:cs="Mangal"/>
          <w:kern w:val="3"/>
          <w:sz w:val="24"/>
          <w:szCs w:val="24"/>
          <w:lang w:eastAsia="zh-CN" w:bidi="hi-IN"/>
        </w:rPr>
        <w:t xml:space="preserve"> či prvky. Takými môžu byť rekonštrukcie málo využívaných hasičských zbrojníc nachádzajúcich sa v kopcoch niektorých osád s vybudovaním rozhľadne. Objekty zároveň budú slúžiť na komunitné stretávanie. </w:t>
      </w:r>
    </w:p>
    <w:p w14:paraId="61EEA3DA"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Pri opatrení</w:t>
      </w:r>
      <w:r w:rsidRPr="00DB0136">
        <w:rPr>
          <w:rFonts w:ascii="Times New Roman" w:hAnsi="Times New Roman" w:cs="Times New Roman"/>
          <w:sz w:val="24"/>
          <w:szCs w:val="24"/>
        </w:rPr>
        <w:t xml:space="preserve"> </w:t>
      </w:r>
      <w:r w:rsidRPr="00DB0136">
        <w:rPr>
          <w:rFonts w:ascii="Times New Roman" w:hAnsi="Times New Roman" w:cs="Times New Roman"/>
          <w:i/>
          <w:sz w:val="24"/>
          <w:szCs w:val="24"/>
        </w:rPr>
        <w:t>2.3 Podpora na investície do rozvoja vidieckeho cestovného ruchu a</w:t>
      </w:r>
      <w:r>
        <w:rPr>
          <w:rFonts w:ascii="Times New Roman" w:hAnsi="Times New Roman" w:cs="Times New Roman"/>
          <w:i/>
          <w:sz w:val="24"/>
          <w:szCs w:val="24"/>
        </w:rPr>
        <w:t> </w:t>
      </w:r>
      <w:r w:rsidRPr="00DB0136">
        <w:rPr>
          <w:rFonts w:ascii="Times New Roman" w:hAnsi="Times New Roman" w:cs="Times New Roman"/>
          <w:i/>
          <w:sz w:val="24"/>
          <w:szCs w:val="24"/>
        </w:rPr>
        <w:t>agroturistiky</w:t>
      </w:r>
      <w:r>
        <w:rPr>
          <w:rFonts w:ascii="Times New Roman" w:hAnsi="Times New Roman" w:cs="Times New Roman"/>
          <w:i/>
          <w:sz w:val="24"/>
          <w:szCs w:val="24"/>
        </w:rPr>
        <w:t xml:space="preserve"> </w:t>
      </w:r>
      <w:r w:rsidRPr="00DB0136">
        <w:rPr>
          <w:rFonts w:ascii="Times New Roman" w:hAnsi="Times New Roman" w:cs="Times New Roman"/>
          <w:sz w:val="24"/>
          <w:szCs w:val="24"/>
        </w:rPr>
        <w:t>budú</w:t>
      </w:r>
      <w:r>
        <w:rPr>
          <w:rFonts w:ascii="Times New Roman" w:hAnsi="Times New Roman" w:cs="Times New Roman"/>
          <w:sz w:val="24"/>
          <w:szCs w:val="24"/>
        </w:rPr>
        <w:t xml:space="preserve"> uprednostňované</w:t>
      </w:r>
      <w:r w:rsidRPr="00695DA7">
        <w:rPr>
          <w:rFonts w:ascii="Times New Roman" w:hAnsi="Times New Roman" w:cs="Times New Roman"/>
          <w:sz w:val="24"/>
          <w:szCs w:val="24"/>
        </w:rPr>
        <w:t xml:space="preserve"> projekt</w:t>
      </w:r>
      <w:r>
        <w:rPr>
          <w:rFonts w:ascii="Times New Roman" w:hAnsi="Times New Roman" w:cs="Times New Roman"/>
          <w:sz w:val="24"/>
          <w:szCs w:val="24"/>
        </w:rPr>
        <w:t xml:space="preserve">y </w:t>
      </w:r>
      <w:r w:rsidRPr="00695DA7">
        <w:rPr>
          <w:rFonts w:ascii="Times New Roman" w:hAnsi="Times New Roman" w:cs="Times New Roman"/>
          <w:sz w:val="24"/>
          <w:szCs w:val="24"/>
        </w:rPr>
        <w:t>využíva</w:t>
      </w:r>
      <w:r>
        <w:rPr>
          <w:rFonts w:ascii="Times New Roman" w:hAnsi="Times New Roman" w:cs="Times New Roman"/>
          <w:sz w:val="24"/>
          <w:szCs w:val="24"/>
        </w:rPr>
        <w:t>júce</w:t>
      </w:r>
      <w:r w:rsidRPr="00695DA7">
        <w:rPr>
          <w:rFonts w:ascii="Times New Roman" w:hAnsi="Times New Roman" w:cs="Times New Roman"/>
          <w:sz w:val="24"/>
          <w:szCs w:val="24"/>
        </w:rPr>
        <w:t xml:space="preserve"> zariadenia na zachytávanie </w:t>
      </w:r>
      <w:r w:rsidRPr="00695DA7">
        <w:rPr>
          <w:rFonts w:ascii="Times New Roman" w:hAnsi="Times New Roman" w:cs="Times New Roman"/>
          <w:sz w:val="24"/>
          <w:szCs w:val="24"/>
        </w:rPr>
        <w:lastRenderedPageBreak/>
        <w:t xml:space="preserve">dažďovej vody </w:t>
      </w:r>
      <w:r>
        <w:rPr>
          <w:rFonts w:ascii="Times New Roman" w:hAnsi="Times New Roman" w:cs="Times New Roman"/>
          <w:sz w:val="24"/>
          <w:szCs w:val="24"/>
        </w:rPr>
        <w:t>s jej následným využitím</w:t>
      </w:r>
      <w:r w:rsidRPr="00695DA7">
        <w:rPr>
          <w:rFonts w:ascii="Times New Roman" w:hAnsi="Times New Roman" w:cs="Times New Roman"/>
          <w:sz w:val="24"/>
          <w:szCs w:val="24"/>
        </w:rPr>
        <w:t xml:space="preserve"> na pranie, splachovanie WC, umývanie či polievanie rastlín alebo iné inovatívne zariadenia na efektívne využívanie prírodných zdrojov. </w:t>
      </w:r>
    </w:p>
    <w:p w14:paraId="1B10C328"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rámci opatrení </w:t>
      </w:r>
      <w:r w:rsidRPr="00235209">
        <w:rPr>
          <w:rFonts w:ascii="Times New Roman" w:hAnsi="Times New Roman" w:cs="Times New Roman"/>
          <w:i/>
          <w:sz w:val="24"/>
          <w:szCs w:val="24"/>
        </w:rPr>
        <w:t>3.1 Podpora pre investície na spracovanie/uvádzanie na trh a/alebo vývoj poľnohospodárskych výrobkov</w:t>
      </w:r>
      <w:r>
        <w:rPr>
          <w:rFonts w:ascii="Times New Roman" w:hAnsi="Times New Roman" w:cs="Times New Roman"/>
          <w:i/>
          <w:sz w:val="24"/>
          <w:szCs w:val="24"/>
        </w:rPr>
        <w:t>,</w:t>
      </w:r>
      <w:r>
        <w:rPr>
          <w:rFonts w:ascii="Times New Roman" w:hAnsi="Times New Roman" w:cs="Times New Roman"/>
          <w:sz w:val="24"/>
          <w:szCs w:val="24"/>
        </w:rPr>
        <w:t xml:space="preserve"> </w:t>
      </w:r>
      <w:r w:rsidRPr="00235209">
        <w:rPr>
          <w:rFonts w:ascii="Times New Roman" w:hAnsi="Times New Roman" w:cs="Times New Roman"/>
          <w:i/>
          <w:sz w:val="24"/>
          <w:szCs w:val="24"/>
        </w:rPr>
        <w:t>3.2 Podpora investícií do lesníckych technológií a spracovania, do mobilizácie lesníckych výrobkov a ich uvádzania na trh</w:t>
      </w:r>
      <w:r>
        <w:rPr>
          <w:rFonts w:ascii="Times New Roman" w:hAnsi="Times New Roman" w:cs="Times New Roman"/>
          <w:b/>
          <w:sz w:val="24"/>
          <w:szCs w:val="24"/>
        </w:rPr>
        <w:t xml:space="preserve"> </w:t>
      </w:r>
      <w:r w:rsidRPr="00235209">
        <w:rPr>
          <w:rFonts w:ascii="Times New Roman" w:hAnsi="Times New Roman" w:cs="Times New Roman"/>
          <w:sz w:val="24"/>
          <w:szCs w:val="24"/>
        </w:rPr>
        <w:t>aj</w:t>
      </w:r>
      <w:r>
        <w:rPr>
          <w:rFonts w:ascii="Times New Roman" w:hAnsi="Times New Roman" w:cs="Times New Roman"/>
          <w:b/>
          <w:sz w:val="24"/>
          <w:szCs w:val="24"/>
        </w:rPr>
        <w:t xml:space="preserve"> </w:t>
      </w:r>
      <w:r w:rsidRPr="00235209">
        <w:rPr>
          <w:rFonts w:ascii="Times New Roman" w:hAnsi="Times New Roman" w:cs="Times New Roman"/>
          <w:i/>
          <w:sz w:val="24"/>
          <w:szCs w:val="24"/>
        </w:rPr>
        <w:t>3.5 Spolupráca medzi malými hospodárskymi subjektmi pri organizácii spoločných pracovných procesov a spoločnom využívaní zariadení a zdrojov a pri rozvoji služieb v oblasti cestovného ruchu/ich uvádzania na trh</w:t>
      </w:r>
      <w:r>
        <w:rPr>
          <w:rFonts w:ascii="Times New Roman" w:hAnsi="Times New Roman" w:cs="Times New Roman"/>
          <w:b/>
          <w:sz w:val="24"/>
          <w:szCs w:val="24"/>
        </w:rPr>
        <w:t xml:space="preserve"> </w:t>
      </w:r>
      <w:r>
        <w:rPr>
          <w:rFonts w:ascii="Times New Roman" w:hAnsi="Times New Roman" w:cs="Times New Roman"/>
          <w:sz w:val="24"/>
          <w:szCs w:val="24"/>
        </w:rPr>
        <w:t>budú mať navrch také projekty, ktorých súčasťou investície bud</w:t>
      </w:r>
      <w:r w:rsidRPr="00DB0136">
        <w:rPr>
          <w:rFonts w:ascii="Times New Roman" w:hAnsi="Times New Roman" w:cs="Times New Roman"/>
          <w:sz w:val="24"/>
          <w:szCs w:val="24"/>
        </w:rPr>
        <w:t>e zavedenie inovatívnej technológie</w:t>
      </w:r>
      <w:r>
        <w:rPr>
          <w:rFonts w:ascii="Times New Roman" w:hAnsi="Times New Roman" w:cs="Times New Roman"/>
          <w:sz w:val="24"/>
          <w:szCs w:val="24"/>
        </w:rPr>
        <w:t xml:space="preserve">. </w:t>
      </w:r>
      <w:r w:rsidRPr="00235209">
        <w:rPr>
          <w:rFonts w:ascii="Times New Roman" w:hAnsi="Times New Roman" w:cs="Times New Roman"/>
          <w:sz w:val="24"/>
          <w:szCs w:val="24"/>
        </w:rPr>
        <w:t>Veľký hlavný projekt, ktorý by mal mobilizovať hlavne rómsku komunitu ale aj starších ľudí pred dôchodkom i ľudí s nižším vzdelaním je ich vyškolenie odborníkmi s firmy Herbex (výrobca čajov) na zber liečivých rastlín. Projekt by tak mohol byť platformou pre sociálne inovácie, keďže je tu perspektíva pretransformovania sa niektorých zberateľov na pestovateľov bylín a rastlín. Takéto výstupy bude možné potom rozšíriť a všeobecnejšie uplatniť prostredníctvom výmeny, spolupráce a budovania sietí, následkom čo by mohol mať projekt multiplikačný efekt, s tým, že by vedel takúto metódu využiť v regióne i spracovateľ húb či ovocia, šípok i arónie. V rámci sušenia nazbieraných produktov by bolo možné využiť pripravovaný zámer pri bioplynovej stanici v areály RD Turá Lúka, kde každoročne do ovzdušia uniká 4 000 GJ tepla, s jeho využitím pre vybudovanie sušiarne. Tu by sa mohli sušiť rastliny, huby, ovocie i</w:t>
      </w:r>
      <w:r>
        <w:rPr>
          <w:rFonts w:ascii="Times New Roman" w:hAnsi="Times New Roman" w:cs="Times New Roman"/>
          <w:sz w:val="24"/>
          <w:szCs w:val="24"/>
        </w:rPr>
        <w:t> </w:t>
      </w:r>
      <w:r w:rsidRPr="00235209">
        <w:rPr>
          <w:rFonts w:ascii="Times New Roman" w:hAnsi="Times New Roman" w:cs="Times New Roman"/>
          <w:sz w:val="24"/>
          <w:szCs w:val="24"/>
        </w:rPr>
        <w:t>dosky</w:t>
      </w:r>
      <w:r>
        <w:rPr>
          <w:rFonts w:ascii="Times New Roman" w:hAnsi="Times New Roman" w:cs="Times New Roman"/>
          <w:sz w:val="24"/>
          <w:szCs w:val="24"/>
        </w:rPr>
        <w:t xml:space="preserve"> či iný materiál z dreva</w:t>
      </w:r>
      <w:r w:rsidRPr="00235209">
        <w:rPr>
          <w:rFonts w:ascii="Times New Roman" w:hAnsi="Times New Roman" w:cs="Times New Roman"/>
          <w:sz w:val="24"/>
          <w:szCs w:val="24"/>
        </w:rPr>
        <w:t>. Zároveň prejavil záujem o výstavbu wellnesu a sauny majiteľ tenisovej a squashovej haly nachádzajúcej sa priamo v</w:t>
      </w:r>
      <w:r>
        <w:rPr>
          <w:rFonts w:ascii="Times New Roman" w:hAnsi="Times New Roman" w:cs="Times New Roman"/>
          <w:sz w:val="24"/>
          <w:szCs w:val="24"/>
        </w:rPr>
        <w:t> </w:t>
      </w:r>
      <w:r w:rsidRPr="00235209">
        <w:rPr>
          <w:rFonts w:ascii="Times New Roman" w:hAnsi="Times New Roman" w:cs="Times New Roman"/>
          <w:sz w:val="24"/>
          <w:szCs w:val="24"/>
        </w:rPr>
        <w:t>areály</w:t>
      </w:r>
      <w:r>
        <w:rPr>
          <w:rFonts w:ascii="Times New Roman" w:hAnsi="Times New Roman" w:cs="Times New Roman"/>
          <w:sz w:val="24"/>
          <w:szCs w:val="24"/>
        </w:rPr>
        <w:t xml:space="preserve"> roľníckeho družstva</w:t>
      </w:r>
      <w:r w:rsidRPr="00235209">
        <w:rPr>
          <w:rFonts w:ascii="Times New Roman" w:hAnsi="Times New Roman" w:cs="Times New Roman"/>
          <w:sz w:val="24"/>
          <w:szCs w:val="24"/>
        </w:rPr>
        <w:t>, kde by sa teplo dalo účelne využiť.</w:t>
      </w:r>
    </w:p>
    <w:p w14:paraId="6D1B8AA7" w14:textId="77777777" w:rsidR="003940D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35209">
        <w:rPr>
          <w:rFonts w:ascii="Times New Roman" w:hAnsi="Times New Roman" w:cs="Times New Roman"/>
          <w:sz w:val="24"/>
          <w:szCs w:val="24"/>
        </w:rPr>
        <w:t>Opatrenia</w:t>
      </w:r>
      <w:r w:rsidRPr="00235209">
        <w:rPr>
          <w:rFonts w:ascii="Times New Roman" w:hAnsi="Times New Roman" w:cs="Times New Roman"/>
          <w:i/>
          <w:sz w:val="24"/>
          <w:szCs w:val="24"/>
        </w:rPr>
        <w:t xml:space="preserve"> 1.2 Rozvoj základnej infraštruktúry v mestách a obciach</w:t>
      </w:r>
      <w:r>
        <w:rPr>
          <w:rFonts w:ascii="Times New Roman" w:hAnsi="Times New Roman" w:cs="Times New Roman"/>
          <w:sz w:val="24"/>
          <w:szCs w:val="24"/>
        </w:rPr>
        <w:t xml:space="preserve"> a </w:t>
      </w:r>
      <w:r w:rsidRPr="00235209">
        <w:rPr>
          <w:rFonts w:ascii="Times New Roman" w:hAnsi="Times New Roman" w:cs="Times New Roman"/>
          <w:i/>
          <w:sz w:val="24"/>
          <w:szCs w:val="24"/>
        </w:rPr>
        <w:t>1.3 Podpora sociálnych a komunitných služieb</w:t>
      </w:r>
      <w:r>
        <w:rPr>
          <w:rFonts w:ascii="Times New Roman" w:hAnsi="Times New Roman" w:cs="Times New Roman"/>
          <w:i/>
          <w:sz w:val="24"/>
          <w:szCs w:val="24"/>
        </w:rPr>
        <w:t xml:space="preserve"> </w:t>
      </w:r>
      <w:r>
        <w:rPr>
          <w:rFonts w:ascii="Times New Roman" w:hAnsi="Times New Roman" w:cs="Times New Roman"/>
          <w:sz w:val="24"/>
          <w:szCs w:val="24"/>
        </w:rPr>
        <w:t>získajú zvýhodnenie ak budú vykazovať</w:t>
      </w:r>
      <w:r w:rsidRPr="00235209">
        <w:rPr>
          <w:rFonts w:ascii="Times New Roman" w:hAnsi="Times New Roman" w:cs="Times New Roman"/>
          <w:sz w:val="24"/>
          <w:szCs w:val="24"/>
        </w:rPr>
        <w:t xml:space="preserve"> inovatívne znaky či využívanie inovatívnych prvkov príp. technológií najmä v oblasti ochrany životného prostredia alebo </w:t>
      </w:r>
      <w:r>
        <w:rPr>
          <w:rFonts w:ascii="Times New Roman" w:hAnsi="Times New Roman" w:cs="Times New Roman"/>
          <w:sz w:val="24"/>
          <w:szCs w:val="24"/>
        </w:rPr>
        <w:t>budú zahŕňať inovatívne</w:t>
      </w:r>
      <w:r w:rsidRPr="00235209">
        <w:rPr>
          <w:rFonts w:ascii="Times New Roman" w:hAnsi="Times New Roman" w:cs="Times New Roman"/>
          <w:sz w:val="24"/>
          <w:szCs w:val="24"/>
        </w:rPr>
        <w:t xml:space="preserve"> metód</w:t>
      </w:r>
      <w:r>
        <w:rPr>
          <w:rFonts w:ascii="Times New Roman" w:hAnsi="Times New Roman" w:cs="Times New Roman"/>
          <w:sz w:val="24"/>
          <w:szCs w:val="24"/>
        </w:rPr>
        <w:t>y</w:t>
      </w:r>
      <w:r w:rsidRPr="00235209">
        <w:rPr>
          <w:rFonts w:ascii="Times New Roman" w:hAnsi="Times New Roman" w:cs="Times New Roman"/>
          <w:sz w:val="24"/>
          <w:szCs w:val="24"/>
        </w:rPr>
        <w:t xml:space="preserve"> výučby</w:t>
      </w:r>
      <w:r>
        <w:rPr>
          <w:rFonts w:ascii="Times New Roman" w:hAnsi="Times New Roman" w:cs="Times New Roman"/>
          <w:sz w:val="24"/>
          <w:szCs w:val="24"/>
        </w:rPr>
        <w:t>.</w:t>
      </w:r>
    </w:p>
    <w:p w14:paraId="54A3208D" w14:textId="77777777" w:rsidR="003940DB" w:rsidRPr="003C0AC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C0ACB">
        <w:rPr>
          <w:rFonts w:ascii="Times New Roman" w:hAnsi="Times New Roman" w:cs="Times New Roman"/>
          <w:sz w:val="24"/>
          <w:szCs w:val="24"/>
        </w:rPr>
        <w:t xml:space="preserve">Projekty opatrenia </w:t>
      </w:r>
      <w:r w:rsidRPr="003C0ACB">
        <w:rPr>
          <w:rFonts w:ascii="Times New Roman" w:hAnsi="Times New Roman" w:cs="Times New Roman"/>
          <w:i/>
          <w:sz w:val="24"/>
          <w:szCs w:val="24"/>
        </w:rPr>
        <w:t xml:space="preserve">3.3 Vznik nových a rozširovanie existujúcich podnikov v oblasti remeselnej a priemyselnej výroby </w:t>
      </w:r>
      <w:r w:rsidRPr="003C0ACB">
        <w:rPr>
          <w:rFonts w:ascii="Times New Roman" w:hAnsi="Times New Roman" w:cs="Times New Roman"/>
          <w:sz w:val="24"/>
          <w:szCs w:val="24"/>
        </w:rPr>
        <w:t xml:space="preserve">budú napĺňať aj </w:t>
      </w:r>
      <w:r>
        <w:rPr>
          <w:rFonts w:ascii="Times New Roman" w:hAnsi="Times New Roman" w:cs="Times New Roman"/>
          <w:sz w:val="24"/>
          <w:szCs w:val="24"/>
        </w:rPr>
        <w:t>p</w:t>
      </w:r>
      <w:r w:rsidRPr="003C0ACB">
        <w:rPr>
          <w:rFonts w:ascii="Times New Roman" w:hAnsi="Times New Roman" w:cs="Times New Roman"/>
          <w:sz w:val="24"/>
          <w:szCs w:val="24"/>
        </w:rPr>
        <w:t>ovinné ukazovatele na úrovni IROP</w:t>
      </w:r>
      <w:r>
        <w:rPr>
          <w:rFonts w:ascii="Times New Roman" w:hAnsi="Times New Roman" w:cs="Times New Roman"/>
          <w:sz w:val="24"/>
          <w:szCs w:val="24"/>
        </w:rPr>
        <w:t xml:space="preserve"> a to </w:t>
      </w:r>
      <w:r w:rsidRPr="003C0ACB">
        <w:rPr>
          <w:rFonts w:ascii="Times New Roman" w:hAnsi="Times New Roman" w:cs="Times New Roman"/>
          <w:i/>
          <w:sz w:val="24"/>
          <w:szCs w:val="24"/>
        </w:rPr>
        <w:t>Počet podnikov, ktoré dostávajú podporu s cieľom predstaviť výrobky, ktoré sú pre firmu nové</w:t>
      </w:r>
      <w:r w:rsidRPr="003C0ACB">
        <w:rPr>
          <w:rFonts w:ascii="Times New Roman" w:hAnsi="Times New Roman" w:cs="Times New Roman"/>
          <w:sz w:val="24"/>
          <w:szCs w:val="24"/>
        </w:rPr>
        <w:t xml:space="preserve"> </w:t>
      </w:r>
      <w:r>
        <w:rPr>
          <w:rFonts w:ascii="Times New Roman" w:hAnsi="Times New Roman" w:cs="Times New Roman"/>
          <w:sz w:val="24"/>
          <w:szCs w:val="24"/>
        </w:rPr>
        <w:t xml:space="preserve">(nadstavené sú na 2) a </w:t>
      </w:r>
      <w:r w:rsidRPr="003C0ACB">
        <w:rPr>
          <w:rFonts w:ascii="Times New Roman" w:hAnsi="Times New Roman" w:cs="Times New Roman"/>
          <w:i/>
          <w:sz w:val="24"/>
          <w:szCs w:val="24"/>
        </w:rPr>
        <w:t>Počet podnikov, ktoré dostávajú podporu s cieľom predstaviť výrobky, ktoré sú pre trh nové</w:t>
      </w:r>
      <w:r>
        <w:rPr>
          <w:rFonts w:ascii="Times New Roman" w:hAnsi="Times New Roman" w:cs="Times New Roman"/>
          <w:sz w:val="24"/>
          <w:szCs w:val="24"/>
        </w:rPr>
        <w:t>, kde v rámci stratégie bude podporený minimálne 1 projekt.</w:t>
      </w:r>
    </w:p>
    <w:p w14:paraId="1124B30B" w14:textId="77777777" w:rsidR="003940DB" w:rsidRPr="003C0ACB"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 opatrení</w:t>
      </w:r>
      <w:r w:rsidRPr="003C0ACB">
        <w:rPr>
          <w:rFonts w:ascii="Times New Roman" w:hAnsi="Times New Roman" w:cs="Times New Roman"/>
          <w:sz w:val="24"/>
          <w:szCs w:val="24"/>
        </w:rPr>
        <w:t xml:space="preserve"> </w:t>
      </w:r>
      <w:r w:rsidRPr="003C0ACB">
        <w:rPr>
          <w:rFonts w:ascii="Times New Roman" w:hAnsi="Times New Roman" w:cs="Times New Roman"/>
          <w:i/>
          <w:sz w:val="24"/>
          <w:szCs w:val="24"/>
        </w:rPr>
        <w:t>3.4 Kvalitné služby na vidieku</w:t>
      </w:r>
      <w:r>
        <w:rPr>
          <w:rFonts w:ascii="Times New Roman" w:hAnsi="Times New Roman" w:cs="Times New Roman"/>
          <w:i/>
          <w:sz w:val="24"/>
          <w:szCs w:val="24"/>
        </w:rPr>
        <w:t xml:space="preserve"> </w:t>
      </w:r>
      <w:r>
        <w:rPr>
          <w:rFonts w:ascii="Times New Roman" w:hAnsi="Times New Roman" w:cs="Times New Roman"/>
          <w:sz w:val="24"/>
          <w:szCs w:val="24"/>
        </w:rPr>
        <w:t>budú mať väčšiu šancu dostať</w:t>
      </w:r>
      <w:r w:rsidRPr="003C0ACB">
        <w:rPr>
          <w:rFonts w:ascii="Times New Roman" w:hAnsi="Times New Roman" w:cs="Times New Roman"/>
          <w:sz w:val="24"/>
          <w:szCs w:val="24"/>
        </w:rPr>
        <w:t xml:space="preserve"> podporu </w:t>
      </w:r>
      <w:r>
        <w:rPr>
          <w:rFonts w:ascii="Times New Roman" w:hAnsi="Times New Roman" w:cs="Times New Roman"/>
          <w:sz w:val="24"/>
          <w:szCs w:val="24"/>
        </w:rPr>
        <w:t>p</w:t>
      </w:r>
      <w:r w:rsidRPr="003C0ACB">
        <w:rPr>
          <w:rFonts w:ascii="Times New Roman" w:hAnsi="Times New Roman" w:cs="Times New Roman"/>
          <w:sz w:val="24"/>
          <w:szCs w:val="24"/>
        </w:rPr>
        <w:t>odnik</w:t>
      </w:r>
      <w:r>
        <w:rPr>
          <w:rFonts w:ascii="Times New Roman" w:hAnsi="Times New Roman" w:cs="Times New Roman"/>
          <w:sz w:val="24"/>
          <w:szCs w:val="24"/>
        </w:rPr>
        <w:t>y, ktorých</w:t>
      </w:r>
      <w:r w:rsidRPr="003C0ACB">
        <w:rPr>
          <w:rFonts w:ascii="Times New Roman" w:hAnsi="Times New Roman" w:cs="Times New Roman"/>
          <w:sz w:val="24"/>
          <w:szCs w:val="24"/>
        </w:rPr>
        <w:t xml:space="preserve"> cieľom </w:t>
      </w:r>
      <w:r>
        <w:rPr>
          <w:rFonts w:ascii="Times New Roman" w:hAnsi="Times New Roman" w:cs="Times New Roman"/>
          <w:sz w:val="24"/>
          <w:szCs w:val="24"/>
        </w:rPr>
        <w:t xml:space="preserve">bude </w:t>
      </w:r>
      <w:r w:rsidRPr="003C0ACB">
        <w:rPr>
          <w:rFonts w:ascii="Times New Roman" w:hAnsi="Times New Roman" w:cs="Times New Roman"/>
          <w:sz w:val="24"/>
          <w:szCs w:val="24"/>
        </w:rPr>
        <w:t>predstaviť nové a inovatívne služby</w:t>
      </w:r>
      <w:r>
        <w:rPr>
          <w:rFonts w:ascii="Times New Roman" w:hAnsi="Times New Roman" w:cs="Times New Roman"/>
          <w:sz w:val="24"/>
          <w:szCs w:val="24"/>
        </w:rPr>
        <w:t xml:space="preserve">. </w:t>
      </w:r>
    </w:p>
    <w:p w14:paraId="47F55D1A" w14:textId="77777777" w:rsidR="003940DB" w:rsidRPr="00A0540C" w:rsidRDefault="003940DB" w:rsidP="003940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Pr="00A0540C">
        <w:rPr>
          <w:rFonts w:ascii="Times New Roman" w:hAnsi="Times New Roman" w:cs="Times New Roman"/>
          <w:sz w:val="24"/>
          <w:szCs w:val="24"/>
        </w:rPr>
        <w:t xml:space="preserve">mplementácia </w:t>
      </w:r>
      <w:r>
        <w:rPr>
          <w:rFonts w:ascii="Times New Roman" w:hAnsi="Times New Roman" w:cs="Times New Roman"/>
          <w:sz w:val="24"/>
          <w:szCs w:val="24"/>
        </w:rPr>
        <w:t xml:space="preserve">stratégie </w:t>
      </w:r>
      <w:r w:rsidRPr="00A0540C">
        <w:rPr>
          <w:rFonts w:ascii="Times New Roman" w:hAnsi="Times New Roman" w:cs="Times New Roman"/>
          <w:sz w:val="24"/>
          <w:szCs w:val="24"/>
        </w:rPr>
        <w:t>v</w:t>
      </w:r>
      <w:r>
        <w:rPr>
          <w:rFonts w:ascii="Times New Roman" w:hAnsi="Times New Roman" w:cs="Times New Roman"/>
          <w:sz w:val="24"/>
          <w:szCs w:val="24"/>
        </w:rPr>
        <w:t> K</w:t>
      </w:r>
      <w:r w:rsidRPr="00A0540C">
        <w:rPr>
          <w:rFonts w:ascii="Times New Roman" w:hAnsi="Times New Roman" w:cs="Times New Roman"/>
          <w:sz w:val="24"/>
          <w:szCs w:val="24"/>
        </w:rPr>
        <w:t>R</w:t>
      </w:r>
      <w:r>
        <w:rPr>
          <w:rFonts w:ascii="Times New Roman" w:hAnsi="Times New Roman" w:cs="Times New Roman"/>
          <w:sz w:val="24"/>
          <w:szCs w:val="24"/>
        </w:rPr>
        <w:t xml:space="preserve"> </w:t>
      </w:r>
      <w:r w:rsidRPr="00A0540C">
        <w:rPr>
          <w:rFonts w:ascii="Times New Roman" w:hAnsi="Times New Roman" w:cs="Times New Roman"/>
          <w:sz w:val="24"/>
          <w:szCs w:val="24"/>
        </w:rPr>
        <w:t>-</w:t>
      </w:r>
      <w:r>
        <w:rPr>
          <w:rFonts w:ascii="Times New Roman" w:hAnsi="Times New Roman" w:cs="Times New Roman"/>
          <w:sz w:val="24"/>
          <w:szCs w:val="24"/>
        </w:rPr>
        <w:t xml:space="preserve">  </w:t>
      </w:r>
      <w:r w:rsidRPr="00A0540C">
        <w:rPr>
          <w:rFonts w:ascii="Times New Roman" w:hAnsi="Times New Roman" w:cs="Times New Roman"/>
          <w:sz w:val="24"/>
          <w:szCs w:val="24"/>
        </w:rPr>
        <w:t>MAS bud</w:t>
      </w:r>
      <w:r>
        <w:rPr>
          <w:rFonts w:ascii="Times New Roman" w:hAnsi="Times New Roman" w:cs="Times New Roman"/>
          <w:sz w:val="24"/>
          <w:szCs w:val="24"/>
        </w:rPr>
        <w:t>e</w:t>
      </w:r>
      <w:r w:rsidRPr="00A0540C">
        <w:rPr>
          <w:rFonts w:ascii="Times New Roman" w:hAnsi="Times New Roman" w:cs="Times New Roman"/>
          <w:sz w:val="24"/>
          <w:szCs w:val="24"/>
        </w:rPr>
        <w:t xml:space="preserve"> uplatňovať tieto tematicky nešpecifické inovatívne aktivity:</w:t>
      </w:r>
    </w:p>
    <w:p w14:paraId="2B017973" w14:textId="77777777" w:rsidR="003940DB"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realizácia a ďalšia</w:t>
      </w:r>
      <w:r w:rsidRPr="00A0540C">
        <w:rPr>
          <w:rFonts w:ascii="Times New Roman" w:hAnsi="Times New Roman" w:cs="Times New Roman"/>
          <w:sz w:val="24"/>
          <w:szCs w:val="24"/>
        </w:rPr>
        <w:t xml:space="preserve"> príprava aktiví</w:t>
      </w:r>
      <w:r>
        <w:rPr>
          <w:rFonts w:ascii="Times New Roman" w:hAnsi="Times New Roman" w:cs="Times New Roman"/>
          <w:sz w:val="24"/>
          <w:szCs w:val="24"/>
        </w:rPr>
        <w:t>t s cieľom uvedenia na miestny príp. regionálny</w:t>
      </w:r>
      <w:r w:rsidRPr="00A0540C">
        <w:rPr>
          <w:rFonts w:ascii="Times New Roman" w:hAnsi="Times New Roman" w:cs="Times New Roman"/>
          <w:sz w:val="24"/>
          <w:szCs w:val="24"/>
        </w:rPr>
        <w:t xml:space="preserve"> trh</w:t>
      </w:r>
      <w:r>
        <w:rPr>
          <w:rFonts w:ascii="Times New Roman" w:hAnsi="Times New Roman" w:cs="Times New Roman"/>
          <w:sz w:val="24"/>
          <w:szCs w:val="24"/>
        </w:rPr>
        <w:t>,</w:t>
      </w:r>
      <w:r w:rsidRPr="00A0540C">
        <w:rPr>
          <w:rFonts w:ascii="Times New Roman" w:hAnsi="Times New Roman" w:cs="Times New Roman"/>
          <w:sz w:val="24"/>
          <w:szCs w:val="24"/>
        </w:rPr>
        <w:t xml:space="preserve"> nových lokálne špecifických výrobkov poľnohospodárskej a potravinárskej výroby, pri lepšom využívaní potenciálu územia. V rámci realizovaných projektov </w:t>
      </w:r>
      <w:r>
        <w:rPr>
          <w:rFonts w:ascii="Times New Roman" w:hAnsi="Times New Roman" w:cs="Times New Roman"/>
          <w:sz w:val="24"/>
          <w:szCs w:val="24"/>
        </w:rPr>
        <w:t xml:space="preserve">je perspektíva priniesť </w:t>
      </w:r>
      <w:r w:rsidRPr="00A0540C">
        <w:rPr>
          <w:rFonts w:ascii="Times New Roman" w:hAnsi="Times New Roman" w:cs="Times New Roman"/>
          <w:sz w:val="24"/>
          <w:szCs w:val="24"/>
        </w:rPr>
        <w:t>na</w:t>
      </w:r>
      <w:r>
        <w:rPr>
          <w:rFonts w:ascii="Times New Roman" w:hAnsi="Times New Roman" w:cs="Times New Roman"/>
          <w:sz w:val="24"/>
          <w:szCs w:val="24"/>
        </w:rPr>
        <w:t xml:space="preserve"> trh nové mäsové výrobky, výrobky so sušeného ovocia, lekváre, ovocné vína, ovocné i bylinné čaje apod.</w:t>
      </w:r>
      <w:r w:rsidRPr="00A0540C">
        <w:rPr>
          <w:rFonts w:ascii="Times New Roman" w:hAnsi="Times New Roman" w:cs="Times New Roman"/>
          <w:sz w:val="24"/>
          <w:szCs w:val="24"/>
        </w:rPr>
        <w:t>. Orientácia rozvoja agroturistiky na vzájomné prepojenie výrob - predaj regionálnych produktov, ktoré inak nie sú v tvrdých ekonomických podmienkach konkurencieschopné,</w:t>
      </w:r>
    </w:p>
    <w:p w14:paraId="729D03CC" w14:textId="77777777" w:rsidR="003940DB" w:rsidRPr="00A0540C"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sidRPr="00A0540C">
        <w:rPr>
          <w:rFonts w:ascii="Times New Roman" w:hAnsi="Times New Roman" w:cs="Times New Roman"/>
          <w:sz w:val="24"/>
          <w:szCs w:val="24"/>
        </w:rPr>
        <w:t>príprava aktivít s cieľom uvedenia na trh nových špecifických služieb pre cieľové skupiny,</w:t>
      </w:r>
    </w:p>
    <w:p w14:paraId="0CA78CD8" w14:textId="77777777" w:rsidR="003940DB" w:rsidRPr="00A0540C"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realizáciou </w:t>
      </w:r>
      <w:r w:rsidRPr="00A0540C">
        <w:rPr>
          <w:rFonts w:ascii="Times New Roman" w:hAnsi="Times New Roman" w:cs="Times New Roman"/>
          <w:sz w:val="24"/>
          <w:szCs w:val="24"/>
        </w:rPr>
        <w:t xml:space="preserve"> </w:t>
      </w:r>
      <w:r>
        <w:rPr>
          <w:rFonts w:ascii="Times New Roman" w:hAnsi="Times New Roman" w:cs="Times New Roman"/>
          <w:sz w:val="24"/>
          <w:szCs w:val="24"/>
        </w:rPr>
        <w:t xml:space="preserve">opatrenia </w:t>
      </w:r>
      <w:r w:rsidRPr="00F63B3A">
        <w:rPr>
          <w:rFonts w:ascii="Times New Roman" w:hAnsi="Times New Roman" w:cs="Times New Roman"/>
          <w:i/>
          <w:sz w:val="24"/>
          <w:szCs w:val="24"/>
        </w:rPr>
        <w:t>2.6 Projekty spolupráce so zameraním na cestovný ruch</w:t>
      </w:r>
      <w:r>
        <w:rPr>
          <w:rFonts w:ascii="Times New Roman" w:hAnsi="Times New Roman" w:cs="Times New Roman"/>
          <w:sz w:val="24"/>
          <w:szCs w:val="24"/>
        </w:rPr>
        <w:t xml:space="preserve"> chceme vytvoriť v regióne </w:t>
      </w:r>
      <w:r w:rsidRPr="00A0540C">
        <w:rPr>
          <w:rFonts w:ascii="Times New Roman" w:hAnsi="Times New Roman" w:cs="Times New Roman"/>
          <w:sz w:val="24"/>
          <w:szCs w:val="24"/>
        </w:rPr>
        <w:t>nové ciele pre školské a turistické exkurzie, nové školské a mimoškolské aktivity pre mládež - napr. komplexná pon</w:t>
      </w:r>
      <w:r>
        <w:rPr>
          <w:rFonts w:ascii="Times New Roman" w:hAnsi="Times New Roman" w:cs="Times New Roman"/>
          <w:sz w:val="24"/>
          <w:szCs w:val="24"/>
        </w:rPr>
        <w:t>uka zimnej turistiky, poznávacia turistika, gastroturistika</w:t>
      </w:r>
      <w:r w:rsidRPr="00A0540C">
        <w:rPr>
          <w:rFonts w:ascii="Times New Roman" w:hAnsi="Times New Roman" w:cs="Times New Roman"/>
          <w:sz w:val="24"/>
          <w:szCs w:val="24"/>
        </w:rPr>
        <w:t xml:space="preserve"> a iné,</w:t>
      </w:r>
    </w:p>
    <w:p w14:paraId="12D2E4F5" w14:textId="77777777" w:rsidR="003940DB"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sidRPr="0011061C">
        <w:rPr>
          <w:rFonts w:ascii="Times New Roman" w:hAnsi="Times New Roman" w:cs="Times New Roman"/>
          <w:sz w:val="24"/>
          <w:szCs w:val="24"/>
        </w:rPr>
        <w:t>uplatnenie metódy vzájomne kombinujúce využitie prirodzených ľudských a finančných zdrojov daného územia podporujúce efektívnejšie využitie existujúceho potenciálu: viaczdrojové financovaní MAS, podpora spolkov, komunitná propagácia tradičných výrobcov, systém informačných a návštevníckych miest MAS (kedy v každej obci je verejnosti a návštevníkom venovaná pozornosť), pomoc veľkých obcí malým obciam v rámci koordinácie spoločných sieťových projektov, zapojenie spolkov do investičných aktivít obcí aj podnikateľov v rámci spoločných komunitnýc</w:t>
      </w:r>
      <w:r>
        <w:rPr>
          <w:rFonts w:ascii="Times New Roman" w:hAnsi="Times New Roman" w:cs="Times New Roman"/>
          <w:sz w:val="24"/>
          <w:szCs w:val="24"/>
        </w:rPr>
        <w:t>h projektov,</w:t>
      </w:r>
    </w:p>
    <w:p w14:paraId="3FA63E1B" w14:textId="77777777" w:rsidR="003940DB" w:rsidRPr="00A0540C"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sidRPr="00A0540C">
        <w:rPr>
          <w:rFonts w:ascii="Times New Roman" w:hAnsi="Times New Roman" w:cs="Times New Roman"/>
          <w:sz w:val="24"/>
          <w:szCs w:val="24"/>
        </w:rPr>
        <w:t>netradičné spôsoby riadenia a zapojenia miestneho obyvateľstva v rozhodovacom procese,</w:t>
      </w:r>
    </w:p>
    <w:p w14:paraId="67A96700" w14:textId="77777777" w:rsidR="003940DB" w:rsidRPr="00A0540C"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typovo nové akcie zakladajúce</w:t>
      </w:r>
      <w:r w:rsidRPr="00A0540C">
        <w:rPr>
          <w:rFonts w:ascii="Times New Roman" w:hAnsi="Times New Roman" w:cs="Times New Roman"/>
          <w:sz w:val="24"/>
          <w:szCs w:val="24"/>
        </w:rPr>
        <w:t xml:space="preserve"> tradíciu - napríklad: zážitková regionálnej gastronómie, jazdecká turistika, vrátane návrhu jazdeckých trás, infraštruktúry a staníc, zážitková cykloturisika - pumptrails, singtracks, príprava aktivít pre cieľovú skupinu tzv. Víkendoví návštevníci, podporovať akcie propag</w:t>
      </w:r>
      <w:r>
        <w:rPr>
          <w:rFonts w:ascii="Times New Roman" w:hAnsi="Times New Roman" w:cs="Times New Roman"/>
          <w:sz w:val="24"/>
          <w:szCs w:val="24"/>
        </w:rPr>
        <w:t>ujúce nové výrobky a produkty (</w:t>
      </w:r>
      <w:r w:rsidRPr="00A0540C">
        <w:rPr>
          <w:rFonts w:ascii="Times New Roman" w:hAnsi="Times New Roman" w:cs="Times New Roman"/>
          <w:sz w:val="24"/>
          <w:szCs w:val="24"/>
        </w:rPr>
        <w:t>na regionálnych festivaloch a veľtrhoch)</w:t>
      </w:r>
      <w:r>
        <w:rPr>
          <w:rFonts w:ascii="Times New Roman" w:hAnsi="Times New Roman" w:cs="Times New Roman"/>
          <w:sz w:val="24"/>
          <w:szCs w:val="24"/>
        </w:rPr>
        <w:t>,</w:t>
      </w:r>
    </w:p>
    <w:p w14:paraId="68E158FE" w14:textId="77777777" w:rsidR="003940DB" w:rsidRPr="00891B13" w:rsidRDefault="003940DB" w:rsidP="003301D6">
      <w:pPr>
        <w:pStyle w:val="Odsekzoznamu"/>
        <w:numPr>
          <w:ilvl w:val="2"/>
          <w:numId w:val="29"/>
        </w:numPr>
        <w:spacing w:after="0" w:line="360" w:lineRule="auto"/>
        <w:ind w:left="567"/>
        <w:jc w:val="both"/>
        <w:rPr>
          <w:rFonts w:ascii="Times New Roman" w:hAnsi="Times New Roman" w:cs="Times New Roman"/>
          <w:sz w:val="24"/>
          <w:szCs w:val="24"/>
        </w:rPr>
      </w:pPr>
      <w:r w:rsidRPr="00A0540C">
        <w:rPr>
          <w:rFonts w:ascii="Times New Roman" w:hAnsi="Times New Roman" w:cs="Times New Roman"/>
          <w:sz w:val="24"/>
          <w:szCs w:val="24"/>
        </w:rPr>
        <w:t>prenos know how, príkladov dobrej praxe v rámci spoločných projektov v cezhraničných a medzinárodných projektoch EÚ vo všetkých oblas</w:t>
      </w:r>
      <w:r>
        <w:rPr>
          <w:rFonts w:ascii="Times New Roman" w:hAnsi="Times New Roman" w:cs="Times New Roman"/>
          <w:sz w:val="24"/>
          <w:szCs w:val="24"/>
        </w:rPr>
        <w:t>tiach rozvoja vidieckeho územia.</w:t>
      </w:r>
    </w:p>
    <w:p w14:paraId="281FFAFE" w14:textId="77777777" w:rsidR="0084068A" w:rsidRPr="00891B13" w:rsidRDefault="0084068A" w:rsidP="00E37887">
      <w:pPr>
        <w:pStyle w:val="Odsekzoznamu"/>
        <w:spacing w:after="0" w:line="360" w:lineRule="auto"/>
        <w:ind w:left="360"/>
        <w:jc w:val="both"/>
        <w:rPr>
          <w:rFonts w:ascii="Times New Roman" w:hAnsi="Times New Roman" w:cs="Times New Roman"/>
          <w:sz w:val="24"/>
          <w:szCs w:val="24"/>
        </w:rPr>
      </w:pPr>
    </w:p>
    <w:p w14:paraId="6DEC9945" w14:textId="77777777" w:rsidR="001F5B42" w:rsidRDefault="001F5B42">
      <w:pPr>
        <w:rPr>
          <w:rFonts w:ascii="Times New Roman" w:hAnsi="Times New Roman" w:cs="Times New Roman"/>
          <w:b/>
          <w:sz w:val="24"/>
          <w:szCs w:val="24"/>
        </w:rPr>
      </w:pPr>
      <w:r>
        <w:rPr>
          <w:rFonts w:ascii="Times New Roman" w:hAnsi="Times New Roman" w:cs="Times New Roman"/>
          <w:b/>
          <w:sz w:val="24"/>
          <w:szCs w:val="24"/>
        </w:rPr>
        <w:br w:type="page"/>
      </w:r>
    </w:p>
    <w:p w14:paraId="28C0D258" w14:textId="77777777" w:rsidR="00B569F2" w:rsidRPr="00891B13" w:rsidRDefault="008427FC" w:rsidP="003301D6">
      <w:pPr>
        <w:pStyle w:val="Nadpis1"/>
        <w:numPr>
          <w:ilvl w:val="0"/>
          <w:numId w:val="7"/>
        </w:numPr>
      </w:pPr>
      <w:bookmarkStart w:id="1336" w:name="_Toc485645815"/>
      <w:r w:rsidRPr="00891B13">
        <w:lastRenderedPageBreak/>
        <w:t>Implementačný rámec</w:t>
      </w:r>
      <w:bookmarkEnd w:id="1336"/>
    </w:p>
    <w:p w14:paraId="08525190" w14:textId="77777777" w:rsidR="00512FE8" w:rsidRPr="00891B13" w:rsidRDefault="00512FE8" w:rsidP="00E37887">
      <w:pPr>
        <w:pStyle w:val="Odsekzoznamu"/>
        <w:spacing w:after="0" w:line="360" w:lineRule="auto"/>
        <w:ind w:left="360"/>
        <w:rPr>
          <w:rFonts w:ascii="Times New Roman" w:hAnsi="Times New Roman" w:cs="Times New Roman"/>
          <w:sz w:val="24"/>
          <w:szCs w:val="24"/>
        </w:rPr>
      </w:pPr>
    </w:p>
    <w:p w14:paraId="590FC1C0" w14:textId="77777777" w:rsidR="001F5B42" w:rsidRPr="001F5B42" w:rsidRDefault="001F5B42" w:rsidP="003301D6">
      <w:pPr>
        <w:pStyle w:val="Odsekzoznamu"/>
        <w:keepNext/>
        <w:keepLines/>
        <w:numPr>
          <w:ilvl w:val="0"/>
          <w:numId w:val="9"/>
        </w:numPr>
        <w:spacing w:after="0" w:line="360" w:lineRule="auto"/>
        <w:contextualSpacing w:val="0"/>
        <w:outlineLvl w:val="1"/>
        <w:rPr>
          <w:rFonts w:ascii="Times New Roman" w:eastAsiaTheme="majorEastAsia" w:hAnsi="Times New Roman" w:cstheme="majorBidi"/>
          <w:b/>
          <w:vanish/>
          <w:sz w:val="24"/>
          <w:szCs w:val="26"/>
        </w:rPr>
      </w:pPr>
      <w:bookmarkStart w:id="1337" w:name="_Toc437862709"/>
      <w:bookmarkStart w:id="1338" w:name="_Toc437862851"/>
      <w:bookmarkStart w:id="1339" w:name="_Toc437877437"/>
      <w:bookmarkStart w:id="1340" w:name="_Toc437877635"/>
      <w:bookmarkStart w:id="1341" w:name="_Toc437877835"/>
      <w:bookmarkStart w:id="1342" w:name="_Toc437878035"/>
      <w:bookmarkStart w:id="1343" w:name="_Toc437878238"/>
      <w:bookmarkStart w:id="1344" w:name="_Toc437878442"/>
      <w:bookmarkStart w:id="1345" w:name="_Toc437878646"/>
      <w:bookmarkStart w:id="1346" w:name="_Toc437878850"/>
      <w:bookmarkStart w:id="1347" w:name="_Toc439150012"/>
      <w:bookmarkStart w:id="1348" w:name="_Toc439150368"/>
      <w:bookmarkStart w:id="1349" w:name="_Toc439150567"/>
      <w:bookmarkStart w:id="1350" w:name="_Toc485645657"/>
      <w:bookmarkStart w:id="1351" w:name="_Toc48564581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4C88C4AE" w14:textId="77777777" w:rsidR="001F5B42" w:rsidRPr="001F5B42" w:rsidRDefault="001F5B42" w:rsidP="003301D6">
      <w:pPr>
        <w:pStyle w:val="Odsekzoznamu"/>
        <w:keepNext/>
        <w:keepLines/>
        <w:numPr>
          <w:ilvl w:val="0"/>
          <w:numId w:val="9"/>
        </w:numPr>
        <w:spacing w:after="0" w:line="360" w:lineRule="auto"/>
        <w:contextualSpacing w:val="0"/>
        <w:outlineLvl w:val="1"/>
        <w:rPr>
          <w:rFonts w:ascii="Times New Roman" w:eastAsiaTheme="majorEastAsia" w:hAnsi="Times New Roman" w:cstheme="majorBidi"/>
          <w:b/>
          <w:vanish/>
          <w:sz w:val="24"/>
          <w:szCs w:val="26"/>
        </w:rPr>
      </w:pPr>
      <w:bookmarkStart w:id="1352" w:name="_Toc437862710"/>
      <w:bookmarkStart w:id="1353" w:name="_Toc437862852"/>
      <w:bookmarkStart w:id="1354" w:name="_Toc437877438"/>
      <w:bookmarkStart w:id="1355" w:name="_Toc437877636"/>
      <w:bookmarkStart w:id="1356" w:name="_Toc437877836"/>
      <w:bookmarkStart w:id="1357" w:name="_Toc437878036"/>
      <w:bookmarkStart w:id="1358" w:name="_Toc437878239"/>
      <w:bookmarkStart w:id="1359" w:name="_Toc437878443"/>
      <w:bookmarkStart w:id="1360" w:name="_Toc437878647"/>
      <w:bookmarkStart w:id="1361" w:name="_Toc437878851"/>
      <w:bookmarkStart w:id="1362" w:name="_Toc439150013"/>
      <w:bookmarkStart w:id="1363" w:name="_Toc439150369"/>
      <w:bookmarkStart w:id="1364" w:name="_Toc439150568"/>
      <w:bookmarkStart w:id="1365" w:name="_Toc485645658"/>
      <w:bookmarkStart w:id="1366" w:name="_Toc485645817"/>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35EE3090" w14:textId="77777777" w:rsidR="001F5B42" w:rsidRPr="001F5B42" w:rsidRDefault="001F5B42" w:rsidP="003301D6">
      <w:pPr>
        <w:pStyle w:val="Odsekzoznamu"/>
        <w:keepNext/>
        <w:keepLines/>
        <w:numPr>
          <w:ilvl w:val="0"/>
          <w:numId w:val="9"/>
        </w:numPr>
        <w:spacing w:after="0" w:line="360" w:lineRule="auto"/>
        <w:contextualSpacing w:val="0"/>
        <w:outlineLvl w:val="1"/>
        <w:rPr>
          <w:rFonts w:ascii="Times New Roman" w:eastAsiaTheme="majorEastAsia" w:hAnsi="Times New Roman" w:cstheme="majorBidi"/>
          <w:b/>
          <w:vanish/>
          <w:sz w:val="24"/>
          <w:szCs w:val="26"/>
        </w:rPr>
      </w:pPr>
      <w:bookmarkStart w:id="1367" w:name="_Toc437862711"/>
      <w:bookmarkStart w:id="1368" w:name="_Toc437862853"/>
      <w:bookmarkStart w:id="1369" w:name="_Toc437877439"/>
      <w:bookmarkStart w:id="1370" w:name="_Toc437877637"/>
      <w:bookmarkStart w:id="1371" w:name="_Toc437877837"/>
      <w:bookmarkStart w:id="1372" w:name="_Toc437878037"/>
      <w:bookmarkStart w:id="1373" w:name="_Toc437878240"/>
      <w:bookmarkStart w:id="1374" w:name="_Toc437878444"/>
      <w:bookmarkStart w:id="1375" w:name="_Toc437878648"/>
      <w:bookmarkStart w:id="1376" w:name="_Toc437878852"/>
      <w:bookmarkStart w:id="1377" w:name="_Toc439150014"/>
      <w:bookmarkStart w:id="1378" w:name="_Toc439150370"/>
      <w:bookmarkStart w:id="1379" w:name="_Toc439150569"/>
      <w:bookmarkStart w:id="1380" w:name="_Toc485645659"/>
      <w:bookmarkStart w:id="1381" w:name="_Toc485645818"/>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0DC9C6A1" w14:textId="77777777" w:rsidR="001F5B42" w:rsidRPr="001F5B42" w:rsidRDefault="001F5B42" w:rsidP="003301D6">
      <w:pPr>
        <w:pStyle w:val="Odsekzoznamu"/>
        <w:keepNext/>
        <w:keepLines/>
        <w:numPr>
          <w:ilvl w:val="0"/>
          <w:numId w:val="9"/>
        </w:numPr>
        <w:spacing w:after="0" w:line="360" w:lineRule="auto"/>
        <w:contextualSpacing w:val="0"/>
        <w:outlineLvl w:val="1"/>
        <w:rPr>
          <w:rFonts w:ascii="Times New Roman" w:eastAsiaTheme="majorEastAsia" w:hAnsi="Times New Roman" w:cstheme="majorBidi"/>
          <w:b/>
          <w:vanish/>
          <w:sz w:val="24"/>
          <w:szCs w:val="26"/>
        </w:rPr>
      </w:pPr>
      <w:bookmarkStart w:id="1382" w:name="_Toc437862712"/>
      <w:bookmarkStart w:id="1383" w:name="_Toc437862854"/>
      <w:bookmarkStart w:id="1384" w:name="_Toc437877440"/>
      <w:bookmarkStart w:id="1385" w:name="_Toc437877638"/>
      <w:bookmarkStart w:id="1386" w:name="_Toc437877838"/>
      <w:bookmarkStart w:id="1387" w:name="_Toc437878038"/>
      <w:bookmarkStart w:id="1388" w:name="_Toc437878241"/>
      <w:bookmarkStart w:id="1389" w:name="_Toc437878445"/>
      <w:bookmarkStart w:id="1390" w:name="_Toc437878649"/>
      <w:bookmarkStart w:id="1391" w:name="_Toc437878853"/>
      <w:bookmarkStart w:id="1392" w:name="_Toc439150015"/>
      <w:bookmarkStart w:id="1393" w:name="_Toc439150371"/>
      <w:bookmarkStart w:id="1394" w:name="_Toc439150570"/>
      <w:bookmarkStart w:id="1395" w:name="_Toc485645660"/>
      <w:bookmarkStart w:id="1396" w:name="_Toc485645819"/>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10D5B874" w14:textId="77777777" w:rsidR="001F5B42" w:rsidRPr="001F5B42" w:rsidRDefault="001F5B42" w:rsidP="003301D6">
      <w:pPr>
        <w:pStyle w:val="Odsekzoznamu"/>
        <w:keepNext/>
        <w:keepLines/>
        <w:numPr>
          <w:ilvl w:val="0"/>
          <w:numId w:val="9"/>
        </w:numPr>
        <w:spacing w:after="0" w:line="360" w:lineRule="auto"/>
        <w:contextualSpacing w:val="0"/>
        <w:outlineLvl w:val="1"/>
        <w:rPr>
          <w:rFonts w:ascii="Times New Roman" w:eastAsiaTheme="majorEastAsia" w:hAnsi="Times New Roman" w:cstheme="majorBidi"/>
          <w:b/>
          <w:vanish/>
          <w:sz w:val="24"/>
          <w:szCs w:val="26"/>
        </w:rPr>
      </w:pPr>
      <w:bookmarkStart w:id="1397" w:name="_Toc437862713"/>
      <w:bookmarkStart w:id="1398" w:name="_Toc437862855"/>
      <w:bookmarkStart w:id="1399" w:name="_Toc437877441"/>
      <w:bookmarkStart w:id="1400" w:name="_Toc437877639"/>
      <w:bookmarkStart w:id="1401" w:name="_Toc437877839"/>
      <w:bookmarkStart w:id="1402" w:name="_Toc437878039"/>
      <w:bookmarkStart w:id="1403" w:name="_Toc437878242"/>
      <w:bookmarkStart w:id="1404" w:name="_Toc437878446"/>
      <w:bookmarkStart w:id="1405" w:name="_Toc437878650"/>
      <w:bookmarkStart w:id="1406" w:name="_Toc437878854"/>
      <w:bookmarkStart w:id="1407" w:name="_Toc439150016"/>
      <w:bookmarkStart w:id="1408" w:name="_Toc439150372"/>
      <w:bookmarkStart w:id="1409" w:name="_Toc439150571"/>
      <w:bookmarkStart w:id="1410" w:name="_Toc485645661"/>
      <w:bookmarkStart w:id="1411" w:name="_Toc48564582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7211E2D3" w14:textId="77777777" w:rsidR="00AE4F12" w:rsidRPr="00891B13" w:rsidRDefault="008427FC" w:rsidP="003301D6">
      <w:pPr>
        <w:pStyle w:val="Nadpis2"/>
        <w:numPr>
          <w:ilvl w:val="1"/>
          <w:numId w:val="9"/>
        </w:numPr>
        <w:ind w:left="709"/>
      </w:pPr>
      <w:bookmarkStart w:id="1412" w:name="_Toc485645821"/>
      <w:r w:rsidRPr="00891B13">
        <w:t>Popis riadiaceho a implementačného procesu</w:t>
      </w:r>
      <w:bookmarkEnd w:id="1412"/>
    </w:p>
    <w:p w14:paraId="3337AAB2" w14:textId="77777777" w:rsidR="00512FE8" w:rsidRPr="00891B13" w:rsidRDefault="00512FE8" w:rsidP="00E37887">
      <w:pPr>
        <w:pStyle w:val="Odsekzoznamu"/>
        <w:spacing w:after="0" w:line="360" w:lineRule="auto"/>
        <w:ind w:left="792"/>
        <w:rPr>
          <w:rFonts w:ascii="Times New Roman" w:hAnsi="Times New Roman" w:cs="Times New Roman"/>
          <w:b/>
          <w:sz w:val="24"/>
          <w:szCs w:val="24"/>
        </w:rPr>
      </w:pPr>
    </w:p>
    <w:p w14:paraId="799C33D2" w14:textId="77777777" w:rsidR="001F5B42" w:rsidRPr="001F5B42" w:rsidRDefault="001F5B42" w:rsidP="003301D6">
      <w:pPr>
        <w:pStyle w:val="Odsekzoznamu"/>
        <w:keepNext/>
        <w:keepLines/>
        <w:numPr>
          <w:ilvl w:val="0"/>
          <w:numId w:val="10"/>
        </w:numPr>
        <w:spacing w:after="0" w:line="360" w:lineRule="auto"/>
        <w:contextualSpacing w:val="0"/>
        <w:outlineLvl w:val="1"/>
        <w:rPr>
          <w:rFonts w:ascii="Times New Roman" w:eastAsiaTheme="majorEastAsia" w:hAnsi="Times New Roman" w:cstheme="majorBidi"/>
          <w:b/>
          <w:vanish/>
          <w:sz w:val="24"/>
          <w:szCs w:val="26"/>
        </w:rPr>
      </w:pPr>
      <w:bookmarkStart w:id="1413" w:name="_Toc437862715"/>
      <w:bookmarkStart w:id="1414" w:name="_Toc437862857"/>
      <w:bookmarkStart w:id="1415" w:name="_Toc437877443"/>
      <w:bookmarkStart w:id="1416" w:name="_Toc437877641"/>
      <w:bookmarkStart w:id="1417" w:name="_Toc437877841"/>
      <w:bookmarkStart w:id="1418" w:name="_Toc437878041"/>
      <w:bookmarkStart w:id="1419" w:name="_Toc437878244"/>
      <w:bookmarkStart w:id="1420" w:name="_Toc437878448"/>
      <w:bookmarkStart w:id="1421" w:name="_Toc437878652"/>
      <w:bookmarkStart w:id="1422" w:name="_Toc437878856"/>
      <w:bookmarkStart w:id="1423" w:name="_Toc439150018"/>
      <w:bookmarkStart w:id="1424" w:name="_Toc439150374"/>
      <w:bookmarkStart w:id="1425" w:name="_Toc439150573"/>
      <w:bookmarkStart w:id="1426" w:name="_Toc485645663"/>
      <w:bookmarkStart w:id="1427" w:name="_Toc48564582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787CF23A" w14:textId="77777777" w:rsidR="001F5B42" w:rsidRPr="001F5B42" w:rsidRDefault="001F5B42" w:rsidP="003301D6">
      <w:pPr>
        <w:pStyle w:val="Odsekzoznamu"/>
        <w:keepNext/>
        <w:keepLines/>
        <w:numPr>
          <w:ilvl w:val="0"/>
          <w:numId w:val="10"/>
        </w:numPr>
        <w:spacing w:after="0" w:line="360" w:lineRule="auto"/>
        <w:contextualSpacing w:val="0"/>
        <w:outlineLvl w:val="1"/>
        <w:rPr>
          <w:rFonts w:ascii="Times New Roman" w:eastAsiaTheme="majorEastAsia" w:hAnsi="Times New Roman" w:cstheme="majorBidi"/>
          <w:b/>
          <w:vanish/>
          <w:sz w:val="24"/>
          <w:szCs w:val="26"/>
        </w:rPr>
      </w:pPr>
      <w:bookmarkStart w:id="1428" w:name="_Toc437862716"/>
      <w:bookmarkStart w:id="1429" w:name="_Toc437862858"/>
      <w:bookmarkStart w:id="1430" w:name="_Toc437877444"/>
      <w:bookmarkStart w:id="1431" w:name="_Toc437877642"/>
      <w:bookmarkStart w:id="1432" w:name="_Toc437877842"/>
      <w:bookmarkStart w:id="1433" w:name="_Toc437878042"/>
      <w:bookmarkStart w:id="1434" w:name="_Toc437878245"/>
      <w:bookmarkStart w:id="1435" w:name="_Toc437878449"/>
      <w:bookmarkStart w:id="1436" w:name="_Toc437878653"/>
      <w:bookmarkStart w:id="1437" w:name="_Toc437878857"/>
      <w:bookmarkStart w:id="1438" w:name="_Toc439150019"/>
      <w:bookmarkStart w:id="1439" w:name="_Toc439150375"/>
      <w:bookmarkStart w:id="1440" w:name="_Toc439150574"/>
      <w:bookmarkStart w:id="1441" w:name="_Toc485645664"/>
      <w:bookmarkStart w:id="1442" w:name="_Toc485645823"/>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6C658D7C" w14:textId="77777777" w:rsidR="001F5B42" w:rsidRPr="001F5B42" w:rsidRDefault="001F5B42" w:rsidP="003301D6">
      <w:pPr>
        <w:pStyle w:val="Odsekzoznamu"/>
        <w:keepNext/>
        <w:keepLines/>
        <w:numPr>
          <w:ilvl w:val="0"/>
          <w:numId w:val="10"/>
        </w:numPr>
        <w:spacing w:after="0" w:line="360" w:lineRule="auto"/>
        <w:contextualSpacing w:val="0"/>
        <w:outlineLvl w:val="1"/>
        <w:rPr>
          <w:rFonts w:ascii="Times New Roman" w:eastAsiaTheme="majorEastAsia" w:hAnsi="Times New Roman" w:cstheme="majorBidi"/>
          <w:b/>
          <w:vanish/>
          <w:sz w:val="24"/>
          <w:szCs w:val="26"/>
        </w:rPr>
      </w:pPr>
      <w:bookmarkStart w:id="1443" w:name="_Toc437862717"/>
      <w:bookmarkStart w:id="1444" w:name="_Toc437862859"/>
      <w:bookmarkStart w:id="1445" w:name="_Toc437877445"/>
      <w:bookmarkStart w:id="1446" w:name="_Toc437877643"/>
      <w:bookmarkStart w:id="1447" w:name="_Toc437877843"/>
      <w:bookmarkStart w:id="1448" w:name="_Toc437878043"/>
      <w:bookmarkStart w:id="1449" w:name="_Toc437878246"/>
      <w:bookmarkStart w:id="1450" w:name="_Toc437878450"/>
      <w:bookmarkStart w:id="1451" w:name="_Toc437878654"/>
      <w:bookmarkStart w:id="1452" w:name="_Toc437878858"/>
      <w:bookmarkStart w:id="1453" w:name="_Toc439150020"/>
      <w:bookmarkStart w:id="1454" w:name="_Toc439150376"/>
      <w:bookmarkStart w:id="1455" w:name="_Toc439150575"/>
      <w:bookmarkStart w:id="1456" w:name="_Toc485645665"/>
      <w:bookmarkStart w:id="1457" w:name="_Toc485645824"/>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0EF1B5FA" w14:textId="77777777" w:rsidR="001F5B42" w:rsidRPr="001F5B42" w:rsidRDefault="001F5B42" w:rsidP="003301D6">
      <w:pPr>
        <w:pStyle w:val="Odsekzoznamu"/>
        <w:keepNext/>
        <w:keepLines/>
        <w:numPr>
          <w:ilvl w:val="0"/>
          <w:numId w:val="10"/>
        </w:numPr>
        <w:spacing w:after="0" w:line="360" w:lineRule="auto"/>
        <w:contextualSpacing w:val="0"/>
        <w:outlineLvl w:val="1"/>
        <w:rPr>
          <w:rFonts w:ascii="Times New Roman" w:eastAsiaTheme="majorEastAsia" w:hAnsi="Times New Roman" w:cstheme="majorBidi"/>
          <w:b/>
          <w:vanish/>
          <w:sz w:val="24"/>
          <w:szCs w:val="26"/>
        </w:rPr>
      </w:pPr>
      <w:bookmarkStart w:id="1458" w:name="_Toc437862718"/>
      <w:bookmarkStart w:id="1459" w:name="_Toc437862860"/>
      <w:bookmarkStart w:id="1460" w:name="_Toc437877446"/>
      <w:bookmarkStart w:id="1461" w:name="_Toc437877644"/>
      <w:bookmarkStart w:id="1462" w:name="_Toc437877844"/>
      <w:bookmarkStart w:id="1463" w:name="_Toc437878044"/>
      <w:bookmarkStart w:id="1464" w:name="_Toc437878247"/>
      <w:bookmarkStart w:id="1465" w:name="_Toc437878451"/>
      <w:bookmarkStart w:id="1466" w:name="_Toc437878655"/>
      <w:bookmarkStart w:id="1467" w:name="_Toc437878859"/>
      <w:bookmarkStart w:id="1468" w:name="_Toc439150021"/>
      <w:bookmarkStart w:id="1469" w:name="_Toc439150377"/>
      <w:bookmarkStart w:id="1470" w:name="_Toc439150576"/>
      <w:bookmarkStart w:id="1471" w:name="_Toc485645666"/>
      <w:bookmarkStart w:id="1472" w:name="_Toc485645825"/>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69DEE8E5" w14:textId="77777777" w:rsidR="001F5B42" w:rsidRPr="001F5B42" w:rsidRDefault="001F5B42" w:rsidP="003301D6">
      <w:pPr>
        <w:pStyle w:val="Odsekzoznamu"/>
        <w:keepNext/>
        <w:keepLines/>
        <w:numPr>
          <w:ilvl w:val="0"/>
          <w:numId w:val="10"/>
        </w:numPr>
        <w:spacing w:after="0" w:line="360" w:lineRule="auto"/>
        <w:contextualSpacing w:val="0"/>
        <w:outlineLvl w:val="1"/>
        <w:rPr>
          <w:rFonts w:ascii="Times New Roman" w:eastAsiaTheme="majorEastAsia" w:hAnsi="Times New Roman" w:cstheme="majorBidi"/>
          <w:b/>
          <w:vanish/>
          <w:sz w:val="24"/>
          <w:szCs w:val="26"/>
        </w:rPr>
      </w:pPr>
      <w:bookmarkStart w:id="1473" w:name="_Toc437862719"/>
      <w:bookmarkStart w:id="1474" w:name="_Toc437862861"/>
      <w:bookmarkStart w:id="1475" w:name="_Toc437877447"/>
      <w:bookmarkStart w:id="1476" w:name="_Toc437877645"/>
      <w:bookmarkStart w:id="1477" w:name="_Toc437877845"/>
      <w:bookmarkStart w:id="1478" w:name="_Toc437878045"/>
      <w:bookmarkStart w:id="1479" w:name="_Toc437878248"/>
      <w:bookmarkStart w:id="1480" w:name="_Toc437878452"/>
      <w:bookmarkStart w:id="1481" w:name="_Toc437878656"/>
      <w:bookmarkStart w:id="1482" w:name="_Toc437878860"/>
      <w:bookmarkStart w:id="1483" w:name="_Toc439150022"/>
      <w:bookmarkStart w:id="1484" w:name="_Toc439150378"/>
      <w:bookmarkStart w:id="1485" w:name="_Toc439150577"/>
      <w:bookmarkStart w:id="1486" w:name="_Toc485645667"/>
      <w:bookmarkStart w:id="1487" w:name="_Toc485645826"/>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2799986C" w14:textId="77777777" w:rsidR="001F5B42" w:rsidRPr="001F5B42" w:rsidRDefault="001F5B42" w:rsidP="003301D6">
      <w:pPr>
        <w:pStyle w:val="Odsekzoznamu"/>
        <w:keepNext/>
        <w:keepLines/>
        <w:numPr>
          <w:ilvl w:val="1"/>
          <w:numId w:val="10"/>
        </w:numPr>
        <w:spacing w:after="0" w:line="360" w:lineRule="auto"/>
        <w:contextualSpacing w:val="0"/>
        <w:outlineLvl w:val="1"/>
        <w:rPr>
          <w:rFonts w:ascii="Times New Roman" w:eastAsiaTheme="majorEastAsia" w:hAnsi="Times New Roman" w:cstheme="majorBidi"/>
          <w:b/>
          <w:vanish/>
          <w:sz w:val="24"/>
          <w:szCs w:val="26"/>
        </w:rPr>
      </w:pPr>
      <w:bookmarkStart w:id="1488" w:name="_Toc437862720"/>
      <w:bookmarkStart w:id="1489" w:name="_Toc437862862"/>
      <w:bookmarkStart w:id="1490" w:name="_Toc437877448"/>
      <w:bookmarkStart w:id="1491" w:name="_Toc437877646"/>
      <w:bookmarkStart w:id="1492" w:name="_Toc437877846"/>
      <w:bookmarkStart w:id="1493" w:name="_Toc437878046"/>
      <w:bookmarkStart w:id="1494" w:name="_Toc437878249"/>
      <w:bookmarkStart w:id="1495" w:name="_Toc437878453"/>
      <w:bookmarkStart w:id="1496" w:name="_Toc437878657"/>
      <w:bookmarkStart w:id="1497" w:name="_Toc437878861"/>
      <w:bookmarkStart w:id="1498" w:name="_Toc439150023"/>
      <w:bookmarkStart w:id="1499" w:name="_Toc439150379"/>
      <w:bookmarkStart w:id="1500" w:name="_Toc439150578"/>
      <w:bookmarkStart w:id="1501" w:name="_Toc485645668"/>
      <w:bookmarkStart w:id="1502" w:name="_Toc48564582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4A792B0B" w14:textId="77777777" w:rsidR="008427FC" w:rsidRPr="00891B13" w:rsidRDefault="001A5783" w:rsidP="003301D6">
      <w:pPr>
        <w:pStyle w:val="Nadpis2"/>
        <w:numPr>
          <w:ilvl w:val="2"/>
          <w:numId w:val="10"/>
        </w:numPr>
        <w:ind w:hanging="11"/>
      </w:pPr>
      <w:bookmarkStart w:id="1503" w:name="_Toc485645828"/>
      <w:r w:rsidRPr="00891B13">
        <w:t>Riadiaci proces - o</w:t>
      </w:r>
      <w:r w:rsidR="008427FC" w:rsidRPr="00891B13">
        <w:t>rganizačná štruktúra MAS</w:t>
      </w:r>
      <w:bookmarkEnd w:id="1503"/>
    </w:p>
    <w:p w14:paraId="25752D99" w14:textId="77777777" w:rsidR="00387D99" w:rsidRDefault="00387D99" w:rsidP="00387D99">
      <w:pPr>
        <w:spacing w:after="0" w:line="360" w:lineRule="auto"/>
        <w:jc w:val="both"/>
        <w:rPr>
          <w:rFonts w:ascii="Times New Roman" w:hAnsi="Times New Roman" w:cs="Times New Roman"/>
          <w:sz w:val="24"/>
          <w:szCs w:val="24"/>
          <w:u w:val="single"/>
        </w:rPr>
      </w:pPr>
    </w:p>
    <w:p w14:paraId="1B630FF0" w14:textId="77777777" w:rsidR="00F1775D" w:rsidRPr="00767087" w:rsidRDefault="002656F3" w:rsidP="00F1775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1775D">
        <w:rPr>
          <w:rFonts w:ascii="Times New Roman" w:hAnsi="Times New Roman" w:cs="Times New Roman"/>
          <w:color w:val="000000" w:themeColor="text1"/>
          <w:sz w:val="24"/>
          <w:szCs w:val="24"/>
        </w:rPr>
        <w:t xml:space="preserve">Kopaničiarsky región – miestna akčná skupina má právnu formu občianskeho združenia v zmysle zákona </w:t>
      </w:r>
      <w:r w:rsidR="00F1775D" w:rsidRPr="003B1F55">
        <w:rPr>
          <w:rFonts w:ascii="Times New Roman" w:hAnsi="Times New Roman" w:cs="Times New Roman"/>
          <w:color w:val="000000" w:themeColor="text1"/>
          <w:sz w:val="24"/>
          <w:szCs w:val="24"/>
        </w:rPr>
        <w:t xml:space="preserve">SR č. 83/1990 Zb. O združovaní občanov v znení neskorších predpisov. Občianske združenie pod názvom: </w:t>
      </w:r>
      <w:r w:rsidR="00F1775D">
        <w:rPr>
          <w:rFonts w:ascii="Times New Roman" w:hAnsi="Times New Roman" w:cs="Times New Roman"/>
          <w:b/>
          <w:color w:val="000000" w:themeColor="text1"/>
          <w:sz w:val="24"/>
          <w:szCs w:val="24"/>
        </w:rPr>
        <w:t>„Kopaničiarsky región – miestna akčná skupina</w:t>
      </w:r>
      <w:r w:rsidR="00F1775D" w:rsidRPr="003B1F55">
        <w:rPr>
          <w:rFonts w:ascii="Times New Roman" w:hAnsi="Times New Roman" w:cs="Times New Roman"/>
          <w:b/>
          <w:color w:val="000000" w:themeColor="text1"/>
          <w:sz w:val="24"/>
          <w:szCs w:val="24"/>
        </w:rPr>
        <w:t xml:space="preserve">“ </w:t>
      </w:r>
      <w:r w:rsidR="00F1775D">
        <w:rPr>
          <w:rFonts w:ascii="Times New Roman" w:hAnsi="Times New Roman" w:cs="Times New Roman"/>
          <w:color w:val="000000" w:themeColor="text1"/>
          <w:sz w:val="24"/>
          <w:szCs w:val="24"/>
        </w:rPr>
        <w:t>má sídlo: M. R. Štefánika 560/4, 907 01  Myjava, Slovenská republika</w:t>
      </w:r>
      <w:r w:rsidR="00F1775D" w:rsidRPr="003B1F55">
        <w:rPr>
          <w:rFonts w:ascii="Times New Roman" w:hAnsi="Times New Roman" w:cs="Times New Roman"/>
          <w:color w:val="000000" w:themeColor="text1"/>
          <w:sz w:val="24"/>
          <w:szCs w:val="24"/>
        </w:rPr>
        <w:t xml:space="preserve"> a bolo zaregistrované dňa </w:t>
      </w:r>
      <w:r w:rsidR="00F1775D">
        <w:rPr>
          <w:rFonts w:ascii="Times New Roman" w:hAnsi="Times New Roman" w:cs="Times New Roman"/>
          <w:color w:val="000000" w:themeColor="text1"/>
          <w:sz w:val="24"/>
          <w:szCs w:val="24"/>
        </w:rPr>
        <w:t>6.11.2007</w:t>
      </w:r>
      <w:r w:rsidR="00F1775D" w:rsidRPr="003B1F55">
        <w:rPr>
          <w:rFonts w:ascii="Times New Roman" w:hAnsi="Times New Roman" w:cs="Times New Roman"/>
          <w:color w:val="000000" w:themeColor="text1"/>
          <w:sz w:val="24"/>
          <w:szCs w:val="24"/>
        </w:rPr>
        <w:t xml:space="preserve"> Ministerstvom vnútra Slovenskej republi</w:t>
      </w:r>
      <w:r w:rsidR="00F1775D">
        <w:rPr>
          <w:rFonts w:ascii="Times New Roman" w:hAnsi="Times New Roman" w:cs="Times New Roman"/>
          <w:color w:val="000000" w:themeColor="text1"/>
          <w:sz w:val="24"/>
          <w:szCs w:val="24"/>
        </w:rPr>
        <w:t xml:space="preserve">ky, číslo sp. </w:t>
      </w:r>
      <w:r w:rsidR="00F1775D" w:rsidRPr="00890AC2">
        <w:rPr>
          <w:rFonts w:ascii="Times New Roman" w:hAnsi="Times New Roman" w:cs="Times New Roman"/>
          <w:color w:val="000000" w:themeColor="text1"/>
          <w:sz w:val="24"/>
          <w:szCs w:val="24"/>
        </w:rPr>
        <w:t>VVS/1-900/90-</w:t>
      </w:r>
      <w:r w:rsidR="00F1775D">
        <w:rPr>
          <w:rFonts w:ascii="Times New Roman" w:hAnsi="Times New Roman" w:cs="Times New Roman"/>
          <w:color w:val="000000" w:themeColor="text1"/>
          <w:sz w:val="24"/>
          <w:szCs w:val="24"/>
        </w:rPr>
        <w:t>30924, aktuálne platné stanovy boli vzaté na vedomie dňa 11.3.2015, pod číslom spisu: VVS/1-900/90-</w:t>
      </w:r>
      <w:r>
        <w:rPr>
          <w:rFonts w:ascii="Times New Roman" w:hAnsi="Times New Roman" w:cs="Times New Roman"/>
          <w:color w:val="000000" w:themeColor="text1"/>
          <w:sz w:val="24"/>
          <w:szCs w:val="24"/>
        </w:rPr>
        <w:t>30924-6</w:t>
      </w:r>
      <w:r w:rsidR="00F1775D">
        <w:rPr>
          <w:rFonts w:ascii="Times New Roman" w:hAnsi="Times New Roman" w:cs="Times New Roman"/>
          <w:color w:val="000000" w:themeColor="text1"/>
          <w:sz w:val="24"/>
          <w:szCs w:val="24"/>
        </w:rPr>
        <w:t xml:space="preserve">. </w:t>
      </w:r>
      <w:r w:rsidR="00F1775D" w:rsidRPr="003B1F55">
        <w:rPr>
          <w:rFonts w:ascii="Times New Roman" w:hAnsi="Times New Roman" w:cs="Times New Roman"/>
          <w:color w:val="000000" w:themeColor="text1"/>
          <w:sz w:val="24"/>
          <w:szCs w:val="24"/>
        </w:rPr>
        <w:t>Štatist</w:t>
      </w:r>
      <w:r w:rsidR="00F1775D">
        <w:rPr>
          <w:rFonts w:ascii="Times New Roman" w:hAnsi="Times New Roman" w:cs="Times New Roman"/>
          <w:color w:val="000000" w:themeColor="text1"/>
          <w:sz w:val="24"/>
          <w:szCs w:val="24"/>
        </w:rPr>
        <w:t>ický úrad SR, pracovisko v </w:t>
      </w:r>
      <w:r>
        <w:rPr>
          <w:rFonts w:ascii="Times New Roman" w:hAnsi="Times New Roman" w:cs="Times New Roman"/>
          <w:color w:val="000000" w:themeColor="text1"/>
          <w:sz w:val="24"/>
          <w:szCs w:val="24"/>
        </w:rPr>
        <w:t>Trenčíne</w:t>
      </w:r>
      <w:r w:rsidR="00F1775D" w:rsidRPr="003B1F55">
        <w:rPr>
          <w:rFonts w:ascii="Times New Roman" w:hAnsi="Times New Roman" w:cs="Times New Roman"/>
          <w:color w:val="000000" w:themeColor="text1"/>
          <w:sz w:val="24"/>
          <w:szCs w:val="24"/>
        </w:rPr>
        <w:t xml:space="preserve"> pridelilo </w:t>
      </w:r>
      <w:r>
        <w:rPr>
          <w:rFonts w:ascii="Times New Roman" w:hAnsi="Times New Roman" w:cs="Times New Roman"/>
          <w:color w:val="000000" w:themeColor="text1"/>
          <w:sz w:val="24"/>
          <w:szCs w:val="24"/>
        </w:rPr>
        <w:t>Kopaničiarskemu regiónu – miestnej akčnej skupine</w:t>
      </w:r>
      <w:r w:rsidR="00F1775D">
        <w:rPr>
          <w:rFonts w:ascii="Times New Roman" w:hAnsi="Times New Roman" w:cs="Times New Roman"/>
          <w:color w:val="000000" w:themeColor="text1"/>
          <w:sz w:val="24"/>
          <w:szCs w:val="24"/>
        </w:rPr>
        <w:t xml:space="preserve"> IČO: </w:t>
      </w:r>
      <w:r w:rsidR="00F1775D" w:rsidRPr="004222D0">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szCs w:val="24"/>
        </w:rPr>
        <w:t>025150</w:t>
      </w:r>
      <w:r w:rsidR="00F1775D">
        <w:rPr>
          <w:rFonts w:ascii="Times New Roman" w:hAnsi="Times New Roman" w:cs="Times New Roman"/>
          <w:color w:val="000000" w:themeColor="text1"/>
          <w:sz w:val="24"/>
          <w:szCs w:val="24"/>
        </w:rPr>
        <w:t xml:space="preserve"> dňa </w:t>
      </w:r>
      <w:r>
        <w:rPr>
          <w:rFonts w:ascii="Times New Roman" w:hAnsi="Times New Roman" w:cs="Times New Roman"/>
          <w:b/>
          <w:color w:val="000000" w:themeColor="text1"/>
          <w:sz w:val="24"/>
          <w:szCs w:val="24"/>
        </w:rPr>
        <w:t>8</w:t>
      </w:r>
      <w:r w:rsidR="00F1775D" w:rsidRPr="004222D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11</w:t>
      </w:r>
      <w:r w:rsidR="00F1775D" w:rsidRPr="004222D0">
        <w:rPr>
          <w:rFonts w:ascii="Times New Roman" w:hAnsi="Times New Roman" w:cs="Times New Roman"/>
          <w:b/>
          <w:color w:val="000000" w:themeColor="text1"/>
          <w:sz w:val="24"/>
          <w:szCs w:val="24"/>
        </w:rPr>
        <w:t>.200</w:t>
      </w:r>
      <w:r>
        <w:rPr>
          <w:rFonts w:ascii="Times New Roman" w:hAnsi="Times New Roman" w:cs="Times New Roman"/>
          <w:b/>
          <w:color w:val="000000" w:themeColor="text1"/>
          <w:sz w:val="24"/>
          <w:szCs w:val="24"/>
        </w:rPr>
        <w:t>7</w:t>
      </w:r>
      <w:r w:rsidR="00F1775D">
        <w:rPr>
          <w:rFonts w:ascii="Times New Roman" w:hAnsi="Times New Roman" w:cs="Times New Roman"/>
          <w:color w:val="000000" w:themeColor="text1"/>
          <w:sz w:val="24"/>
          <w:szCs w:val="24"/>
        </w:rPr>
        <w:t>.</w:t>
      </w:r>
    </w:p>
    <w:p w14:paraId="42673D5C" w14:textId="77777777" w:rsidR="00F1775D" w:rsidRPr="00767087" w:rsidRDefault="002656F3" w:rsidP="00F1775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00F1775D" w:rsidRPr="004222D0">
        <w:rPr>
          <w:rFonts w:ascii="Times New Roman" w:hAnsi="Times New Roman" w:cs="Times New Roman"/>
          <w:b/>
          <w:color w:val="000000" w:themeColor="text1"/>
          <w:sz w:val="24"/>
          <w:szCs w:val="24"/>
        </w:rPr>
        <w:t xml:space="preserve">Členská základňa </w:t>
      </w:r>
      <w:r>
        <w:rPr>
          <w:rFonts w:ascii="Times New Roman" w:hAnsi="Times New Roman" w:cs="Times New Roman"/>
          <w:b/>
          <w:color w:val="000000" w:themeColor="text1"/>
          <w:sz w:val="24"/>
          <w:szCs w:val="24"/>
        </w:rPr>
        <w:t xml:space="preserve">Kopaničiarskeho regiónu – miestna akčná </w:t>
      </w:r>
      <w:r w:rsidR="0031490F">
        <w:rPr>
          <w:rFonts w:ascii="Times New Roman" w:hAnsi="Times New Roman" w:cs="Times New Roman"/>
          <w:b/>
          <w:color w:val="000000" w:themeColor="text1"/>
          <w:sz w:val="24"/>
          <w:szCs w:val="24"/>
        </w:rPr>
        <w:t>skupina</w:t>
      </w:r>
      <w:r w:rsidR="00F1775D" w:rsidRPr="00767087">
        <w:rPr>
          <w:rFonts w:ascii="Times New Roman" w:hAnsi="Times New Roman" w:cs="Times New Roman"/>
          <w:color w:val="000000" w:themeColor="text1"/>
          <w:sz w:val="24"/>
          <w:szCs w:val="24"/>
        </w:rPr>
        <w:t xml:space="preserve"> predstavuje partnerstvo verejného  a súkromného  sektora vrátane občianskeho a neziskového, ktoré pôsobia na území </w:t>
      </w:r>
      <w:r>
        <w:rPr>
          <w:rFonts w:ascii="Times New Roman" w:hAnsi="Times New Roman" w:cs="Times New Roman"/>
          <w:color w:val="000000" w:themeColor="text1"/>
          <w:sz w:val="24"/>
          <w:szCs w:val="24"/>
        </w:rPr>
        <w:t>kopaničiarskeho regiónu</w:t>
      </w:r>
      <w:r w:rsidR="00F1775D" w:rsidRPr="00767087">
        <w:rPr>
          <w:rFonts w:ascii="Times New Roman" w:hAnsi="Times New Roman" w:cs="Times New Roman"/>
          <w:color w:val="000000" w:themeColor="text1"/>
          <w:sz w:val="24"/>
          <w:szCs w:val="24"/>
        </w:rPr>
        <w:t>. Aktuálny pomer verejného a súkromného sektora</w:t>
      </w:r>
      <w:r w:rsidR="00F1775D">
        <w:rPr>
          <w:rFonts w:ascii="Times New Roman" w:hAnsi="Times New Roman" w:cs="Times New Roman"/>
          <w:color w:val="000000" w:themeColor="text1"/>
          <w:sz w:val="24"/>
          <w:szCs w:val="24"/>
        </w:rPr>
        <w:t xml:space="preserve"> </w:t>
      </w:r>
      <w:r w:rsidR="00F1775D" w:rsidRPr="00767087">
        <w:rPr>
          <w:rFonts w:ascii="Times New Roman" w:hAnsi="Times New Roman" w:cs="Times New Roman"/>
          <w:color w:val="000000" w:themeColor="text1"/>
          <w:sz w:val="24"/>
          <w:szCs w:val="24"/>
        </w:rPr>
        <w:t>(vrátane občianskeho</w:t>
      </w:r>
      <w:r w:rsidR="00F1775D">
        <w:rPr>
          <w:rFonts w:ascii="Times New Roman" w:hAnsi="Times New Roman" w:cs="Times New Roman"/>
          <w:color w:val="000000" w:themeColor="text1"/>
          <w:sz w:val="24"/>
          <w:szCs w:val="24"/>
        </w:rPr>
        <w:t xml:space="preserve"> sektora) je </w:t>
      </w:r>
      <w:r>
        <w:rPr>
          <w:rFonts w:ascii="Times New Roman" w:hAnsi="Times New Roman" w:cs="Times New Roman"/>
          <w:b/>
          <w:color w:val="000000" w:themeColor="text1"/>
          <w:sz w:val="24"/>
          <w:szCs w:val="24"/>
        </w:rPr>
        <w:t>4</w:t>
      </w:r>
      <w:r w:rsidR="00B908E7">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sidR="00B908E7">
        <w:rPr>
          <w:rFonts w:ascii="Times New Roman" w:hAnsi="Times New Roman" w:cs="Times New Roman"/>
          <w:b/>
          <w:color w:val="000000" w:themeColor="text1"/>
          <w:sz w:val="24"/>
          <w:szCs w:val="24"/>
        </w:rPr>
        <w:t>07</w:t>
      </w:r>
      <w:r w:rsidR="00F1775D">
        <w:rPr>
          <w:rFonts w:ascii="Times New Roman" w:hAnsi="Times New Roman" w:cs="Times New Roman"/>
          <w:color w:val="000000" w:themeColor="text1"/>
          <w:sz w:val="24"/>
          <w:szCs w:val="24"/>
        </w:rPr>
        <w:t xml:space="preserve"> : </w:t>
      </w:r>
      <w:r w:rsidR="00F1775D" w:rsidRPr="00191B1F">
        <w:rPr>
          <w:rFonts w:ascii="Times New Roman" w:hAnsi="Times New Roman" w:cs="Times New Roman"/>
          <w:b/>
          <w:color w:val="000000" w:themeColor="text1"/>
          <w:sz w:val="24"/>
          <w:szCs w:val="24"/>
        </w:rPr>
        <w:t>5</w:t>
      </w:r>
      <w:r w:rsidR="00B908E7">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r w:rsidR="00B908E7">
        <w:rPr>
          <w:rFonts w:ascii="Times New Roman" w:hAnsi="Times New Roman" w:cs="Times New Roman"/>
          <w:b/>
          <w:color w:val="000000" w:themeColor="text1"/>
          <w:sz w:val="24"/>
          <w:szCs w:val="24"/>
        </w:rPr>
        <w:t>93</w:t>
      </w:r>
      <w:r w:rsidR="00F1775D">
        <w:rPr>
          <w:rFonts w:ascii="Times New Roman" w:hAnsi="Times New Roman" w:cs="Times New Roman"/>
          <w:color w:val="000000" w:themeColor="text1"/>
          <w:sz w:val="24"/>
          <w:szCs w:val="24"/>
        </w:rPr>
        <w:t xml:space="preserve"> </w:t>
      </w:r>
      <w:r w:rsidR="00F1775D" w:rsidRPr="00767087">
        <w:rPr>
          <w:rFonts w:ascii="Times New Roman" w:hAnsi="Times New Roman" w:cs="Times New Roman"/>
          <w:color w:val="000000" w:themeColor="text1"/>
          <w:sz w:val="24"/>
          <w:szCs w:val="24"/>
        </w:rPr>
        <w:t>%. Celkový počet členov verejno–súkromné</w:t>
      </w:r>
      <w:r w:rsidR="00F1775D">
        <w:rPr>
          <w:rFonts w:ascii="Times New Roman" w:hAnsi="Times New Roman" w:cs="Times New Roman"/>
          <w:color w:val="000000" w:themeColor="text1"/>
          <w:sz w:val="24"/>
          <w:szCs w:val="24"/>
        </w:rPr>
        <w:t xml:space="preserve">ho partnerstva je </w:t>
      </w:r>
      <w:r w:rsidR="00B908E7">
        <w:rPr>
          <w:rFonts w:ascii="Times New Roman" w:hAnsi="Times New Roman" w:cs="Times New Roman"/>
          <w:b/>
          <w:color w:val="000000" w:themeColor="text1"/>
          <w:sz w:val="24"/>
          <w:szCs w:val="24"/>
        </w:rPr>
        <w:t>59</w:t>
      </w:r>
      <w:r w:rsidR="00F1775D" w:rsidRPr="00767087">
        <w:rPr>
          <w:rFonts w:ascii="Times New Roman" w:hAnsi="Times New Roman" w:cs="Times New Roman"/>
          <w:color w:val="000000" w:themeColor="text1"/>
          <w:sz w:val="24"/>
          <w:szCs w:val="24"/>
        </w:rPr>
        <w:t xml:space="preserve">. </w:t>
      </w:r>
      <w:r w:rsidR="00F1775D" w:rsidRPr="00D85C5C">
        <w:rPr>
          <w:rFonts w:ascii="Times New Roman" w:hAnsi="Times New Roman" w:cs="Times New Roman"/>
          <w:sz w:val="24"/>
          <w:szCs w:val="24"/>
        </w:rPr>
        <w:t>Orgány združenia sú tvorené predstaviteľmi verejných a súkromných miestnych spoločensko</w:t>
      </w:r>
      <w:r w:rsidR="0031490F" w:rsidRPr="00D85C5C">
        <w:rPr>
          <w:rFonts w:ascii="Times New Roman" w:hAnsi="Times New Roman" w:cs="Times New Roman"/>
          <w:sz w:val="24"/>
          <w:szCs w:val="24"/>
        </w:rPr>
        <w:t>-</w:t>
      </w:r>
      <w:r w:rsidR="00F1775D" w:rsidRPr="00D85C5C">
        <w:rPr>
          <w:rFonts w:ascii="Times New Roman" w:hAnsi="Times New Roman" w:cs="Times New Roman"/>
          <w:sz w:val="24"/>
          <w:szCs w:val="24"/>
        </w:rPr>
        <w:t>hospodárskych záujmov, v ktorých na úrovni rozhodovania nem</w:t>
      </w:r>
      <w:r w:rsidR="00B908E7">
        <w:rPr>
          <w:rFonts w:ascii="Times New Roman" w:hAnsi="Times New Roman" w:cs="Times New Roman"/>
          <w:sz w:val="24"/>
          <w:szCs w:val="24"/>
        </w:rPr>
        <w:t>á</w:t>
      </w:r>
      <w:r w:rsidR="00F1775D" w:rsidRPr="00D85C5C">
        <w:rPr>
          <w:rFonts w:ascii="Times New Roman" w:hAnsi="Times New Roman" w:cs="Times New Roman"/>
          <w:sz w:val="24"/>
          <w:szCs w:val="24"/>
        </w:rPr>
        <w:t xml:space="preserve"> žiadna záujmová skupina viac ako 49 % hlasovacích práv.</w:t>
      </w:r>
    </w:p>
    <w:p w14:paraId="0DA9BDBA" w14:textId="77777777" w:rsidR="00F1775D" w:rsidRPr="00767087" w:rsidRDefault="00F1775D" w:rsidP="00F1775D">
      <w:pPr>
        <w:spacing w:after="0" w:line="360" w:lineRule="auto"/>
        <w:jc w:val="both"/>
        <w:rPr>
          <w:rFonts w:ascii="Times New Roman" w:hAnsi="Times New Roman" w:cs="Times New Roman"/>
          <w:color w:val="000000" w:themeColor="text1"/>
          <w:sz w:val="24"/>
          <w:szCs w:val="24"/>
        </w:rPr>
      </w:pPr>
    </w:p>
    <w:p w14:paraId="43E0511A" w14:textId="77777777" w:rsidR="00F1775D" w:rsidRPr="00767087" w:rsidRDefault="00F1775D" w:rsidP="00F1775D">
      <w:pPr>
        <w:spacing w:after="0" w:line="360" w:lineRule="auto"/>
        <w:jc w:val="both"/>
        <w:rPr>
          <w:rFonts w:ascii="Times New Roman" w:hAnsi="Times New Roman" w:cs="Times New Roman"/>
          <w:b/>
          <w:color w:val="000000" w:themeColor="text1"/>
          <w:sz w:val="24"/>
          <w:szCs w:val="24"/>
        </w:rPr>
      </w:pPr>
      <w:r w:rsidRPr="00767087">
        <w:rPr>
          <w:rFonts w:ascii="Times New Roman" w:hAnsi="Times New Roman" w:cs="Times New Roman"/>
          <w:b/>
          <w:color w:val="000000" w:themeColor="text1"/>
          <w:sz w:val="24"/>
          <w:szCs w:val="24"/>
        </w:rPr>
        <w:t>Úlohy a zodpovednosť jednotlivých subjektov a organizačných zložiek verejno</w:t>
      </w:r>
      <w:r w:rsidR="0031490F">
        <w:rPr>
          <w:rFonts w:ascii="Times New Roman" w:hAnsi="Times New Roman" w:cs="Times New Roman"/>
          <w:b/>
          <w:color w:val="000000" w:themeColor="text1"/>
          <w:sz w:val="24"/>
          <w:szCs w:val="24"/>
        </w:rPr>
        <w:t>-</w:t>
      </w:r>
      <w:r w:rsidRPr="00767087">
        <w:rPr>
          <w:rFonts w:ascii="Times New Roman" w:hAnsi="Times New Roman" w:cs="Times New Roman"/>
          <w:b/>
          <w:color w:val="000000" w:themeColor="text1"/>
          <w:sz w:val="24"/>
          <w:szCs w:val="24"/>
        </w:rPr>
        <w:t xml:space="preserve"> súkromného partnerstva (MAS) pri realizácii stratégie CLLD.</w:t>
      </w:r>
    </w:p>
    <w:p w14:paraId="0F9425B2" w14:textId="77777777" w:rsidR="00F1775D" w:rsidRPr="00767087" w:rsidRDefault="00F1775D" w:rsidP="00F1775D">
      <w:pPr>
        <w:spacing w:after="0" w:line="360" w:lineRule="auto"/>
        <w:jc w:val="both"/>
        <w:rPr>
          <w:rFonts w:ascii="Times New Roman" w:hAnsi="Times New Roman" w:cs="Times New Roman"/>
          <w:color w:val="000000" w:themeColor="text1"/>
          <w:sz w:val="24"/>
          <w:szCs w:val="24"/>
        </w:rPr>
      </w:pPr>
      <w:r w:rsidRPr="00767087">
        <w:rPr>
          <w:rFonts w:ascii="Times New Roman" w:hAnsi="Times New Roman" w:cs="Times New Roman"/>
          <w:color w:val="000000" w:themeColor="text1"/>
          <w:sz w:val="24"/>
          <w:szCs w:val="24"/>
        </w:rPr>
        <w:t xml:space="preserve">Jednotlivé úlohy, právomoci a zadefinovanie organizačných zložiek partnerstva sú pevne stanovené v stanovách </w:t>
      </w:r>
      <w:r w:rsidR="006F5124" w:rsidRPr="00767087">
        <w:rPr>
          <w:rFonts w:ascii="Times New Roman" w:hAnsi="Times New Roman" w:cs="Times New Roman"/>
          <w:color w:val="000000" w:themeColor="text1"/>
          <w:sz w:val="24"/>
          <w:szCs w:val="24"/>
        </w:rPr>
        <w:t xml:space="preserve">združenia </w:t>
      </w:r>
      <w:r w:rsidR="006F5124">
        <w:rPr>
          <w:rFonts w:ascii="Times New Roman" w:hAnsi="Times New Roman" w:cs="Times New Roman"/>
          <w:color w:val="000000" w:themeColor="text1"/>
          <w:sz w:val="24"/>
          <w:szCs w:val="24"/>
        </w:rPr>
        <w:t xml:space="preserve">(príloha č. 9) </w:t>
      </w:r>
      <w:r w:rsidRPr="00767087">
        <w:rPr>
          <w:rFonts w:ascii="Times New Roman" w:hAnsi="Times New Roman" w:cs="Times New Roman"/>
          <w:color w:val="000000" w:themeColor="text1"/>
          <w:sz w:val="24"/>
          <w:szCs w:val="24"/>
        </w:rPr>
        <w:t xml:space="preserve">a bližšie špecifikované v organizačnom poriadku MAS </w:t>
      </w:r>
      <w:r w:rsidR="00C01CCC">
        <w:rPr>
          <w:rFonts w:ascii="Times New Roman" w:hAnsi="Times New Roman" w:cs="Times New Roman"/>
          <w:color w:val="000000" w:themeColor="text1"/>
          <w:sz w:val="24"/>
          <w:szCs w:val="24"/>
        </w:rPr>
        <w:t xml:space="preserve">(príloha č. </w:t>
      </w:r>
      <w:r w:rsidR="006F5124">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r w:rsidR="006F5124">
        <w:rPr>
          <w:rFonts w:ascii="Times New Roman" w:hAnsi="Times New Roman" w:cs="Times New Roman"/>
          <w:color w:val="000000" w:themeColor="text1"/>
          <w:sz w:val="24"/>
          <w:szCs w:val="24"/>
        </w:rPr>
        <w:t xml:space="preserve"> a pracovných zmluvách jednotlivých zamestnancov</w:t>
      </w:r>
      <w:r>
        <w:rPr>
          <w:rFonts w:ascii="Times New Roman" w:hAnsi="Times New Roman" w:cs="Times New Roman"/>
          <w:color w:val="000000" w:themeColor="text1"/>
          <w:sz w:val="24"/>
          <w:szCs w:val="24"/>
        </w:rPr>
        <w:t>.</w:t>
      </w:r>
      <w:r w:rsidRPr="00767087">
        <w:rPr>
          <w:rFonts w:ascii="Times New Roman" w:hAnsi="Times New Roman" w:cs="Times New Roman"/>
          <w:color w:val="000000" w:themeColor="text1"/>
          <w:sz w:val="24"/>
          <w:szCs w:val="24"/>
        </w:rPr>
        <w:t xml:space="preserve"> </w:t>
      </w:r>
    </w:p>
    <w:p w14:paraId="4176C993" w14:textId="77777777" w:rsidR="00F1775D" w:rsidRPr="00767087" w:rsidRDefault="00C01CCC" w:rsidP="00F1775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KR - MAS má </w:t>
      </w:r>
      <w:r w:rsidR="004E2368">
        <w:rPr>
          <w:rFonts w:ascii="Times New Roman" w:hAnsi="Times New Roman" w:cs="Times New Roman"/>
          <w:color w:val="000000" w:themeColor="text1"/>
          <w:sz w:val="24"/>
          <w:szCs w:val="24"/>
        </w:rPr>
        <w:t xml:space="preserve">v Stanovách </w:t>
      </w:r>
      <w:r w:rsidR="00F1775D" w:rsidRPr="00767087">
        <w:rPr>
          <w:rFonts w:ascii="Times New Roman" w:hAnsi="Times New Roman" w:cs="Times New Roman"/>
          <w:color w:val="000000" w:themeColor="text1"/>
          <w:sz w:val="24"/>
          <w:szCs w:val="24"/>
        </w:rPr>
        <w:t>zadefinované poslanie podpory a koordináciu spoločného postupu všetkých sektorov spoločnosti v oblasti prípravy regiónu na prístup LEADER a jeho využitie pre koordinovaný rozvoj územia</w:t>
      </w:r>
      <w:r>
        <w:rPr>
          <w:rFonts w:ascii="Times New Roman" w:hAnsi="Times New Roman" w:cs="Times New Roman"/>
          <w:color w:val="000000" w:themeColor="text1"/>
          <w:sz w:val="24"/>
          <w:szCs w:val="24"/>
        </w:rPr>
        <w:t xml:space="preserve"> pôsobnosti MAS</w:t>
      </w:r>
      <w:r w:rsidR="00F1775D" w:rsidRPr="00767087">
        <w:rPr>
          <w:rFonts w:ascii="Times New Roman" w:hAnsi="Times New Roman" w:cs="Times New Roman"/>
          <w:color w:val="000000" w:themeColor="text1"/>
          <w:sz w:val="24"/>
          <w:szCs w:val="24"/>
        </w:rPr>
        <w:t xml:space="preserve"> a medzi definovanými realizovanými činnosťami okrem iného aj vypracovanie a implementáciu integrovanej stratégie rozvoja územia, ktorá je totožná so stratégiou CLLD.</w:t>
      </w:r>
    </w:p>
    <w:p w14:paraId="051FD0D1" w14:textId="77777777" w:rsidR="00F1775D" w:rsidRDefault="00F1775D" w:rsidP="00387D99">
      <w:pPr>
        <w:spacing w:after="0" w:line="360" w:lineRule="auto"/>
        <w:jc w:val="both"/>
        <w:rPr>
          <w:rFonts w:ascii="Times New Roman" w:hAnsi="Times New Roman" w:cs="Times New Roman"/>
          <w:sz w:val="24"/>
          <w:szCs w:val="24"/>
          <w:u w:val="single"/>
        </w:rPr>
      </w:pPr>
    </w:p>
    <w:p w14:paraId="309A8F2F" w14:textId="77777777" w:rsidR="00387D99" w:rsidRPr="004E12E6" w:rsidRDefault="00387D99" w:rsidP="00387D99">
      <w:pPr>
        <w:spacing w:after="0" w:line="360" w:lineRule="auto"/>
        <w:jc w:val="both"/>
        <w:rPr>
          <w:rFonts w:ascii="Times New Roman" w:hAnsi="Times New Roman" w:cs="Times New Roman"/>
          <w:sz w:val="24"/>
          <w:szCs w:val="24"/>
          <w:u w:val="single"/>
        </w:rPr>
      </w:pPr>
      <w:r w:rsidRPr="004E12E6">
        <w:rPr>
          <w:rFonts w:ascii="Times New Roman" w:hAnsi="Times New Roman" w:cs="Times New Roman"/>
          <w:sz w:val="24"/>
          <w:szCs w:val="24"/>
          <w:u w:val="single"/>
        </w:rPr>
        <w:lastRenderedPageBreak/>
        <w:t>KR - MAS má nasledovnú organizačnú štruktúru:</w:t>
      </w:r>
    </w:p>
    <w:p w14:paraId="3473CCD3"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4E12E6">
        <w:rPr>
          <w:rFonts w:ascii="Times New Roman" w:hAnsi="Times New Roman" w:cs="Times New Roman"/>
          <w:sz w:val="24"/>
          <w:szCs w:val="24"/>
        </w:rPr>
        <w:t>Najvyšší orgán</w:t>
      </w:r>
      <w:r>
        <w:rPr>
          <w:rFonts w:ascii="Times New Roman" w:hAnsi="Times New Roman" w:cs="Times New Roman"/>
          <w:sz w:val="24"/>
          <w:szCs w:val="24"/>
        </w:rPr>
        <w:t xml:space="preserve"> – </w:t>
      </w:r>
      <w:r w:rsidRPr="004E12E6">
        <w:rPr>
          <w:rFonts w:ascii="Times New Roman" w:hAnsi="Times New Roman" w:cs="Times New Roman"/>
          <w:sz w:val="24"/>
          <w:szCs w:val="24"/>
        </w:rPr>
        <w:t>Členská schôdza</w:t>
      </w:r>
    </w:p>
    <w:p w14:paraId="598590D2"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4E12E6">
        <w:rPr>
          <w:rFonts w:ascii="Times New Roman" w:hAnsi="Times New Roman" w:cs="Times New Roman"/>
          <w:sz w:val="24"/>
          <w:szCs w:val="24"/>
        </w:rPr>
        <w:t>Výkonný orgán</w:t>
      </w:r>
      <w:r>
        <w:rPr>
          <w:rFonts w:ascii="Times New Roman" w:hAnsi="Times New Roman" w:cs="Times New Roman"/>
          <w:sz w:val="24"/>
          <w:szCs w:val="24"/>
        </w:rPr>
        <w:t xml:space="preserve"> – </w:t>
      </w:r>
      <w:r w:rsidRPr="004E12E6">
        <w:rPr>
          <w:rFonts w:ascii="Times New Roman" w:hAnsi="Times New Roman" w:cs="Times New Roman"/>
          <w:sz w:val="24"/>
          <w:szCs w:val="24"/>
        </w:rPr>
        <w:t>Predsedníctvo</w:t>
      </w:r>
    </w:p>
    <w:p w14:paraId="74119DC8"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4E12E6">
        <w:rPr>
          <w:rFonts w:ascii="Times New Roman" w:hAnsi="Times New Roman" w:cs="Times New Roman"/>
          <w:sz w:val="24"/>
          <w:szCs w:val="24"/>
        </w:rPr>
        <w:t>Štatutárny orgán –</w:t>
      </w:r>
      <w:r>
        <w:rPr>
          <w:rFonts w:ascii="Times New Roman" w:hAnsi="Times New Roman" w:cs="Times New Roman"/>
          <w:sz w:val="24"/>
          <w:szCs w:val="24"/>
        </w:rPr>
        <w:t xml:space="preserve"> </w:t>
      </w:r>
      <w:r w:rsidRPr="004E12E6">
        <w:rPr>
          <w:rFonts w:ascii="Times New Roman" w:hAnsi="Times New Roman" w:cs="Times New Roman"/>
          <w:sz w:val="24"/>
          <w:szCs w:val="24"/>
        </w:rPr>
        <w:t>Predseda</w:t>
      </w:r>
    </w:p>
    <w:p w14:paraId="62DEE529"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4E12E6">
        <w:rPr>
          <w:rFonts w:ascii="Times New Roman" w:hAnsi="Times New Roman" w:cs="Times New Roman"/>
          <w:sz w:val="24"/>
          <w:szCs w:val="24"/>
        </w:rPr>
        <w:t>Revízna komisia</w:t>
      </w:r>
    </w:p>
    <w:p w14:paraId="1C0A3821" w14:textId="77777777" w:rsidR="00046BD0" w:rsidRDefault="00046BD0"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Výberová komisia</w:t>
      </w:r>
    </w:p>
    <w:p w14:paraId="4F18027C" w14:textId="77777777" w:rsidR="00046BD0" w:rsidRDefault="00046BD0"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 Monitorovací výbor</w:t>
      </w:r>
    </w:p>
    <w:p w14:paraId="6724273C" w14:textId="77777777" w:rsidR="00387D99" w:rsidRDefault="00387D99" w:rsidP="00387D99">
      <w:pPr>
        <w:spacing w:after="0" w:line="360" w:lineRule="auto"/>
        <w:jc w:val="both"/>
        <w:rPr>
          <w:rFonts w:ascii="Times New Roman" w:hAnsi="Times New Roman" w:cs="Times New Roman"/>
          <w:sz w:val="24"/>
          <w:szCs w:val="24"/>
        </w:rPr>
      </w:pPr>
    </w:p>
    <w:p w14:paraId="710220FB" w14:textId="77777777" w:rsidR="006D67F4" w:rsidRDefault="00B02C27" w:rsidP="00387D99">
      <w:pPr>
        <w:spacing w:after="0" w:line="360" w:lineRule="auto"/>
        <w:jc w:val="both"/>
        <w:rPr>
          <w:rFonts w:ascii="Times New Roman" w:hAnsi="Times New Roman" w:cs="Times New Roman"/>
          <w:sz w:val="24"/>
          <w:szCs w:val="24"/>
        </w:rPr>
      </w:pPr>
      <w:r w:rsidRPr="00B02C27">
        <w:rPr>
          <w:rFonts w:ascii="Times New Roman" w:hAnsi="Times New Roman" w:cs="Times New Roman"/>
          <w:b/>
          <w:sz w:val="24"/>
          <w:szCs w:val="24"/>
        </w:rPr>
        <w:t>Členská schôdza</w:t>
      </w:r>
      <w:r>
        <w:rPr>
          <w:rFonts w:ascii="Times New Roman" w:hAnsi="Times New Roman" w:cs="Times New Roman"/>
          <w:sz w:val="24"/>
          <w:szCs w:val="24"/>
        </w:rPr>
        <w:t xml:space="preserve"> je najvyšším orgánom KR-MAS tvorená </w:t>
      </w:r>
      <w:r w:rsidR="008A6845">
        <w:rPr>
          <w:rFonts w:ascii="Times New Roman" w:hAnsi="Times New Roman" w:cs="Times New Roman"/>
          <w:sz w:val="24"/>
          <w:szCs w:val="24"/>
        </w:rPr>
        <w:t>zo všetkých členov združenia pričom pomer hlasovacích práv každej záujmovej skupiny nesmie byť vyšší ako 49%</w:t>
      </w:r>
      <w:r>
        <w:rPr>
          <w:rFonts w:ascii="Times New Roman" w:hAnsi="Times New Roman" w:cs="Times New Roman"/>
          <w:sz w:val="24"/>
          <w:szCs w:val="24"/>
        </w:rPr>
        <w:t xml:space="preserve"> a vykonáva nasledovné činnosti:</w:t>
      </w:r>
    </w:p>
    <w:p w14:paraId="79B82482"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 xml:space="preserve">schvaľuje stanovy KR - MAS, </w:t>
      </w:r>
      <w:r w:rsidR="008A6845">
        <w:rPr>
          <w:rFonts w:ascii="Times New Roman" w:hAnsi="Times New Roman" w:cs="Times New Roman"/>
          <w:sz w:val="24"/>
          <w:szCs w:val="24"/>
        </w:rPr>
        <w:t xml:space="preserve">interné riadiace dokumenty, </w:t>
      </w:r>
      <w:r w:rsidRPr="00B02C27">
        <w:rPr>
          <w:rFonts w:ascii="Times New Roman" w:hAnsi="Times New Roman" w:cs="Times New Roman"/>
          <w:sz w:val="24"/>
          <w:szCs w:val="24"/>
        </w:rPr>
        <w:t>ich zmeny</w:t>
      </w:r>
      <w:r w:rsidR="008A6845">
        <w:rPr>
          <w:rFonts w:ascii="Times New Roman" w:hAnsi="Times New Roman" w:cs="Times New Roman"/>
          <w:sz w:val="24"/>
          <w:szCs w:val="24"/>
        </w:rPr>
        <w:t xml:space="preserve"> a</w:t>
      </w:r>
      <w:r w:rsidRPr="00B02C27">
        <w:rPr>
          <w:rFonts w:ascii="Times New Roman" w:hAnsi="Times New Roman" w:cs="Times New Roman"/>
          <w:sz w:val="24"/>
          <w:szCs w:val="24"/>
        </w:rPr>
        <w:t xml:space="preserve"> doplnky,</w:t>
      </w:r>
    </w:p>
    <w:p w14:paraId="285D7BA6"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 xml:space="preserve">schvaľuje stratégiu </w:t>
      </w:r>
      <w:r w:rsidR="008A6845">
        <w:rPr>
          <w:rFonts w:ascii="Times New Roman" w:hAnsi="Times New Roman" w:cs="Times New Roman"/>
          <w:sz w:val="24"/>
          <w:szCs w:val="24"/>
        </w:rPr>
        <w:t xml:space="preserve">CLLD </w:t>
      </w:r>
      <w:r w:rsidRPr="00B02C27">
        <w:rPr>
          <w:rFonts w:ascii="Times New Roman" w:hAnsi="Times New Roman" w:cs="Times New Roman"/>
          <w:sz w:val="24"/>
          <w:szCs w:val="24"/>
        </w:rPr>
        <w:t>a jej aktualizáciu,</w:t>
      </w:r>
    </w:p>
    <w:p w14:paraId="255D62DA"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 xml:space="preserve">volí a odvoláva </w:t>
      </w:r>
      <w:r w:rsidR="008A6845">
        <w:rPr>
          <w:rFonts w:ascii="Times New Roman" w:hAnsi="Times New Roman" w:cs="Times New Roman"/>
          <w:sz w:val="24"/>
          <w:szCs w:val="24"/>
        </w:rPr>
        <w:t xml:space="preserve">členovv </w:t>
      </w:r>
      <w:r w:rsidRPr="00B02C27">
        <w:rPr>
          <w:rFonts w:ascii="Times New Roman" w:hAnsi="Times New Roman" w:cs="Times New Roman"/>
          <w:sz w:val="24"/>
          <w:szCs w:val="24"/>
        </w:rPr>
        <w:t>Predsedníctv</w:t>
      </w:r>
      <w:r w:rsidR="008A6845">
        <w:rPr>
          <w:rFonts w:ascii="Times New Roman" w:hAnsi="Times New Roman" w:cs="Times New Roman"/>
          <w:sz w:val="24"/>
          <w:szCs w:val="24"/>
        </w:rPr>
        <w:t>a</w:t>
      </w:r>
      <w:r w:rsidRPr="00B02C27">
        <w:rPr>
          <w:rFonts w:ascii="Times New Roman" w:hAnsi="Times New Roman" w:cs="Times New Roman"/>
          <w:sz w:val="24"/>
          <w:szCs w:val="24"/>
        </w:rPr>
        <w:t>,</w:t>
      </w:r>
    </w:p>
    <w:p w14:paraId="0AA60CFB"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volí a odvoláva Predsedu</w:t>
      </w:r>
      <w:r w:rsidR="008A6845">
        <w:rPr>
          <w:rFonts w:ascii="Times New Roman" w:hAnsi="Times New Roman" w:cs="Times New Roman"/>
          <w:sz w:val="24"/>
          <w:szCs w:val="24"/>
        </w:rPr>
        <w:t xml:space="preserve"> a</w:t>
      </w:r>
      <w:r w:rsidRPr="00B02C27">
        <w:rPr>
          <w:rFonts w:ascii="Times New Roman" w:hAnsi="Times New Roman" w:cs="Times New Roman"/>
          <w:sz w:val="24"/>
          <w:szCs w:val="24"/>
        </w:rPr>
        <w:t xml:space="preserve"> podpredsedu,</w:t>
      </w:r>
    </w:p>
    <w:p w14:paraId="1F4CAD1C"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 xml:space="preserve">volí a odvoláva </w:t>
      </w:r>
      <w:r w:rsidR="008A6845">
        <w:rPr>
          <w:rFonts w:ascii="Times New Roman" w:hAnsi="Times New Roman" w:cs="Times New Roman"/>
          <w:sz w:val="24"/>
          <w:szCs w:val="24"/>
        </w:rPr>
        <w:t xml:space="preserve">členov </w:t>
      </w:r>
      <w:r w:rsidRPr="00B02C27">
        <w:rPr>
          <w:rFonts w:ascii="Times New Roman" w:hAnsi="Times New Roman" w:cs="Times New Roman"/>
          <w:sz w:val="24"/>
          <w:szCs w:val="24"/>
        </w:rPr>
        <w:t>Revíz</w:t>
      </w:r>
      <w:r w:rsidR="008A6845">
        <w:rPr>
          <w:rFonts w:ascii="Times New Roman" w:hAnsi="Times New Roman" w:cs="Times New Roman"/>
          <w:sz w:val="24"/>
          <w:szCs w:val="24"/>
        </w:rPr>
        <w:t>ej</w:t>
      </w:r>
      <w:r w:rsidRPr="00B02C27">
        <w:rPr>
          <w:rFonts w:ascii="Times New Roman" w:hAnsi="Times New Roman" w:cs="Times New Roman"/>
          <w:sz w:val="24"/>
          <w:szCs w:val="24"/>
        </w:rPr>
        <w:t xml:space="preserve"> komisi</w:t>
      </w:r>
      <w:r w:rsidR="008A6845">
        <w:rPr>
          <w:rFonts w:ascii="Times New Roman" w:hAnsi="Times New Roman" w:cs="Times New Roman"/>
          <w:sz w:val="24"/>
          <w:szCs w:val="24"/>
        </w:rPr>
        <w:t>e</w:t>
      </w:r>
      <w:r w:rsidRPr="00B02C27">
        <w:rPr>
          <w:rFonts w:ascii="Times New Roman" w:hAnsi="Times New Roman" w:cs="Times New Roman"/>
          <w:sz w:val="24"/>
          <w:szCs w:val="24"/>
        </w:rPr>
        <w:t xml:space="preserve"> a jej predsedu,</w:t>
      </w:r>
    </w:p>
    <w:p w14:paraId="5B99E04A"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schvaľuje organizačný poriadok KR - MAS predložený Predsedníctvom,</w:t>
      </w:r>
    </w:p>
    <w:p w14:paraId="393E5DE9"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schvaľuje plán činnosti, rozpočet a výročnú správu</w:t>
      </w:r>
      <w:r w:rsidR="008A6845">
        <w:rPr>
          <w:rFonts w:ascii="Times New Roman" w:hAnsi="Times New Roman" w:cs="Times New Roman"/>
          <w:sz w:val="24"/>
          <w:szCs w:val="24"/>
        </w:rPr>
        <w:t>, správu</w:t>
      </w:r>
      <w:r w:rsidRPr="00B02C27">
        <w:rPr>
          <w:rFonts w:ascii="Times New Roman" w:hAnsi="Times New Roman" w:cs="Times New Roman"/>
          <w:sz w:val="24"/>
          <w:szCs w:val="24"/>
        </w:rPr>
        <w:t xml:space="preserve"> o činnosti a hospodárení,</w:t>
      </w:r>
    </w:p>
    <w:p w14:paraId="28A5841F"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schvaľuje správu o hospodárení,</w:t>
      </w:r>
    </w:p>
    <w:p w14:paraId="70CA4FE2" w14:textId="77777777" w:rsid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rozhoduje o  zlúčení a zániku KR - MAS ako aj o tom, ako sa naloží s majetkom KR - MAS po likvidácií,</w:t>
      </w:r>
    </w:p>
    <w:p w14:paraId="1C677AE7" w14:textId="77777777" w:rsidR="008A6845" w:rsidRPr="00B02C27" w:rsidRDefault="008A6845"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schvaľuje prijatie nových členov</w:t>
      </w:r>
    </w:p>
    <w:p w14:paraId="48E2B5AD" w14:textId="77777777" w:rsidR="00B02C27" w:rsidRP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 vylučuje členov KR - MAS v súlade s čl.</w:t>
      </w:r>
      <w:r w:rsidR="008A6845">
        <w:rPr>
          <w:rFonts w:ascii="Times New Roman" w:hAnsi="Times New Roman" w:cs="Times New Roman"/>
          <w:sz w:val="24"/>
          <w:szCs w:val="24"/>
        </w:rPr>
        <w:t>4</w:t>
      </w:r>
      <w:r w:rsidRPr="00B02C27">
        <w:rPr>
          <w:rFonts w:ascii="Times New Roman" w:hAnsi="Times New Roman" w:cs="Times New Roman"/>
          <w:sz w:val="24"/>
          <w:szCs w:val="24"/>
        </w:rPr>
        <w:t>.</w:t>
      </w:r>
    </w:p>
    <w:p w14:paraId="3C608BCF" w14:textId="77777777" w:rsidR="00B02C27" w:rsidRDefault="00B02C27"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sidRPr="00B02C27">
        <w:rPr>
          <w:rFonts w:ascii="Times New Roman" w:hAnsi="Times New Roman" w:cs="Times New Roman"/>
          <w:sz w:val="24"/>
          <w:szCs w:val="24"/>
        </w:rPr>
        <w:t>rozhoduje o zániku KR – MAS zlúčením s iným občianskym združením alebo dobrovoľným rozpustením. V prípade ak dôjde k zániku KR – MAS rozpustením alebo zlúčením s iným občianskym združením počas doby platnosti zmluvy o poskytnutí NFP na chod MAS, KR – MAS je povinná vrátiť  čerpané finančné prostriedky z EPFRV resp. EFRR</w:t>
      </w:r>
    </w:p>
    <w:p w14:paraId="5EE0557F" w14:textId="77777777" w:rsidR="008A6845" w:rsidRDefault="008A6845" w:rsidP="00D85C5C">
      <w:pPr>
        <w:numPr>
          <w:ilvl w:val="0"/>
          <w:numId w:val="37"/>
        </w:numPr>
        <w:tabs>
          <w:tab w:val="clear" w:pos="1020"/>
          <w:tab w:val="num" w:pos="1276"/>
        </w:tabs>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iné v súlade so stratégiou CLLD</w:t>
      </w:r>
    </w:p>
    <w:p w14:paraId="5F3CC60C" w14:textId="77777777" w:rsidR="00B02C27" w:rsidRPr="00B02C27" w:rsidRDefault="00B02C27" w:rsidP="00B02C27">
      <w:pPr>
        <w:spacing w:after="0" w:line="360" w:lineRule="auto"/>
        <w:jc w:val="both"/>
        <w:rPr>
          <w:rFonts w:ascii="Times New Roman" w:hAnsi="Times New Roman" w:cs="Times New Roman"/>
          <w:sz w:val="24"/>
          <w:szCs w:val="24"/>
        </w:rPr>
      </w:pPr>
      <w:r w:rsidRPr="00B02C27">
        <w:rPr>
          <w:rFonts w:ascii="Times New Roman" w:hAnsi="Times New Roman" w:cs="Times New Roman"/>
          <w:color w:val="000000" w:themeColor="text1"/>
          <w:sz w:val="24"/>
          <w:szCs w:val="24"/>
        </w:rPr>
        <w:t xml:space="preserve">Všetky úlohy </w:t>
      </w:r>
      <w:r w:rsidR="004E2368">
        <w:rPr>
          <w:rFonts w:ascii="Times New Roman" w:hAnsi="Times New Roman" w:cs="Times New Roman"/>
          <w:color w:val="000000" w:themeColor="text1"/>
          <w:sz w:val="24"/>
          <w:szCs w:val="24"/>
        </w:rPr>
        <w:t xml:space="preserve">Členskej schôdze </w:t>
      </w:r>
      <w:r w:rsidRPr="00B02C27">
        <w:rPr>
          <w:rFonts w:ascii="Times New Roman" w:hAnsi="Times New Roman" w:cs="Times New Roman"/>
          <w:color w:val="000000" w:themeColor="text1"/>
          <w:sz w:val="24"/>
          <w:szCs w:val="24"/>
        </w:rPr>
        <w:t>sú zadefinované v stanovách združenia</w:t>
      </w:r>
      <w:r w:rsidR="007A305B">
        <w:rPr>
          <w:rFonts w:ascii="Times New Roman" w:hAnsi="Times New Roman" w:cs="Times New Roman"/>
          <w:color w:val="000000" w:themeColor="text1"/>
          <w:sz w:val="24"/>
          <w:szCs w:val="24"/>
        </w:rPr>
        <w:t xml:space="preserve"> (príloha č. 9)</w:t>
      </w:r>
      <w:r w:rsidRPr="00B02C27">
        <w:rPr>
          <w:rFonts w:ascii="Times New Roman" w:hAnsi="Times New Roman" w:cs="Times New Roman"/>
          <w:color w:val="000000" w:themeColor="text1"/>
          <w:sz w:val="24"/>
          <w:szCs w:val="24"/>
        </w:rPr>
        <w:t xml:space="preserve"> a organizačnom poriadku (príloha č.</w:t>
      </w:r>
      <w:r>
        <w:rPr>
          <w:rFonts w:ascii="Times New Roman" w:hAnsi="Times New Roman" w:cs="Times New Roman"/>
          <w:color w:val="000000" w:themeColor="text1"/>
          <w:sz w:val="24"/>
          <w:szCs w:val="24"/>
        </w:rPr>
        <w:t xml:space="preserve"> </w:t>
      </w:r>
      <w:r w:rsidR="007A305B">
        <w:rPr>
          <w:rFonts w:ascii="Times New Roman" w:hAnsi="Times New Roman" w:cs="Times New Roman"/>
          <w:color w:val="000000" w:themeColor="text1"/>
          <w:sz w:val="24"/>
          <w:szCs w:val="24"/>
        </w:rPr>
        <w:t>7</w:t>
      </w:r>
      <w:r w:rsidRPr="00B02C27">
        <w:rPr>
          <w:rFonts w:ascii="Times New Roman" w:hAnsi="Times New Roman" w:cs="Times New Roman"/>
          <w:color w:val="000000" w:themeColor="text1"/>
          <w:sz w:val="24"/>
          <w:szCs w:val="24"/>
        </w:rPr>
        <w:t xml:space="preserve">). </w:t>
      </w:r>
    </w:p>
    <w:p w14:paraId="39869D31" w14:textId="77777777" w:rsidR="00457F8C" w:rsidRDefault="00457F8C" w:rsidP="00457F8C">
      <w:pPr>
        <w:spacing w:after="0" w:line="360" w:lineRule="auto"/>
        <w:jc w:val="both"/>
        <w:rPr>
          <w:rFonts w:ascii="Times New Roman" w:hAnsi="Times New Roman" w:cs="Times New Roman"/>
          <w:color w:val="000000" w:themeColor="text1"/>
          <w:sz w:val="24"/>
          <w:szCs w:val="24"/>
        </w:rPr>
      </w:pPr>
      <w:r w:rsidRPr="00767087">
        <w:rPr>
          <w:rFonts w:ascii="Times New Roman" w:hAnsi="Times New Roman" w:cs="Times New Roman"/>
          <w:color w:val="000000" w:themeColor="text1"/>
          <w:sz w:val="24"/>
          <w:szCs w:val="24"/>
        </w:rPr>
        <w:t xml:space="preserve">Personálne zastúpenie </w:t>
      </w:r>
      <w:r>
        <w:rPr>
          <w:rFonts w:ascii="Times New Roman" w:hAnsi="Times New Roman" w:cs="Times New Roman"/>
          <w:color w:val="000000" w:themeColor="text1"/>
          <w:sz w:val="24"/>
          <w:szCs w:val="24"/>
        </w:rPr>
        <w:t>členskej schôdze</w:t>
      </w:r>
      <w:r w:rsidRPr="00767087">
        <w:rPr>
          <w:rFonts w:ascii="Times New Roman" w:hAnsi="Times New Roman" w:cs="Times New Roman"/>
          <w:color w:val="000000" w:themeColor="text1"/>
          <w:sz w:val="24"/>
          <w:szCs w:val="24"/>
        </w:rPr>
        <w:t xml:space="preserve"> – najvyššieho org</w:t>
      </w:r>
      <w:r>
        <w:rPr>
          <w:rFonts w:ascii="Times New Roman" w:hAnsi="Times New Roman" w:cs="Times New Roman"/>
          <w:color w:val="000000" w:themeColor="text1"/>
          <w:sz w:val="24"/>
          <w:szCs w:val="24"/>
        </w:rPr>
        <w:t xml:space="preserve">ánu KR-MAS je uvedené v prílohe č. </w:t>
      </w:r>
      <w:r w:rsidR="008A6845">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w:t>
      </w:r>
      <w:r w:rsidRPr="00F64A99">
        <w:rPr>
          <w:rFonts w:ascii="Times New Roman" w:hAnsi="Times New Roman" w:cs="Times New Roman"/>
          <w:sz w:val="24"/>
          <w:szCs w:val="24"/>
        </w:rPr>
        <w:t>Personálna matica členov MAS a obsadenie jednotlivých orgánov</w:t>
      </w:r>
      <w:r w:rsidR="007A305B">
        <w:rPr>
          <w:rFonts w:ascii="Times New Roman" w:hAnsi="Times New Roman" w:cs="Times New Roman"/>
          <w:sz w:val="24"/>
          <w:szCs w:val="24"/>
        </w:rPr>
        <w:t>.</w:t>
      </w:r>
      <w:r w:rsidRPr="00767087">
        <w:rPr>
          <w:rFonts w:ascii="Times New Roman" w:hAnsi="Times New Roman" w:cs="Times New Roman"/>
          <w:color w:val="000000" w:themeColor="text1"/>
          <w:sz w:val="24"/>
          <w:szCs w:val="24"/>
        </w:rPr>
        <w:t xml:space="preserve"> Percentuálne zastúpenie </w:t>
      </w:r>
      <w:r w:rsidR="007A305B">
        <w:rPr>
          <w:rFonts w:ascii="Times New Roman" w:hAnsi="Times New Roman" w:cs="Times New Roman"/>
          <w:color w:val="000000" w:themeColor="text1"/>
          <w:sz w:val="24"/>
          <w:szCs w:val="24"/>
        </w:rPr>
        <w:t>členskej schôdze</w:t>
      </w:r>
      <w:r>
        <w:rPr>
          <w:rFonts w:ascii="Times New Roman" w:hAnsi="Times New Roman" w:cs="Times New Roman"/>
          <w:color w:val="000000" w:themeColor="text1"/>
          <w:sz w:val="24"/>
          <w:szCs w:val="24"/>
        </w:rPr>
        <w:t xml:space="preserve"> predstavuje: </w:t>
      </w:r>
      <w:r w:rsidR="007A305B">
        <w:rPr>
          <w:rFonts w:ascii="Times New Roman" w:hAnsi="Times New Roman" w:cs="Times New Roman"/>
          <w:b/>
          <w:color w:val="000000" w:themeColor="text1"/>
          <w:sz w:val="24"/>
          <w:szCs w:val="24"/>
        </w:rPr>
        <w:t>4</w:t>
      </w:r>
      <w:r w:rsidR="008A6845">
        <w:rPr>
          <w:rFonts w:ascii="Times New Roman" w:hAnsi="Times New Roman" w:cs="Times New Roman"/>
          <w:b/>
          <w:color w:val="000000" w:themeColor="text1"/>
          <w:sz w:val="24"/>
          <w:szCs w:val="24"/>
        </w:rPr>
        <w:t>4</w:t>
      </w:r>
      <w:r w:rsidR="007A305B">
        <w:rPr>
          <w:rFonts w:ascii="Times New Roman" w:hAnsi="Times New Roman" w:cs="Times New Roman"/>
          <w:b/>
          <w:color w:val="000000" w:themeColor="text1"/>
          <w:sz w:val="24"/>
          <w:szCs w:val="24"/>
        </w:rPr>
        <w:t>,</w:t>
      </w:r>
      <w:r w:rsidR="008A6845">
        <w:rPr>
          <w:rFonts w:ascii="Times New Roman" w:hAnsi="Times New Roman" w:cs="Times New Roman"/>
          <w:b/>
          <w:color w:val="000000" w:themeColor="text1"/>
          <w:sz w:val="24"/>
          <w:szCs w:val="24"/>
        </w:rPr>
        <w:t>07</w:t>
      </w:r>
      <w:r w:rsidRPr="004222D0">
        <w:rPr>
          <w:rFonts w:ascii="Times New Roman" w:hAnsi="Times New Roman" w:cs="Times New Roman"/>
          <w:b/>
          <w:color w:val="000000" w:themeColor="text1"/>
          <w:sz w:val="24"/>
          <w:szCs w:val="24"/>
        </w:rPr>
        <w:t xml:space="preserve"> % verejný sektor</w:t>
      </w:r>
      <w:r w:rsidR="007A305B">
        <w:rPr>
          <w:rFonts w:ascii="Times New Roman" w:hAnsi="Times New Roman" w:cs="Times New Roman"/>
          <w:color w:val="000000" w:themeColor="text1"/>
          <w:sz w:val="24"/>
          <w:szCs w:val="24"/>
        </w:rPr>
        <w:t xml:space="preserve"> (23</w:t>
      </w:r>
      <w:r>
        <w:rPr>
          <w:rFonts w:ascii="Times New Roman" w:hAnsi="Times New Roman" w:cs="Times New Roman"/>
          <w:color w:val="000000" w:themeColor="text1"/>
          <w:sz w:val="24"/>
          <w:szCs w:val="24"/>
        </w:rPr>
        <w:t xml:space="preserve"> obcí</w:t>
      </w:r>
      <w:r w:rsidR="007A305B">
        <w:rPr>
          <w:rFonts w:ascii="Times New Roman" w:hAnsi="Times New Roman" w:cs="Times New Roman"/>
          <w:color w:val="000000" w:themeColor="text1"/>
          <w:sz w:val="24"/>
          <w:szCs w:val="24"/>
        </w:rPr>
        <w:t xml:space="preserve"> a 3 mestá</w:t>
      </w:r>
      <w:r>
        <w:rPr>
          <w:rFonts w:ascii="Times New Roman" w:hAnsi="Times New Roman" w:cs="Times New Roman"/>
          <w:color w:val="000000" w:themeColor="text1"/>
          <w:sz w:val="24"/>
          <w:szCs w:val="24"/>
        </w:rPr>
        <w:t>) a</w:t>
      </w:r>
      <w:r w:rsidR="007A305B">
        <w:rPr>
          <w:rFonts w:ascii="Times New Roman" w:hAnsi="Times New Roman" w:cs="Times New Roman"/>
          <w:color w:val="000000" w:themeColor="text1"/>
          <w:sz w:val="24"/>
          <w:szCs w:val="24"/>
        </w:rPr>
        <w:t> </w:t>
      </w:r>
      <w:r w:rsidR="007A305B">
        <w:rPr>
          <w:rFonts w:ascii="Times New Roman" w:hAnsi="Times New Roman" w:cs="Times New Roman"/>
          <w:b/>
          <w:color w:val="000000" w:themeColor="text1"/>
          <w:sz w:val="24"/>
          <w:szCs w:val="24"/>
        </w:rPr>
        <w:t>5</w:t>
      </w:r>
      <w:r w:rsidR="008A6845">
        <w:rPr>
          <w:rFonts w:ascii="Times New Roman" w:hAnsi="Times New Roman" w:cs="Times New Roman"/>
          <w:b/>
          <w:color w:val="000000" w:themeColor="text1"/>
          <w:sz w:val="24"/>
          <w:szCs w:val="24"/>
        </w:rPr>
        <w:t>5</w:t>
      </w:r>
      <w:r w:rsidR="007A305B">
        <w:rPr>
          <w:rFonts w:ascii="Times New Roman" w:hAnsi="Times New Roman" w:cs="Times New Roman"/>
          <w:b/>
          <w:color w:val="000000" w:themeColor="text1"/>
          <w:sz w:val="24"/>
          <w:szCs w:val="24"/>
        </w:rPr>
        <w:t>,</w:t>
      </w:r>
      <w:r w:rsidR="008A6845">
        <w:rPr>
          <w:rFonts w:ascii="Times New Roman" w:hAnsi="Times New Roman" w:cs="Times New Roman"/>
          <w:b/>
          <w:color w:val="000000" w:themeColor="text1"/>
          <w:sz w:val="24"/>
          <w:szCs w:val="24"/>
        </w:rPr>
        <w:t>93</w:t>
      </w:r>
      <w:r w:rsidRPr="004222D0">
        <w:rPr>
          <w:rFonts w:ascii="Times New Roman" w:hAnsi="Times New Roman" w:cs="Times New Roman"/>
          <w:b/>
          <w:color w:val="000000" w:themeColor="text1"/>
          <w:sz w:val="24"/>
          <w:szCs w:val="24"/>
        </w:rPr>
        <w:t xml:space="preserve"> </w:t>
      </w:r>
      <w:r w:rsidRPr="004222D0">
        <w:rPr>
          <w:rFonts w:ascii="Times New Roman" w:hAnsi="Times New Roman" w:cs="Times New Roman"/>
          <w:b/>
          <w:color w:val="000000" w:themeColor="text1"/>
          <w:sz w:val="24"/>
          <w:szCs w:val="24"/>
        </w:rPr>
        <w:lastRenderedPageBreak/>
        <w:t>% súkromný sektor</w:t>
      </w:r>
      <w:r w:rsidRPr="00767087">
        <w:rPr>
          <w:rFonts w:ascii="Times New Roman" w:hAnsi="Times New Roman" w:cs="Times New Roman"/>
          <w:color w:val="000000" w:themeColor="text1"/>
          <w:sz w:val="24"/>
          <w:szCs w:val="24"/>
        </w:rPr>
        <w:t xml:space="preserve"> (</w:t>
      </w:r>
      <w:r w:rsidR="007A305B">
        <w:rPr>
          <w:rFonts w:ascii="Times New Roman" w:hAnsi="Times New Roman" w:cs="Times New Roman"/>
          <w:color w:val="000000" w:themeColor="text1"/>
          <w:sz w:val="24"/>
          <w:szCs w:val="24"/>
        </w:rPr>
        <w:t>1</w:t>
      </w:r>
      <w:r w:rsidR="001D0D3E">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 </w:t>
      </w:r>
      <w:r w:rsidRPr="00767087">
        <w:rPr>
          <w:rFonts w:ascii="Times New Roman" w:hAnsi="Times New Roman" w:cs="Times New Roman"/>
          <w:color w:val="000000" w:themeColor="text1"/>
          <w:sz w:val="24"/>
          <w:szCs w:val="24"/>
        </w:rPr>
        <w:t xml:space="preserve">podnikatelia, </w:t>
      </w:r>
      <w:r w:rsidR="007A305B">
        <w:rPr>
          <w:rFonts w:ascii="Times New Roman" w:hAnsi="Times New Roman" w:cs="Times New Roman"/>
          <w:color w:val="000000" w:themeColor="text1"/>
          <w:sz w:val="24"/>
          <w:szCs w:val="24"/>
        </w:rPr>
        <w:t xml:space="preserve">6 </w:t>
      </w:r>
      <w:r>
        <w:rPr>
          <w:rFonts w:ascii="Times New Roman" w:hAnsi="Times New Roman" w:cs="Times New Roman"/>
          <w:color w:val="000000" w:themeColor="text1"/>
          <w:sz w:val="24"/>
          <w:szCs w:val="24"/>
        </w:rPr>
        <w:t xml:space="preserve">- </w:t>
      </w:r>
      <w:r w:rsidRPr="00767087">
        <w:rPr>
          <w:rFonts w:ascii="Times New Roman" w:hAnsi="Times New Roman" w:cs="Times New Roman"/>
          <w:color w:val="000000" w:themeColor="text1"/>
          <w:sz w:val="24"/>
          <w:szCs w:val="24"/>
        </w:rPr>
        <w:t xml:space="preserve">združenia </w:t>
      </w:r>
      <w:r w:rsidR="007A305B">
        <w:rPr>
          <w:rFonts w:ascii="Times New Roman" w:hAnsi="Times New Roman" w:cs="Times New Roman"/>
          <w:color w:val="000000" w:themeColor="text1"/>
          <w:sz w:val="24"/>
          <w:szCs w:val="24"/>
        </w:rPr>
        <w:t xml:space="preserve">a neziskové organizácie </w:t>
      </w:r>
      <w:r w:rsidRPr="00767087">
        <w:rPr>
          <w:rFonts w:ascii="Times New Roman" w:hAnsi="Times New Roman" w:cs="Times New Roman"/>
          <w:color w:val="000000" w:themeColor="text1"/>
          <w:sz w:val="24"/>
          <w:szCs w:val="24"/>
        </w:rPr>
        <w:t>a</w:t>
      </w:r>
      <w:r w:rsidR="007A305B">
        <w:rPr>
          <w:rFonts w:ascii="Times New Roman" w:hAnsi="Times New Roman" w:cs="Times New Roman"/>
          <w:color w:val="000000" w:themeColor="text1"/>
          <w:sz w:val="24"/>
          <w:szCs w:val="24"/>
        </w:rPr>
        <w:t xml:space="preserve"> 1</w:t>
      </w:r>
      <w:r w:rsidR="001D0D3E">
        <w:rPr>
          <w:rFonts w:ascii="Times New Roman" w:hAnsi="Times New Roman" w:cs="Times New Roman"/>
          <w:color w:val="000000" w:themeColor="text1"/>
          <w:sz w:val="24"/>
          <w:szCs w:val="24"/>
        </w:rPr>
        <w:t>1</w:t>
      </w:r>
      <w:r w:rsidRPr="00767087">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w:t>
      </w:r>
      <w:r w:rsidRPr="00767087">
        <w:rPr>
          <w:rFonts w:ascii="Times New Roman" w:hAnsi="Times New Roman" w:cs="Times New Roman"/>
          <w:color w:val="000000" w:themeColor="text1"/>
          <w:sz w:val="24"/>
          <w:szCs w:val="24"/>
        </w:rPr>
        <w:t xml:space="preserve">fyzické osoby). </w:t>
      </w:r>
    </w:p>
    <w:p w14:paraId="7C492AAD" w14:textId="77777777" w:rsidR="007A305B" w:rsidRPr="00767087" w:rsidRDefault="007A305B" w:rsidP="007A305B">
      <w:pPr>
        <w:spacing w:after="0" w:line="360" w:lineRule="auto"/>
        <w:jc w:val="both"/>
        <w:rPr>
          <w:rFonts w:ascii="Times New Roman" w:hAnsi="Times New Roman" w:cs="Times New Roman"/>
          <w:color w:val="000000" w:themeColor="text1"/>
          <w:sz w:val="24"/>
          <w:szCs w:val="24"/>
        </w:rPr>
      </w:pPr>
      <w:r w:rsidRPr="00767087">
        <w:rPr>
          <w:rFonts w:ascii="Times New Roman" w:hAnsi="Times New Roman" w:cs="Times New Roman"/>
          <w:color w:val="000000" w:themeColor="text1"/>
          <w:sz w:val="24"/>
          <w:szCs w:val="24"/>
        </w:rPr>
        <w:t>Zástupcovia členov verejno</w:t>
      </w:r>
      <w:r w:rsidR="004E2368">
        <w:rPr>
          <w:rFonts w:ascii="Times New Roman" w:hAnsi="Times New Roman" w:cs="Times New Roman"/>
          <w:color w:val="000000" w:themeColor="text1"/>
          <w:sz w:val="24"/>
          <w:szCs w:val="24"/>
        </w:rPr>
        <w:t>-</w:t>
      </w:r>
      <w:r w:rsidRPr="00767087">
        <w:rPr>
          <w:rFonts w:ascii="Times New Roman" w:hAnsi="Times New Roman" w:cs="Times New Roman"/>
          <w:color w:val="000000" w:themeColor="text1"/>
          <w:sz w:val="24"/>
          <w:szCs w:val="24"/>
        </w:rPr>
        <w:t xml:space="preserve">súkromného partnerstva do orgánov združenia boli delegovaní </w:t>
      </w:r>
      <w:r>
        <w:rPr>
          <w:rFonts w:ascii="Times New Roman" w:hAnsi="Times New Roman" w:cs="Times New Roman"/>
          <w:color w:val="000000" w:themeColor="text1"/>
          <w:sz w:val="24"/>
          <w:szCs w:val="24"/>
        </w:rPr>
        <w:t>členskou schôdzou</w:t>
      </w:r>
      <w:r w:rsidRPr="00767087">
        <w:rPr>
          <w:rFonts w:ascii="Times New Roman" w:hAnsi="Times New Roman" w:cs="Times New Roman"/>
          <w:color w:val="000000" w:themeColor="text1"/>
          <w:sz w:val="24"/>
          <w:szCs w:val="24"/>
        </w:rPr>
        <w:t xml:space="preserve"> na základe ich odborných predpokladov, skúseností, pri zabezpečení základnej požiadavky prístupu Leader, rešpektujúc pomerné územné zastúpenie, sociálne a rodové zastúpenie reprezentantov. </w:t>
      </w:r>
    </w:p>
    <w:p w14:paraId="1DF732CC" w14:textId="77777777" w:rsidR="00B02C27" w:rsidRDefault="00B02C27" w:rsidP="00387D99">
      <w:pPr>
        <w:spacing w:after="0" w:line="360" w:lineRule="auto"/>
        <w:jc w:val="both"/>
        <w:rPr>
          <w:rFonts w:ascii="Times New Roman" w:hAnsi="Times New Roman" w:cs="Times New Roman"/>
          <w:sz w:val="24"/>
          <w:szCs w:val="24"/>
        </w:rPr>
      </w:pPr>
    </w:p>
    <w:p w14:paraId="2F649101" w14:textId="77777777" w:rsidR="0029193B" w:rsidRPr="00D85C5C" w:rsidRDefault="007A305B" w:rsidP="0029193B">
      <w:pPr>
        <w:spacing w:after="0" w:line="360" w:lineRule="auto"/>
        <w:jc w:val="both"/>
        <w:rPr>
          <w:rFonts w:ascii="Times New Roman" w:hAnsi="Times New Roman" w:cs="Times New Roman"/>
          <w:b/>
          <w:sz w:val="24"/>
          <w:szCs w:val="24"/>
        </w:rPr>
      </w:pPr>
      <w:r w:rsidRPr="00D85C5C">
        <w:rPr>
          <w:rFonts w:ascii="Times New Roman" w:hAnsi="Times New Roman" w:cs="Times New Roman"/>
          <w:b/>
          <w:sz w:val="24"/>
          <w:szCs w:val="24"/>
        </w:rPr>
        <w:t>Predsedníctvo</w:t>
      </w:r>
      <w:r w:rsidRPr="00D85C5C">
        <w:rPr>
          <w:rFonts w:ascii="Times New Roman" w:hAnsi="Times New Roman" w:cs="Times New Roman"/>
          <w:sz w:val="24"/>
          <w:szCs w:val="24"/>
        </w:rPr>
        <w:t xml:space="preserve"> je výkonný orgán KR-MAS a zodpovedá za svoju činnosť Členskej schôdzi. Predsedníctvo vykonáva či</w:t>
      </w:r>
      <w:r w:rsidR="0029193B" w:rsidRPr="00D85C5C">
        <w:rPr>
          <w:rFonts w:ascii="Times New Roman" w:hAnsi="Times New Roman" w:cs="Times New Roman"/>
          <w:sz w:val="24"/>
          <w:szCs w:val="24"/>
        </w:rPr>
        <w:t xml:space="preserve">nnosti v súlade so stanovami a internými riadiacimi </w:t>
      </w:r>
      <w:r w:rsidR="001D0D3E">
        <w:rPr>
          <w:rFonts w:ascii="Times New Roman" w:hAnsi="Times New Roman" w:cs="Times New Roman"/>
          <w:sz w:val="24"/>
          <w:szCs w:val="24"/>
        </w:rPr>
        <w:t>vykonávacími predpismi KR-</w:t>
      </w:r>
      <w:r w:rsidR="0029193B" w:rsidRPr="00D85C5C">
        <w:rPr>
          <w:rFonts w:ascii="Times New Roman" w:hAnsi="Times New Roman" w:cs="Times New Roman"/>
          <w:sz w:val="24"/>
          <w:szCs w:val="24"/>
        </w:rPr>
        <w:t xml:space="preserve">MAS. Predsedníctvo KR-MAS </w:t>
      </w:r>
      <w:r w:rsidR="0029193B" w:rsidRPr="00D85C5C">
        <w:rPr>
          <w:rFonts w:ascii="Times New Roman" w:hAnsi="Times New Roman" w:cs="Times New Roman"/>
          <w:b/>
          <w:sz w:val="24"/>
          <w:szCs w:val="24"/>
        </w:rPr>
        <w:t>je tvoren</w:t>
      </w:r>
      <w:r w:rsidR="004E2368" w:rsidRPr="00D85C5C">
        <w:rPr>
          <w:rFonts w:ascii="Times New Roman" w:hAnsi="Times New Roman" w:cs="Times New Roman"/>
          <w:b/>
          <w:sz w:val="24"/>
          <w:szCs w:val="24"/>
        </w:rPr>
        <w:t>é</w:t>
      </w:r>
      <w:r w:rsidR="0029193B" w:rsidRPr="00D85C5C">
        <w:rPr>
          <w:rFonts w:ascii="Times New Roman" w:hAnsi="Times New Roman" w:cs="Times New Roman"/>
          <w:b/>
          <w:sz w:val="24"/>
          <w:szCs w:val="24"/>
        </w:rPr>
        <w:t xml:space="preserve"> zo siedmych členov</w:t>
      </w:r>
      <w:r w:rsidR="0029193B" w:rsidRPr="00D85C5C">
        <w:rPr>
          <w:rFonts w:ascii="Times New Roman" w:hAnsi="Times New Roman" w:cs="Times New Roman"/>
          <w:sz w:val="24"/>
          <w:szCs w:val="24"/>
        </w:rPr>
        <w:t>, rešpektujúc podmienku, že na úrovni rozhodovania nem</w:t>
      </w:r>
      <w:r w:rsidR="001D0D3E">
        <w:rPr>
          <w:rFonts w:ascii="Times New Roman" w:hAnsi="Times New Roman" w:cs="Times New Roman"/>
          <w:sz w:val="24"/>
          <w:szCs w:val="24"/>
        </w:rPr>
        <w:t>á</w:t>
      </w:r>
      <w:r w:rsidR="0029193B" w:rsidRPr="00D85C5C">
        <w:rPr>
          <w:rFonts w:ascii="Times New Roman" w:hAnsi="Times New Roman" w:cs="Times New Roman"/>
          <w:sz w:val="24"/>
          <w:szCs w:val="24"/>
        </w:rPr>
        <w:t xml:space="preserve"> žiadna záujmová skupina viac ako 49</w:t>
      </w:r>
      <w:r w:rsidR="004E2368" w:rsidRPr="00D85C5C">
        <w:rPr>
          <w:rFonts w:ascii="Times New Roman" w:hAnsi="Times New Roman" w:cs="Times New Roman"/>
          <w:sz w:val="24"/>
          <w:szCs w:val="24"/>
        </w:rPr>
        <w:t xml:space="preserve"> </w:t>
      </w:r>
      <w:r w:rsidR="0029193B" w:rsidRPr="00D85C5C">
        <w:rPr>
          <w:rFonts w:ascii="Times New Roman" w:hAnsi="Times New Roman" w:cs="Times New Roman"/>
          <w:sz w:val="24"/>
          <w:szCs w:val="24"/>
        </w:rPr>
        <w:t xml:space="preserve">% hlasovacích práv. V súčasnosti je v predsedníctve zastúpených celkovo </w:t>
      </w:r>
      <w:r w:rsidR="0029193B" w:rsidRPr="00D85C5C">
        <w:rPr>
          <w:rFonts w:ascii="Times New Roman" w:hAnsi="Times New Roman" w:cs="Times New Roman"/>
          <w:b/>
          <w:sz w:val="24"/>
          <w:szCs w:val="24"/>
        </w:rPr>
        <w:t>43,00 % verejného</w:t>
      </w:r>
      <w:r w:rsidR="0029193B" w:rsidRPr="00D85C5C">
        <w:rPr>
          <w:rFonts w:ascii="Times New Roman" w:hAnsi="Times New Roman" w:cs="Times New Roman"/>
          <w:sz w:val="24"/>
          <w:szCs w:val="24"/>
        </w:rPr>
        <w:t xml:space="preserve"> </w:t>
      </w:r>
      <w:r w:rsidR="004E2368" w:rsidRPr="00D85C5C">
        <w:rPr>
          <w:rFonts w:ascii="Times New Roman" w:hAnsi="Times New Roman" w:cs="Times New Roman"/>
          <w:b/>
          <w:sz w:val="24"/>
          <w:szCs w:val="24"/>
        </w:rPr>
        <w:t>(3 zástupcovia miest a obcí)</w:t>
      </w:r>
      <w:r w:rsidR="004E2368" w:rsidRPr="00D85C5C">
        <w:rPr>
          <w:rFonts w:ascii="Times New Roman" w:hAnsi="Times New Roman" w:cs="Times New Roman"/>
          <w:sz w:val="24"/>
          <w:szCs w:val="24"/>
        </w:rPr>
        <w:t xml:space="preserve"> </w:t>
      </w:r>
      <w:r w:rsidR="0029193B" w:rsidRPr="00D85C5C">
        <w:rPr>
          <w:rFonts w:ascii="Times New Roman" w:hAnsi="Times New Roman" w:cs="Times New Roman"/>
          <w:sz w:val="24"/>
          <w:szCs w:val="24"/>
        </w:rPr>
        <w:t>a </w:t>
      </w:r>
      <w:r w:rsidR="0029193B" w:rsidRPr="00D85C5C">
        <w:rPr>
          <w:rFonts w:ascii="Times New Roman" w:hAnsi="Times New Roman" w:cs="Times New Roman"/>
          <w:b/>
          <w:sz w:val="24"/>
          <w:szCs w:val="24"/>
        </w:rPr>
        <w:t xml:space="preserve">57,00 % súkromného </w:t>
      </w:r>
      <w:r w:rsidR="004E2368" w:rsidRPr="00D85C5C">
        <w:rPr>
          <w:rFonts w:ascii="Times New Roman" w:hAnsi="Times New Roman" w:cs="Times New Roman"/>
          <w:b/>
          <w:sz w:val="24"/>
          <w:szCs w:val="24"/>
        </w:rPr>
        <w:t xml:space="preserve">(2 subjekty) </w:t>
      </w:r>
      <w:r w:rsidR="0029193B" w:rsidRPr="00D85C5C">
        <w:rPr>
          <w:rFonts w:ascii="Times New Roman" w:hAnsi="Times New Roman" w:cs="Times New Roman"/>
          <w:b/>
          <w:sz w:val="24"/>
          <w:szCs w:val="24"/>
        </w:rPr>
        <w:t xml:space="preserve">a občianskeho </w:t>
      </w:r>
      <w:r w:rsidR="00777128" w:rsidRPr="00D85C5C">
        <w:rPr>
          <w:rFonts w:ascii="Times New Roman" w:hAnsi="Times New Roman" w:cs="Times New Roman"/>
          <w:b/>
          <w:sz w:val="24"/>
          <w:szCs w:val="24"/>
        </w:rPr>
        <w:t xml:space="preserve">sektora </w:t>
      </w:r>
      <w:r w:rsidR="004E2368" w:rsidRPr="00D85C5C">
        <w:rPr>
          <w:rFonts w:ascii="Times New Roman" w:hAnsi="Times New Roman" w:cs="Times New Roman"/>
          <w:b/>
          <w:sz w:val="24"/>
          <w:szCs w:val="24"/>
        </w:rPr>
        <w:t xml:space="preserve">(2 </w:t>
      </w:r>
      <w:r w:rsidR="00777128">
        <w:rPr>
          <w:rFonts w:ascii="Times New Roman" w:hAnsi="Times New Roman" w:cs="Times New Roman"/>
          <w:b/>
          <w:sz w:val="24"/>
          <w:szCs w:val="24"/>
        </w:rPr>
        <w:t xml:space="preserve">fyzické </w:t>
      </w:r>
      <w:r w:rsidR="004E2368" w:rsidRPr="00D85C5C">
        <w:rPr>
          <w:rFonts w:ascii="Times New Roman" w:hAnsi="Times New Roman" w:cs="Times New Roman"/>
          <w:b/>
          <w:sz w:val="24"/>
          <w:szCs w:val="24"/>
        </w:rPr>
        <w:t>osoby)</w:t>
      </w:r>
      <w:r w:rsidR="0029193B" w:rsidRPr="00D85C5C">
        <w:rPr>
          <w:rFonts w:ascii="Times New Roman" w:hAnsi="Times New Roman" w:cs="Times New Roman"/>
          <w:b/>
          <w:sz w:val="24"/>
          <w:szCs w:val="24"/>
        </w:rPr>
        <w:t>.</w:t>
      </w:r>
    </w:p>
    <w:p w14:paraId="401BA57C" w14:textId="77777777" w:rsidR="0029193B" w:rsidRDefault="0029193B" w:rsidP="00387D99">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Predsedníctvo v rámci svojich kompetencií</w:t>
      </w:r>
      <w:r w:rsidR="00DA7458">
        <w:rPr>
          <w:rFonts w:ascii="Times New Roman" w:hAnsi="Times New Roman" w:cs="Times New Roman"/>
          <w:sz w:val="24"/>
          <w:szCs w:val="24"/>
          <w:u w:val="single"/>
        </w:rPr>
        <w:t xml:space="preserve"> vykonáva nasledovné činnosti</w:t>
      </w:r>
      <w:r>
        <w:rPr>
          <w:rFonts w:ascii="Times New Roman" w:hAnsi="Times New Roman" w:cs="Times New Roman"/>
          <w:sz w:val="24"/>
          <w:szCs w:val="24"/>
          <w:u w:val="single"/>
        </w:rPr>
        <w:t>:</w:t>
      </w:r>
    </w:p>
    <w:p w14:paraId="7FA862E1"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 xml:space="preserve">vykonáva činnosti podľa poverenia Členskej schôdze, </w:t>
      </w:r>
    </w:p>
    <w:p w14:paraId="79E653F6"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riadi činnosť KR - MAS v období medzi zasadnutiami Členskej schôdze,</w:t>
      </w:r>
    </w:p>
    <w:p w14:paraId="142FF8E2"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predkladá Členskej schôdzi plán činnosti, rozpočet a výročnú správu</w:t>
      </w:r>
      <w:r w:rsidR="00DA7458">
        <w:rPr>
          <w:rFonts w:ascii="Times New Roman" w:hAnsi="Times New Roman" w:cs="Times New Roman"/>
          <w:sz w:val="24"/>
          <w:szCs w:val="24"/>
        </w:rPr>
        <w:t>, správu</w:t>
      </w:r>
      <w:r w:rsidRPr="0029193B">
        <w:rPr>
          <w:rFonts w:ascii="Times New Roman" w:hAnsi="Times New Roman" w:cs="Times New Roman"/>
          <w:sz w:val="24"/>
          <w:szCs w:val="24"/>
        </w:rPr>
        <w:t xml:space="preserve"> o činnosti a hospodárení na schválenie,</w:t>
      </w:r>
    </w:p>
    <w:p w14:paraId="0F6BBAF7"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predkladá Členskej schôdzi organizačný poriadok KR - MAS na schválenie,</w:t>
      </w:r>
    </w:p>
    <w:p w14:paraId="32F0466F"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zvoláva a obsahovo pripravuje rokovanie Členskej schôdze a pripravuje základné materiály na tieto rokovania,</w:t>
      </w:r>
    </w:p>
    <w:p w14:paraId="46CAECB6"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zodpovedá za vypracovanie a implementáciu stratégie CLLD a jej aktualizáciu,</w:t>
      </w:r>
    </w:p>
    <w:p w14:paraId="71E7DA88"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zriadi výberovú komisiu KR - MAS a monitorovací výbor</w:t>
      </w:r>
      <w:r w:rsidR="00DA7458">
        <w:rPr>
          <w:rFonts w:ascii="Times New Roman" w:hAnsi="Times New Roman" w:cs="Times New Roman"/>
          <w:sz w:val="24"/>
          <w:szCs w:val="24"/>
        </w:rPr>
        <w:t xml:space="preserve"> KR-MAS</w:t>
      </w:r>
      <w:r w:rsidRPr="0029193B">
        <w:rPr>
          <w:rFonts w:ascii="Times New Roman" w:hAnsi="Times New Roman" w:cs="Times New Roman"/>
          <w:sz w:val="24"/>
          <w:szCs w:val="24"/>
        </w:rPr>
        <w:t>,</w:t>
      </w:r>
    </w:p>
    <w:p w14:paraId="66B77A22"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menuje manažéra KR - MAS a ďalších členov kancelárie KR - MAS,</w:t>
      </w:r>
    </w:p>
    <w:p w14:paraId="27D54564" w14:textId="77777777" w:rsidR="0029193B" w:rsidRPr="0029193B" w:rsidRDefault="00DA7458"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 xml:space="preserve">volí </w:t>
      </w:r>
      <w:r w:rsidR="0029193B" w:rsidRPr="0029193B">
        <w:rPr>
          <w:rFonts w:ascii="Times New Roman" w:hAnsi="Times New Roman" w:cs="Times New Roman"/>
          <w:sz w:val="24"/>
          <w:szCs w:val="24"/>
        </w:rPr>
        <w:t>a odvoláva členov monitorovacieho výboru</w:t>
      </w:r>
      <w:r>
        <w:rPr>
          <w:rFonts w:ascii="Times New Roman" w:hAnsi="Times New Roman" w:cs="Times New Roman"/>
          <w:sz w:val="24"/>
          <w:szCs w:val="24"/>
        </w:rPr>
        <w:t xml:space="preserve"> KR-MAS</w:t>
      </w:r>
      <w:r w:rsidR="0029193B" w:rsidRPr="0029193B">
        <w:rPr>
          <w:rFonts w:ascii="Times New Roman" w:hAnsi="Times New Roman" w:cs="Times New Roman"/>
          <w:sz w:val="24"/>
          <w:szCs w:val="24"/>
        </w:rPr>
        <w:t>,</w:t>
      </w:r>
    </w:p>
    <w:p w14:paraId="3BD3DB67"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volí a odvoláva členov výberovej komisie KR - MAS a schvaľuje jej štatút,</w:t>
      </w:r>
    </w:p>
    <w:p w14:paraId="4994E299" w14:textId="77777777" w:rsidR="0029193B" w:rsidRPr="0029193B" w:rsidRDefault="0029193B"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r w:rsidRPr="0029193B">
        <w:rPr>
          <w:rFonts w:ascii="Times New Roman" w:hAnsi="Times New Roman" w:cs="Times New Roman"/>
          <w:sz w:val="24"/>
          <w:szCs w:val="24"/>
        </w:rPr>
        <w:t>ustanovuje likvidátora v prípade likvidácie KR – MAS,</w:t>
      </w:r>
    </w:p>
    <w:p w14:paraId="2C9240F3" w14:textId="0C9A6B26" w:rsidR="00DA7458" w:rsidRPr="0029193B" w:rsidRDefault="00DA7458" w:rsidP="00A5345D">
      <w:pPr>
        <w:numPr>
          <w:ilvl w:val="0"/>
          <w:numId w:val="38"/>
        </w:numPr>
        <w:tabs>
          <w:tab w:val="clear" w:pos="1068"/>
        </w:tabs>
        <w:spacing w:after="0" w:line="360" w:lineRule="auto"/>
        <w:ind w:left="426" w:hanging="357"/>
        <w:jc w:val="both"/>
        <w:rPr>
          <w:rFonts w:ascii="Times New Roman" w:hAnsi="Times New Roman" w:cs="Times New Roman"/>
          <w:sz w:val="24"/>
          <w:szCs w:val="24"/>
        </w:rPr>
      </w:pPr>
    </w:p>
    <w:p w14:paraId="01D26360" w14:textId="77777777" w:rsidR="0029193B" w:rsidRPr="0029193B" w:rsidRDefault="0029193B" w:rsidP="002919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9193B">
        <w:rPr>
          <w:rFonts w:ascii="Times New Roman" w:hAnsi="Times New Roman" w:cs="Times New Roman"/>
          <w:sz w:val="24"/>
          <w:szCs w:val="24"/>
        </w:rPr>
        <w:t>Predsedníctvo zriadi</w:t>
      </w:r>
      <w:r w:rsidR="00A5345D">
        <w:rPr>
          <w:rFonts w:ascii="Times New Roman" w:hAnsi="Times New Roman" w:cs="Times New Roman"/>
          <w:sz w:val="24"/>
          <w:szCs w:val="24"/>
        </w:rPr>
        <w:t>lo</w:t>
      </w:r>
      <w:r w:rsidRPr="0029193B">
        <w:rPr>
          <w:rFonts w:ascii="Times New Roman" w:hAnsi="Times New Roman" w:cs="Times New Roman"/>
          <w:sz w:val="24"/>
          <w:szCs w:val="24"/>
        </w:rPr>
        <w:t xml:space="preserve"> svoju Kanceláriu na zabezpečenie spravovania verejných prostriedkov ako aj manažovanie činnosti MAS a realizáciu úloh združenia. Na čele Kancelárie je manažér KR</w:t>
      </w:r>
      <w:r w:rsidR="00A5345D">
        <w:rPr>
          <w:rFonts w:ascii="Times New Roman" w:hAnsi="Times New Roman" w:cs="Times New Roman"/>
          <w:sz w:val="24"/>
          <w:szCs w:val="24"/>
        </w:rPr>
        <w:t xml:space="preserve"> </w:t>
      </w:r>
      <w:r w:rsidRPr="0029193B">
        <w:rPr>
          <w:rFonts w:ascii="Times New Roman" w:hAnsi="Times New Roman" w:cs="Times New Roman"/>
          <w:sz w:val="24"/>
          <w:szCs w:val="24"/>
        </w:rPr>
        <w:t>-</w:t>
      </w:r>
      <w:r w:rsidR="00A5345D">
        <w:rPr>
          <w:rFonts w:ascii="Times New Roman" w:hAnsi="Times New Roman" w:cs="Times New Roman"/>
          <w:sz w:val="24"/>
          <w:szCs w:val="24"/>
        </w:rPr>
        <w:t xml:space="preserve"> </w:t>
      </w:r>
      <w:r w:rsidRPr="0029193B">
        <w:rPr>
          <w:rFonts w:ascii="Times New Roman" w:hAnsi="Times New Roman" w:cs="Times New Roman"/>
          <w:sz w:val="24"/>
          <w:szCs w:val="24"/>
        </w:rPr>
        <w:t>MAS menovaný predsedníctvom. Manažér KR</w:t>
      </w:r>
      <w:r w:rsidR="00A5345D">
        <w:rPr>
          <w:rFonts w:ascii="Times New Roman" w:hAnsi="Times New Roman" w:cs="Times New Roman"/>
          <w:sz w:val="24"/>
          <w:szCs w:val="24"/>
        </w:rPr>
        <w:t xml:space="preserve"> </w:t>
      </w:r>
      <w:r w:rsidRPr="0029193B">
        <w:rPr>
          <w:rFonts w:ascii="Times New Roman" w:hAnsi="Times New Roman" w:cs="Times New Roman"/>
          <w:sz w:val="24"/>
          <w:szCs w:val="24"/>
        </w:rPr>
        <w:t>-</w:t>
      </w:r>
      <w:r w:rsidR="00A5345D">
        <w:rPr>
          <w:rFonts w:ascii="Times New Roman" w:hAnsi="Times New Roman" w:cs="Times New Roman"/>
          <w:sz w:val="24"/>
          <w:szCs w:val="24"/>
        </w:rPr>
        <w:t xml:space="preserve"> </w:t>
      </w:r>
      <w:r w:rsidRPr="0029193B">
        <w:rPr>
          <w:rFonts w:ascii="Times New Roman" w:hAnsi="Times New Roman" w:cs="Times New Roman"/>
          <w:sz w:val="24"/>
          <w:szCs w:val="24"/>
        </w:rPr>
        <w:t xml:space="preserve">MAS je povinný zúčastňovať sa zasadnutí predsedníctva s hlasom poradným. Kancelária pracuje na základe pracovného a organizačného poriadku schváleného predsedníctvom. Administratívu </w:t>
      </w:r>
      <w:r w:rsidRPr="0029193B">
        <w:rPr>
          <w:rFonts w:ascii="Times New Roman" w:hAnsi="Times New Roman" w:cs="Times New Roman"/>
          <w:sz w:val="24"/>
          <w:szCs w:val="24"/>
        </w:rPr>
        <w:lastRenderedPageBreak/>
        <w:t>a realizáciu úloh združenia zabezpečuj</w:t>
      </w:r>
      <w:r w:rsidR="00DA7458">
        <w:rPr>
          <w:rFonts w:ascii="Times New Roman" w:hAnsi="Times New Roman" w:cs="Times New Roman"/>
          <w:sz w:val="24"/>
          <w:szCs w:val="24"/>
        </w:rPr>
        <w:t>e manažér MAS a ostatní</w:t>
      </w:r>
      <w:r w:rsidRPr="0029193B">
        <w:rPr>
          <w:rFonts w:ascii="Times New Roman" w:hAnsi="Times New Roman" w:cs="Times New Roman"/>
          <w:sz w:val="24"/>
          <w:szCs w:val="24"/>
        </w:rPr>
        <w:t xml:space="preserve"> zamestnanci MAS, ktorí môžu byť členmi len -  člensk</w:t>
      </w:r>
      <w:r w:rsidR="00DA7458">
        <w:rPr>
          <w:rFonts w:ascii="Times New Roman" w:hAnsi="Times New Roman" w:cs="Times New Roman"/>
          <w:sz w:val="24"/>
          <w:szCs w:val="24"/>
        </w:rPr>
        <w:t>ej</w:t>
      </w:r>
      <w:r w:rsidRPr="0029193B">
        <w:rPr>
          <w:rFonts w:ascii="Times New Roman" w:hAnsi="Times New Roman" w:cs="Times New Roman"/>
          <w:sz w:val="24"/>
          <w:szCs w:val="24"/>
        </w:rPr>
        <w:t xml:space="preserve"> schôdz</w:t>
      </w:r>
      <w:r w:rsidR="00DA7458">
        <w:rPr>
          <w:rFonts w:ascii="Times New Roman" w:hAnsi="Times New Roman" w:cs="Times New Roman"/>
          <w:sz w:val="24"/>
          <w:szCs w:val="24"/>
        </w:rPr>
        <w:t>e</w:t>
      </w:r>
      <w:r w:rsidRPr="0029193B">
        <w:rPr>
          <w:rFonts w:ascii="Times New Roman" w:hAnsi="Times New Roman" w:cs="Times New Roman"/>
          <w:sz w:val="24"/>
          <w:szCs w:val="24"/>
        </w:rPr>
        <w:t>.</w:t>
      </w:r>
    </w:p>
    <w:p w14:paraId="7F3B1D15" w14:textId="77777777" w:rsidR="0029193B" w:rsidRDefault="00B237F3" w:rsidP="00387D99">
      <w:pPr>
        <w:spacing w:after="0" w:line="360" w:lineRule="auto"/>
        <w:jc w:val="both"/>
        <w:rPr>
          <w:rFonts w:ascii="Times New Roman" w:hAnsi="Times New Roman" w:cs="Times New Roman"/>
          <w:sz w:val="24"/>
          <w:szCs w:val="24"/>
          <w:u w:val="single"/>
        </w:rPr>
      </w:pPr>
      <w:r w:rsidRPr="00767087">
        <w:rPr>
          <w:rFonts w:ascii="Times New Roman" w:hAnsi="Times New Roman" w:cs="Times New Roman"/>
          <w:color w:val="000000" w:themeColor="text1"/>
          <w:sz w:val="24"/>
          <w:szCs w:val="24"/>
        </w:rPr>
        <w:t xml:space="preserve">Všetky úlohy </w:t>
      </w:r>
      <w:r>
        <w:rPr>
          <w:rFonts w:ascii="Times New Roman" w:hAnsi="Times New Roman" w:cs="Times New Roman"/>
          <w:color w:val="000000" w:themeColor="text1"/>
          <w:sz w:val="24"/>
          <w:szCs w:val="24"/>
        </w:rPr>
        <w:t xml:space="preserve">predsedníctva </w:t>
      </w:r>
      <w:r w:rsidRPr="00767087">
        <w:rPr>
          <w:rFonts w:ascii="Times New Roman" w:hAnsi="Times New Roman" w:cs="Times New Roman"/>
          <w:color w:val="000000" w:themeColor="text1"/>
          <w:sz w:val="24"/>
          <w:szCs w:val="24"/>
        </w:rPr>
        <w:t>sú zadefinované v stanovách združenia</w:t>
      </w:r>
      <w:r>
        <w:rPr>
          <w:rFonts w:ascii="Times New Roman" w:hAnsi="Times New Roman" w:cs="Times New Roman"/>
          <w:color w:val="000000" w:themeColor="text1"/>
          <w:sz w:val="24"/>
          <w:szCs w:val="24"/>
        </w:rPr>
        <w:t xml:space="preserve"> </w:t>
      </w:r>
      <w:r w:rsidRPr="00767087">
        <w:rPr>
          <w:rFonts w:ascii="Times New Roman" w:hAnsi="Times New Roman" w:cs="Times New Roman"/>
          <w:color w:val="000000" w:themeColor="text1"/>
          <w:sz w:val="24"/>
          <w:szCs w:val="24"/>
        </w:rPr>
        <w:t>(príloha č.</w:t>
      </w:r>
      <w:r>
        <w:rPr>
          <w:rFonts w:ascii="Times New Roman" w:hAnsi="Times New Roman" w:cs="Times New Roman"/>
          <w:color w:val="000000" w:themeColor="text1"/>
          <w:sz w:val="24"/>
          <w:szCs w:val="24"/>
        </w:rPr>
        <w:t xml:space="preserve"> 9</w:t>
      </w:r>
      <w:r w:rsidRPr="00767087">
        <w:rPr>
          <w:rFonts w:ascii="Times New Roman" w:hAnsi="Times New Roman" w:cs="Times New Roman"/>
          <w:color w:val="000000" w:themeColor="text1"/>
          <w:sz w:val="24"/>
          <w:szCs w:val="24"/>
        </w:rPr>
        <w:t>) a organizačnom poriadku</w:t>
      </w:r>
      <w:r>
        <w:rPr>
          <w:rFonts w:ascii="Times New Roman" w:hAnsi="Times New Roman" w:cs="Times New Roman"/>
          <w:color w:val="000000" w:themeColor="text1"/>
          <w:sz w:val="24"/>
          <w:szCs w:val="24"/>
        </w:rPr>
        <w:t xml:space="preserve"> </w:t>
      </w:r>
      <w:r w:rsidRPr="00767087">
        <w:rPr>
          <w:rFonts w:ascii="Times New Roman" w:hAnsi="Times New Roman" w:cs="Times New Roman"/>
          <w:color w:val="000000" w:themeColor="text1"/>
          <w:sz w:val="24"/>
          <w:szCs w:val="24"/>
        </w:rPr>
        <w:t>(príloha č.</w:t>
      </w:r>
      <w:r>
        <w:rPr>
          <w:rFonts w:ascii="Times New Roman" w:hAnsi="Times New Roman" w:cs="Times New Roman"/>
          <w:color w:val="000000" w:themeColor="text1"/>
          <w:sz w:val="24"/>
          <w:szCs w:val="24"/>
        </w:rPr>
        <w:t xml:space="preserve"> 7) </w:t>
      </w:r>
      <w:r w:rsidRPr="00767087">
        <w:rPr>
          <w:rFonts w:ascii="Times New Roman" w:hAnsi="Times New Roman" w:cs="Times New Roman"/>
          <w:color w:val="000000" w:themeColor="text1"/>
          <w:sz w:val="24"/>
          <w:szCs w:val="24"/>
        </w:rPr>
        <w:t>.</w:t>
      </w:r>
    </w:p>
    <w:p w14:paraId="19D7AC37" w14:textId="77777777" w:rsidR="00EA56C9" w:rsidRDefault="00EA56C9" w:rsidP="00EA56C9">
      <w:pPr>
        <w:pStyle w:val="Odsekzoznamu"/>
        <w:spacing w:after="0" w:line="360" w:lineRule="auto"/>
        <w:jc w:val="both"/>
        <w:rPr>
          <w:rFonts w:ascii="Times New Roman" w:hAnsi="Times New Roman" w:cs="Times New Roman"/>
          <w:sz w:val="24"/>
          <w:szCs w:val="24"/>
        </w:rPr>
      </w:pPr>
    </w:p>
    <w:p w14:paraId="01F66EA9" w14:textId="77777777" w:rsidR="00EA56C9" w:rsidRPr="00EA56C9" w:rsidRDefault="00EA56C9" w:rsidP="00EA56C9">
      <w:pPr>
        <w:pStyle w:val="Odsekzoznamu"/>
        <w:spacing w:after="0" w:line="360" w:lineRule="auto"/>
        <w:ind w:left="0"/>
        <w:jc w:val="both"/>
        <w:rPr>
          <w:rFonts w:ascii="Times New Roman" w:hAnsi="Times New Roman" w:cs="Times New Roman"/>
          <w:b/>
          <w:sz w:val="24"/>
          <w:szCs w:val="24"/>
        </w:rPr>
      </w:pPr>
      <w:r w:rsidRPr="00EA56C9">
        <w:rPr>
          <w:rFonts w:ascii="Times New Roman" w:hAnsi="Times New Roman" w:cs="Times New Roman"/>
          <w:b/>
          <w:sz w:val="24"/>
          <w:szCs w:val="24"/>
        </w:rPr>
        <w:t xml:space="preserve">Predseda </w:t>
      </w:r>
    </w:p>
    <w:p w14:paraId="65FFF11B" w14:textId="1B0D4C00" w:rsidR="00DD720F" w:rsidRDefault="00EA56C9" w:rsidP="00A5345D">
      <w:pPr>
        <w:pStyle w:val="Odsekzoznamu"/>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 xml:space="preserve">Predseda je štatutárnym orgánom </w:t>
      </w:r>
      <w:r w:rsidR="00DA7458">
        <w:rPr>
          <w:rFonts w:ascii="Times New Roman" w:hAnsi="Times New Roman" w:cs="Times New Roman"/>
          <w:sz w:val="24"/>
          <w:szCs w:val="24"/>
        </w:rPr>
        <w:t>z</w:t>
      </w:r>
      <w:r w:rsidRPr="00EA56C9">
        <w:rPr>
          <w:rFonts w:ascii="Times New Roman" w:hAnsi="Times New Roman" w:cs="Times New Roman"/>
          <w:sz w:val="24"/>
          <w:szCs w:val="24"/>
        </w:rPr>
        <w:t xml:space="preserve">druženia, </w:t>
      </w:r>
      <w:r w:rsidR="00DA7458">
        <w:rPr>
          <w:rFonts w:ascii="Times New Roman" w:hAnsi="Times New Roman" w:cs="Times New Roman"/>
          <w:sz w:val="24"/>
          <w:szCs w:val="24"/>
        </w:rPr>
        <w:t xml:space="preserve">ktorý vystupuje v mene MAS </w:t>
      </w:r>
      <w:r w:rsidRPr="00EA56C9">
        <w:rPr>
          <w:rFonts w:ascii="Times New Roman" w:hAnsi="Times New Roman" w:cs="Times New Roman"/>
          <w:sz w:val="24"/>
          <w:szCs w:val="24"/>
        </w:rPr>
        <w:t xml:space="preserve"> navonok</w:t>
      </w:r>
      <w:r w:rsidR="00DA7458">
        <w:rPr>
          <w:rFonts w:ascii="Times New Roman" w:hAnsi="Times New Roman" w:cs="Times New Roman"/>
          <w:sz w:val="24"/>
          <w:szCs w:val="24"/>
        </w:rPr>
        <w:t xml:space="preserve"> a</w:t>
      </w:r>
      <w:r w:rsidRPr="00EA56C9">
        <w:rPr>
          <w:rFonts w:ascii="Times New Roman" w:hAnsi="Times New Roman" w:cs="Times New Roman"/>
          <w:sz w:val="24"/>
          <w:szCs w:val="24"/>
        </w:rPr>
        <w:t xml:space="preserve"> podpisuje zmluvy. </w:t>
      </w:r>
    </w:p>
    <w:p w14:paraId="26D17CFE" w14:textId="77777777" w:rsidR="00EA56C9" w:rsidRPr="00EA56C9" w:rsidRDefault="00EA56C9" w:rsidP="00A5345D">
      <w:pPr>
        <w:pStyle w:val="Odsekzoznamu"/>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 xml:space="preserve">Zjednocuje a koordinuje činnosť orgánov </w:t>
      </w:r>
      <w:r w:rsidR="00DA7458">
        <w:rPr>
          <w:rFonts w:ascii="Times New Roman" w:hAnsi="Times New Roman" w:cs="Times New Roman"/>
          <w:sz w:val="24"/>
          <w:szCs w:val="24"/>
        </w:rPr>
        <w:t>z</w:t>
      </w:r>
      <w:r w:rsidRPr="00EA56C9">
        <w:rPr>
          <w:rFonts w:ascii="Times New Roman" w:hAnsi="Times New Roman" w:cs="Times New Roman"/>
          <w:sz w:val="24"/>
          <w:szCs w:val="24"/>
        </w:rPr>
        <w:t xml:space="preserve">druženia. Predsedá členskej schôdzi </w:t>
      </w:r>
      <w:r w:rsidR="00DA7458">
        <w:rPr>
          <w:rFonts w:ascii="Times New Roman" w:hAnsi="Times New Roman" w:cs="Times New Roman"/>
          <w:sz w:val="24"/>
          <w:szCs w:val="24"/>
        </w:rPr>
        <w:t>z</w:t>
      </w:r>
      <w:r w:rsidRPr="00EA56C9">
        <w:rPr>
          <w:rFonts w:ascii="Times New Roman" w:hAnsi="Times New Roman" w:cs="Times New Roman"/>
          <w:sz w:val="24"/>
          <w:szCs w:val="24"/>
        </w:rPr>
        <w:t xml:space="preserve">druženia, zvoláva predsedníctvo </w:t>
      </w:r>
      <w:r w:rsidR="00DA7458">
        <w:rPr>
          <w:rFonts w:ascii="Times New Roman" w:hAnsi="Times New Roman" w:cs="Times New Roman"/>
          <w:sz w:val="24"/>
          <w:szCs w:val="24"/>
        </w:rPr>
        <w:t>z</w:t>
      </w:r>
      <w:r w:rsidRPr="00EA56C9">
        <w:rPr>
          <w:rFonts w:ascii="Times New Roman" w:hAnsi="Times New Roman" w:cs="Times New Roman"/>
          <w:sz w:val="24"/>
          <w:szCs w:val="24"/>
        </w:rPr>
        <w:t>druženia a predsedá mu. V prípade neprítomnosti alebo poverenia ho zastupuje podpredseda.</w:t>
      </w:r>
    </w:p>
    <w:p w14:paraId="4DB4E122" w14:textId="77777777" w:rsidR="00EA56C9" w:rsidRPr="00EA56C9" w:rsidRDefault="00EA56C9" w:rsidP="00A5345D">
      <w:pPr>
        <w:pStyle w:val="Odsekzoznamu"/>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 xml:space="preserve">Vo vzťahu k PRV SR 2014 – 2020 predkladá na PPA Protokol o výbere </w:t>
      </w:r>
      <w:r w:rsidR="00DA7458">
        <w:rPr>
          <w:rFonts w:ascii="Times New Roman" w:hAnsi="Times New Roman" w:cs="Times New Roman"/>
          <w:sz w:val="24"/>
          <w:szCs w:val="24"/>
        </w:rPr>
        <w:t>projektových zámerov/ž</w:t>
      </w:r>
      <w:r w:rsidRPr="00EA56C9">
        <w:rPr>
          <w:rFonts w:ascii="Times New Roman" w:hAnsi="Times New Roman" w:cs="Times New Roman"/>
          <w:sz w:val="24"/>
          <w:szCs w:val="24"/>
        </w:rPr>
        <w:t>iadosti o nenávratný finančný  príspevok z PRV SR 2014 – 2020.</w:t>
      </w:r>
    </w:p>
    <w:p w14:paraId="2F2DAC6B" w14:textId="77777777" w:rsidR="00EA56C9" w:rsidRPr="00EA56C9" w:rsidRDefault="00EA56C9" w:rsidP="00A5345D">
      <w:pPr>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 xml:space="preserve">Vo vzťahu k IROP predkladá </w:t>
      </w:r>
      <w:r w:rsidR="00DA7458">
        <w:rPr>
          <w:rFonts w:ascii="Times New Roman" w:hAnsi="Times New Roman" w:cs="Times New Roman"/>
          <w:sz w:val="24"/>
          <w:szCs w:val="24"/>
        </w:rPr>
        <w:t xml:space="preserve">na RO pre IROP </w:t>
      </w:r>
      <w:r w:rsidRPr="00EA56C9">
        <w:rPr>
          <w:rFonts w:ascii="Times New Roman" w:hAnsi="Times New Roman" w:cs="Times New Roman"/>
          <w:sz w:val="24"/>
          <w:szCs w:val="24"/>
        </w:rPr>
        <w:t xml:space="preserve">Protokol o výbere </w:t>
      </w:r>
      <w:r w:rsidR="00DA7458">
        <w:rPr>
          <w:rFonts w:ascii="Times New Roman" w:hAnsi="Times New Roman" w:cs="Times New Roman"/>
          <w:sz w:val="24"/>
          <w:szCs w:val="24"/>
        </w:rPr>
        <w:t>ž</w:t>
      </w:r>
      <w:r w:rsidRPr="00EA56C9">
        <w:rPr>
          <w:rFonts w:ascii="Times New Roman" w:hAnsi="Times New Roman" w:cs="Times New Roman"/>
          <w:sz w:val="24"/>
          <w:szCs w:val="24"/>
        </w:rPr>
        <w:t>iadosti o</w:t>
      </w:r>
      <w:r w:rsidR="00DA7458">
        <w:rPr>
          <w:rFonts w:ascii="Times New Roman" w:hAnsi="Times New Roman" w:cs="Times New Roman"/>
          <w:sz w:val="24"/>
          <w:szCs w:val="24"/>
        </w:rPr>
        <w:t> nenávratný finančný príspevok</w:t>
      </w:r>
      <w:r w:rsidRPr="00EA56C9">
        <w:rPr>
          <w:rFonts w:ascii="Times New Roman" w:hAnsi="Times New Roman" w:cs="Times New Roman"/>
          <w:sz w:val="24"/>
          <w:szCs w:val="24"/>
        </w:rPr>
        <w:t xml:space="preserve"> z IROP.</w:t>
      </w:r>
    </w:p>
    <w:p w14:paraId="063C6143" w14:textId="77777777" w:rsidR="00EA56C9" w:rsidRPr="00EA56C9" w:rsidRDefault="00EA56C9" w:rsidP="00A5345D">
      <w:pPr>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Predsedu volí Členská schôdza KR - MAS z kandidátov navrhnutých Predsedníctvom.</w:t>
      </w:r>
    </w:p>
    <w:p w14:paraId="556BF964" w14:textId="77777777" w:rsidR="00EA56C9" w:rsidRPr="00EA56C9" w:rsidRDefault="00EA56C9" w:rsidP="00A5345D">
      <w:pPr>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Predseda riadi zamestnancov kancelárie združenia.</w:t>
      </w:r>
    </w:p>
    <w:p w14:paraId="2A4B580E" w14:textId="77777777" w:rsidR="00EA56C9" w:rsidRPr="00EA56C9" w:rsidRDefault="00EA56C9" w:rsidP="00A5345D">
      <w:pPr>
        <w:numPr>
          <w:ilvl w:val="0"/>
          <w:numId w:val="41"/>
        </w:numPr>
        <w:spacing w:after="0" w:line="360" w:lineRule="auto"/>
        <w:ind w:left="426" w:hanging="220"/>
        <w:jc w:val="both"/>
        <w:rPr>
          <w:rFonts w:ascii="Times New Roman" w:hAnsi="Times New Roman" w:cs="Times New Roman"/>
          <w:sz w:val="24"/>
          <w:szCs w:val="24"/>
        </w:rPr>
      </w:pPr>
      <w:r w:rsidRPr="00EA56C9">
        <w:rPr>
          <w:rFonts w:ascii="Times New Roman" w:hAnsi="Times New Roman" w:cs="Times New Roman"/>
          <w:sz w:val="24"/>
          <w:szCs w:val="24"/>
        </w:rPr>
        <w:t>Má dispozičné právo.</w:t>
      </w:r>
    </w:p>
    <w:p w14:paraId="277DEC0D" w14:textId="77777777" w:rsidR="00DD720F" w:rsidRPr="00DD720F" w:rsidRDefault="00DD720F" w:rsidP="00DD720F">
      <w:pPr>
        <w:spacing w:after="0" w:line="360" w:lineRule="auto"/>
        <w:jc w:val="both"/>
        <w:rPr>
          <w:rFonts w:ascii="Times New Roman" w:hAnsi="Times New Roman" w:cs="Times New Roman"/>
          <w:sz w:val="24"/>
          <w:szCs w:val="24"/>
        </w:rPr>
      </w:pPr>
      <w:r w:rsidRPr="00DD720F">
        <w:rPr>
          <w:rFonts w:ascii="Times New Roman" w:hAnsi="Times New Roman" w:cs="Times New Roman"/>
          <w:sz w:val="24"/>
          <w:szCs w:val="24"/>
        </w:rPr>
        <w:t>8.</w:t>
      </w:r>
      <w:r w:rsidRPr="00DD720F">
        <w:rPr>
          <w:rFonts w:ascii="Times New Roman" w:hAnsi="Times New Roman" w:cs="Times New Roman"/>
          <w:sz w:val="24"/>
          <w:szCs w:val="24"/>
        </w:rPr>
        <w:tab/>
        <w:t>Schvaľuje harmonogram výziev na predkladanie projektových zámerov/ ŽoNFP/ŽoPr;</w:t>
      </w:r>
    </w:p>
    <w:p w14:paraId="24D575D5" w14:textId="77777777" w:rsidR="00DD720F" w:rsidRPr="00DD720F" w:rsidRDefault="00DD720F" w:rsidP="00DD720F">
      <w:pPr>
        <w:spacing w:after="0" w:line="360" w:lineRule="auto"/>
        <w:jc w:val="both"/>
        <w:rPr>
          <w:rFonts w:ascii="Times New Roman" w:hAnsi="Times New Roman" w:cs="Times New Roman"/>
          <w:sz w:val="24"/>
          <w:szCs w:val="24"/>
        </w:rPr>
      </w:pPr>
      <w:r w:rsidRPr="00DD720F">
        <w:rPr>
          <w:rFonts w:ascii="Times New Roman" w:hAnsi="Times New Roman" w:cs="Times New Roman"/>
          <w:sz w:val="24"/>
          <w:szCs w:val="24"/>
        </w:rPr>
        <w:t>9.</w:t>
      </w:r>
      <w:r w:rsidRPr="00DD720F">
        <w:rPr>
          <w:rFonts w:ascii="Times New Roman" w:hAnsi="Times New Roman" w:cs="Times New Roman"/>
          <w:sz w:val="24"/>
          <w:szCs w:val="24"/>
        </w:rPr>
        <w:tab/>
        <w:t>Schvaľuje výzvu na predkladanie projektových zámerov/ ŽoNFP/ŽoPr;</w:t>
      </w:r>
    </w:p>
    <w:p w14:paraId="2C162E51" w14:textId="77777777" w:rsidR="00387D99" w:rsidRDefault="00DD720F" w:rsidP="00DD720F">
      <w:pPr>
        <w:spacing w:after="0" w:line="360" w:lineRule="auto"/>
        <w:jc w:val="both"/>
        <w:rPr>
          <w:rFonts w:ascii="Times New Roman" w:hAnsi="Times New Roman" w:cs="Times New Roman"/>
          <w:sz w:val="24"/>
          <w:szCs w:val="24"/>
        </w:rPr>
      </w:pPr>
      <w:r w:rsidRPr="00DD720F">
        <w:rPr>
          <w:rFonts w:ascii="Times New Roman" w:hAnsi="Times New Roman" w:cs="Times New Roman"/>
          <w:sz w:val="24"/>
          <w:szCs w:val="24"/>
        </w:rPr>
        <w:t>10.</w:t>
      </w:r>
      <w:r w:rsidRPr="00DD720F">
        <w:rPr>
          <w:rFonts w:ascii="Times New Roman" w:hAnsi="Times New Roman" w:cs="Times New Roman"/>
          <w:sz w:val="24"/>
          <w:szCs w:val="24"/>
        </w:rPr>
        <w:tab/>
        <w:t>Schvaľuje zrušenie/zmenu výzvy na predkladanie projektových zámerov/ŽoNFP/ŽoPr.</w:t>
      </w:r>
    </w:p>
    <w:p w14:paraId="69FBAD45" w14:textId="77777777" w:rsidR="00DD720F" w:rsidRDefault="00DD720F" w:rsidP="00EA56C9">
      <w:pPr>
        <w:spacing w:after="0" w:line="360" w:lineRule="auto"/>
        <w:rPr>
          <w:rFonts w:ascii="Times New Roman" w:hAnsi="Times New Roman" w:cs="Times New Roman"/>
          <w:b/>
          <w:sz w:val="24"/>
          <w:szCs w:val="24"/>
        </w:rPr>
      </w:pPr>
    </w:p>
    <w:p w14:paraId="773313B8" w14:textId="77777777" w:rsidR="00EA56C9" w:rsidRPr="00EA56C9" w:rsidRDefault="00EA56C9" w:rsidP="00EA56C9">
      <w:pPr>
        <w:spacing w:after="0" w:line="360" w:lineRule="auto"/>
        <w:rPr>
          <w:rFonts w:ascii="Times New Roman" w:hAnsi="Times New Roman" w:cs="Times New Roman"/>
          <w:b/>
          <w:sz w:val="24"/>
          <w:szCs w:val="24"/>
        </w:rPr>
      </w:pPr>
      <w:r w:rsidRPr="00EA56C9">
        <w:rPr>
          <w:rFonts w:ascii="Times New Roman" w:hAnsi="Times New Roman" w:cs="Times New Roman"/>
          <w:b/>
          <w:sz w:val="24"/>
          <w:szCs w:val="24"/>
        </w:rPr>
        <w:t>Revízna komisia</w:t>
      </w:r>
    </w:p>
    <w:p w14:paraId="7D886A02" w14:textId="77777777" w:rsidR="00EA56C9" w:rsidRPr="00EA56C9" w:rsidRDefault="00EA56C9" w:rsidP="00A5345D">
      <w:pPr>
        <w:numPr>
          <w:ilvl w:val="0"/>
          <w:numId w:val="42"/>
        </w:numPr>
        <w:tabs>
          <w:tab w:val="clear" w:pos="720"/>
        </w:tabs>
        <w:spacing w:after="0" w:line="360" w:lineRule="auto"/>
        <w:ind w:left="426"/>
        <w:jc w:val="both"/>
        <w:rPr>
          <w:rFonts w:ascii="Times New Roman" w:hAnsi="Times New Roman" w:cs="Times New Roman"/>
          <w:sz w:val="24"/>
          <w:szCs w:val="24"/>
        </w:rPr>
      </w:pPr>
      <w:r w:rsidRPr="00EA56C9">
        <w:rPr>
          <w:rFonts w:ascii="Times New Roman" w:hAnsi="Times New Roman" w:cs="Times New Roman"/>
          <w:sz w:val="24"/>
          <w:szCs w:val="24"/>
        </w:rPr>
        <w:t xml:space="preserve">Revízna komisia je kontrolným orgánom KR - MAS, ktorý za svoju činnosť zodpovedá Členskej schôdzi. </w:t>
      </w:r>
    </w:p>
    <w:p w14:paraId="7557CBC7" w14:textId="77777777" w:rsidR="00EA56C9" w:rsidRPr="00EA56C9" w:rsidRDefault="00EA56C9" w:rsidP="00A5345D">
      <w:pPr>
        <w:numPr>
          <w:ilvl w:val="0"/>
          <w:numId w:val="42"/>
        </w:numPr>
        <w:tabs>
          <w:tab w:val="clear" w:pos="720"/>
        </w:tabs>
        <w:spacing w:after="0" w:line="360" w:lineRule="auto"/>
        <w:ind w:left="426"/>
        <w:jc w:val="both"/>
        <w:rPr>
          <w:rFonts w:ascii="Times New Roman" w:hAnsi="Times New Roman" w:cs="Times New Roman"/>
          <w:sz w:val="24"/>
          <w:szCs w:val="24"/>
        </w:rPr>
      </w:pPr>
      <w:r w:rsidRPr="00EA56C9">
        <w:rPr>
          <w:rFonts w:ascii="Times New Roman" w:hAnsi="Times New Roman" w:cs="Times New Roman"/>
          <w:sz w:val="24"/>
          <w:szCs w:val="24"/>
        </w:rPr>
        <w:t xml:space="preserve">Členská schôdza na návrh predsedníctva KR-MAS volí a odvoláva predsedu a členov kontrolného orgánu na obdobie štyroch rokov. Revízna komisia má troch členov KR-MAS. </w:t>
      </w:r>
    </w:p>
    <w:p w14:paraId="443197A4" w14:textId="77777777" w:rsidR="00EA56C9" w:rsidRPr="00EA56C9" w:rsidRDefault="00DA7458" w:rsidP="00A5345D">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3. </w:t>
      </w:r>
      <w:r w:rsidR="00EA56C9" w:rsidRPr="00EA56C9">
        <w:rPr>
          <w:rFonts w:ascii="Times New Roman" w:hAnsi="Times New Roman" w:cs="Times New Roman"/>
          <w:sz w:val="24"/>
          <w:szCs w:val="24"/>
        </w:rPr>
        <w:t xml:space="preserve">Revízna komisia : </w:t>
      </w:r>
    </w:p>
    <w:p w14:paraId="3D933C47" w14:textId="77777777" w:rsidR="00EA56C9" w:rsidRPr="00EA56C9" w:rsidRDefault="00EA56C9" w:rsidP="00A5345D">
      <w:pPr>
        <w:numPr>
          <w:ilvl w:val="0"/>
          <w:numId w:val="43"/>
        </w:numPr>
        <w:tabs>
          <w:tab w:val="clear" w:pos="1068"/>
          <w:tab w:val="num" w:pos="1276"/>
        </w:tabs>
        <w:spacing w:after="0" w:line="360" w:lineRule="auto"/>
        <w:ind w:left="851"/>
        <w:jc w:val="both"/>
        <w:rPr>
          <w:rFonts w:ascii="Times New Roman" w:hAnsi="Times New Roman" w:cs="Times New Roman"/>
          <w:sz w:val="24"/>
          <w:szCs w:val="24"/>
        </w:rPr>
      </w:pPr>
      <w:r w:rsidRPr="00EA56C9">
        <w:rPr>
          <w:rFonts w:ascii="Times New Roman" w:hAnsi="Times New Roman" w:cs="Times New Roman"/>
          <w:sz w:val="24"/>
          <w:szCs w:val="24"/>
        </w:rPr>
        <w:t xml:space="preserve">kontroluje hospodárenie KR - MAS a predkladá Členskej schôdzi správu o hospodárení KR – MAS, upozorňuje príslušné orgány KR-MAS na nedostatky a navrhuje opatrenie na ich odstránenie. </w:t>
      </w:r>
    </w:p>
    <w:p w14:paraId="547C577E" w14:textId="77777777" w:rsidR="00EA56C9" w:rsidRPr="00EA56C9" w:rsidRDefault="00EA56C9" w:rsidP="00A5345D">
      <w:pPr>
        <w:numPr>
          <w:ilvl w:val="0"/>
          <w:numId w:val="43"/>
        </w:numPr>
        <w:tabs>
          <w:tab w:val="clear" w:pos="1068"/>
          <w:tab w:val="num" w:pos="1276"/>
        </w:tabs>
        <w:spacing w:after="0" w:line="360" w:lineRule="auto"/>
        <w:ind w:left="851"/>
        <w:jc w:val="both"/>
        <w:rPr>
          <w:rFonts w:ascii="Times New Roman" w:hAnsi="Times New Roman" w:cs="Times New Roman"/>
          <w:sz w:val="24"/>
          <w:szCs w:val="24"/>
        </w:rPr>
      </w:pPr>
      <w:r w:rsidRPr="00EA56C9">
        <w:rPr>
          <w:rFonts w:ascii="Times New Roman" w:hAnsi="Times New Roman" w:cs="Times New Roman"/>
          <w:sz w:val="24"/>
          <w:szCs w:val="24"/>
        </w:rPr>
        <w:t xml:space="preserve">kontroluje dodržiavanie stanov a vnútorných predpisov KR - MAS </w:t>
      </w:r>
    </w:p>
    <w:p w14:paraId="41356599" w14:textId="77777777" w:rsidR="00EA56C9" w:rsidRPr="00EA56C9" w:rsidRDefault="00EA56C9" w:rsidP="00A5345D">
      <w:pPr>
        <w:numPr>
          <w:ilvl w:val="0"/>
          <w:numId w:val="43"/>
        </w:numPr>
        <w:tabs>
          <w:tab w:val="clear" w:pos="1068"/>
          <w:tab w:val="num" w:pos="1276"/>
        </w:tabs>
        <w:spacing w:after="0" w:line="360" w:lineRule="auto"/>
        <w:ind w:left="851"/>
        <w:jc w:val="both"/>
        <w:rPr>
          <w:rFonts w:ascii="Times New Roman" w:hAnsi="Times New Roman" w:cs="Times New Roman"/>
          <w:sz w:val="24"/>
          <w:szCs w:val="24"/>
        </w:rPr>
      </w:pPr>
      <w:r w:rsidRPr="00EA56C9">
        <w:rPr>
          <w:rFonts w:ascii="Times New Roman" w:hAnsi="Times New Roman" w:cs="Times New Roman"/>
          <w:sz w:val="24"/>
          <w:szCs w:val="24"/>
        </w:rPr>
        <w:lastRenderedPageBreak/>
        <w:t>v prípade sporu medzi orgánmi KR - MAS a jeho členmi plní funkciu rozhodovacieho orgánu, ak nie je sám spornou stranou,</w:t>
      </w:r>
    </w:p>
    <w:p w14:paraId="38877CD8" w14:textId="77777777" w:rsidR="00EA56C9" w:rsidRPr="00EA56C9" w:rsidRDefault="00EA56C9" w:rsidP="00A5345D">
      <w:pPr>
        <w:numPr>
          <w:ilvl w:val="0"/>
          <w:numId w:val="43"/>
        </w:numPr>
        <w:tabs>
          <w:tab w:val="clear" w:pos="1068"/>
          <w:tab w:val="num" w:pos="1276"/>
        </w:tabs>
        <w:spacing w:after="0" w:line="360" w:lineRule="auto"/>
        <w:ind w:left="851"/>
        <w:jc w:val="both"/>
        <w:rPr>
          <w:rFonts w:ascii="Times New Roman" w:hAnsi="Times New Roman" w:cs="Times New Roman"/>
          <w:sz w:val="24"/>
          <w:szCs w:val="24"/>
        </w:rPr>
      </w:pPr>
      <w:r w:rsidRPr="00EA56C9">
        <w:rPr>
          <w:rFonts w:ascii="Times New Roman" w:hAnsi="Times New Roman" w:cs="Times New Roman"/>
          <w:sz w:val="24"/>
          <w:szCs w:val="24"/>
        </w:rPr>
        <w:t>členstvo v revíznej komisii je nezlučiteľné s členstvom v orgánoch združenia, okrem členstva v  člensk</w:t>
      </w:r>
      <w:r w:rsidR="00DA7458">
        <w:rPr>
          <w:rFonts w:ascii="Times New Roman" w:hAnsi="Times New Roman" w:cs="Times New Roman"/>
          <w:sz w:val="24"/>
          <w:szCs w:val="24"/>
        </w:rPr>
        <w:t>ej</w:t>
      </w:r>
      <w:r w:rsidRPr="00EA56C9">
        <w:rPr>
          <w:rFonts w:ascii="Times New Roman" w:hAnsi="Times New Roman" w:cs="Times New Roman"/>
          <w:sz w:val="24"/>
          <w:szCs w:val="24"/>
        </w:rPr>
        <w:t xml:space="preserve"> schôdz</w:t>
      </w:r>
      <w:r w:rsidR="00DA7458">
        <w:rPr>
          <w:rFonts w:ascii="Times New Roman" w:hAnsi="Times New Roman" w:cs="Times New Roman"/>
          <w:sz w:val="24"/>
          <w:szCs w:val="24"/>
        </w:rPr>
        <w:t>i</w:t>
      </w:r>
      <w:r w:rsidRPr="00EA56C9">
        <w:rPr>
          <w:rFonts w:ascii="Times New Roman" w:hAnsi="Times New Roman" w:cs="Times New Roman"/>
          <w:sz w:val="24"/>
          <w:szCs w:val="24"/>
        </w:rPr>
        <w:t>,</w:t>
      </w:r>
    </w:p>
    <w:p w14:paraId="40CD3147" w14:textId="77777777" w:rsidR="00EA56C9" w:rsidRPr="00EA56C9" w:rsidRDefault="00EA56C9" w:rsidP="00A5345D">
      <w:pPr>
        <w:numPr>
          <w:ilvl w:val="0"/>
          <w:numId w:val="43"/>
        </w:numPr>
        <w:tabs>
          <w:tab w:val="clear" w:pos="1068"/>
          <w:tab w:val="num" w:pos="1276"/>
        </w:tabs>
        <w:spacing w:after="0" w:line="360" w:lineRule="auto"/>
        <w:ind w:left="851"/>
        <w:jc w:val="both"/>
        <w:rPr>
          <w:rFonts w:ascii="Times New Roman" w:hAnsi="Times New Roman" w:cs="Times New Roman"/>
          <w:sz w:val="24"/>
          <w:szCs w:val="24"/>
        </w:rPr>
      </w:pPr>
      <w:r w:rsidRPr="00EA56C9">
        <w:rPr>
          <w:rFonts w:ascii="Times New Roman" w:hAnsi="Times New Roman" w:cs="Times New Roman"/>
          <w:sz w:val="24"/>
          <w:szCs w:val="24"/>
        </w:rPr>
        <w:t>členovia Revíznej komisie majú právo zúčastniť sa zasadnutí Predsedníctva.</w:t>
      </w:r>
    </w:p>
    <w:p w14:paraId="1AE83D39" w14:textId="77777777" w:rsidR="00EA56C9" w:rsidRDefault="00DA7458" w:rsidP="00DA745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00EA56C9" w:rsidRPr="00EA56C9">
        <w:rPr>
          <w:rFonts w:ascii="Times New Roman" w:hAnsi="Times New Roman" w:cs="Times New Roman"/>
          <w:sz w:val="24"/>
          <w:szCs w:val="24"/>
        </w:rPr>
        <w:t>Revízna komisia má troch členov volených Členskou schôdzou. Jej činnosť organizuje zvolený predseda.</w:t>
      </w:r>
    </w:p>
    <w:p w14:paraId="5A8171AC" w14:textId="77777777" w:rsidR="00DA7458" w:rsidRDefault="00DA7458" w:rsidP="00DA745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5. Členom revíznej komisie nemôže byť člen predsedníctva a výberovej komisie.</w:t>
      </w:r>
    </w:p>
    <w:p w14:paraId="32F2B5A4" w14:textId="77777777" w:rsidR="00A5345D" w:rsidRPr="00D85C5C" w:rsidRDefault="00A5345D" w:rsidP="00D85C5C">
      <w:pPr>
        <w:spacing w:after="0" w:line="360" w:lineRule="auto"/>
        <w:ind w:left="66"/>
        <w:jc w:val="both"/>
        <w:rPr>
          <w:rFonts w:ascii="Times New Roman" w:hAnsi="Times New Roman" w:cs="Times New Roman"/>
          <w:b/>
          <w:color w:val="000000" w:themeColor="text1"/>
          <w:sz w:val="24"/>
          <w:szCs w:val="24"/>
        </w:rPr>
      </w:pPr>
      <w:r w:rsidRPr="00D85C5C">
        <w:rPr>
          <w:rFonts w:ascii="Times New Roman" w:hAnsi="Times New Roman" w:cs="Times New Roman"/>
          <w:color w:val="000000" w:themeColor="text1"/>
          <w:sz w:val="24"/>
          <w:szCs w:val="24"/>
        </w:rPr>
        <w:t>V súčasnosti je v</w:t>
      </w:r>
      <w:r w:rsidR="00D85C5C" w:rsidRPr="00D85C5C">
        <w:rPr>
          <w:rFonts w:ascii="Times New Roman" w:hAnsi="Times New Roman" w:cs="Times New Roman"/>
          <w:color w:val="000000" w:themeColor="text1"/>
          <w:sz w:val="24"/>
          <w:szCs w:val="24"/>
        </w:rPr>
        <w:t> Revíznej komisii</w:t>
      </w:r>
      <w:r w:rsidRPr="00D85C5C">
        <w:rPr>
          <w:rFonts w:ascii="Times New Roman" w:hAnsi="Times New Roman" w:cs="Times New Roman"/>
          <w:color w:val="000000" w:themeColor="text1"/>
          <w:sz w:val="24"/>
          <w:szCs w:val="24"/>
        </w:rPr>
        <w:t xml:space="preserve"> </w:t>
      </w:r>
      <w:r w:rsidR="00D85C5C" w:rsidRPr="00D85C5C">
        <w:rPr>
          <w:rFonts w:ascii="Times New Roman" w:hAnsi="Times New Roman" w:cs="Times New Roman"/>
          <w:color w:val="000000" w:themeColor="text1"/>
          <w:sz w:val="24"/>
          <w:szCs w:val="24"/>
        </w:rPr>
        <w:t xml:space="preserve">KR – MAS </w:t>
      </w:r>
      <w:r w:rsidRPr="00D85C5C">
        <w:rPr>
          <w:rFonts w:ascii="Times New Roman" w:hAnsi="Times New Roman" w:cs="Times New Roman"/>
          <w:color w:val="000000" w:themeColor="text1"/>
          <w:sz w:val="24"/>
          <w:szCs w:val="24"/>
        </w:rPr>
        <w:t xml:space="preserve">zastúpených celkovo </w:t>
      </w:r>
      <w:r w:rsidRPr="00D85C5C">
        <w:rPr>
          <w:rFonts w:ascii="Times New Roman" w:hAnsi="Times New Roman" w:cs="Times New Roman"/>
          <w:b/>
          <w:color w:val="000000" w:themeColor="text1"/>
          <w:sz w:val="24"/>
          <w:szCs w:val="24"/>
        </w:rPr>
        <w:t>33,33 % verejného</w:t>
      </w:r>
      <w:r w:rsidRPr="00D85C5C">
        <w:rPr>
          <w:rFonts w:ascii="Times New Roman" w:hAnsi="Times New Roman" w:cs="Times New Roman"/>
          <w:color w:val="000000" w:themeColor="text1"/>
          <w:sz w:val="24"/>
          <w:szCs w:val="24"/>
        </w:rPr>
        <w:t xml:space="preserve"> </w:t>
      </w:r>
      <w:r w:rsidRPr="00D85C5C">
        <w:rPr>
          <w:rFonts w:ascii="Times New Roman" w:hAnsi="Times New Roman" w:cs="Times New Roman"/>
          <w:b/>
          <w:color w:val="000000" w:themeColor="text1"/>
          <w:sz w:val="24"/>
          <w:szCs w:val="24"/>
        </w:rPr>
        <w:t>(1 zástupkyňa obce)</w:t>
      </w:r>
      <w:r w:rsidRPr="00D85C5C">
        <w:rPr>
          <w:rFonts w:ascii="Times New Roman" w:hAnsi="Times New Roman" w:cs="Times New Roman"/>
          <w:color w:val="000000" w:themeColor="text1"/>
          <w:sz w:val="24"/>
          <w:szCs w:val="24"/>
        </w:rPr>
        <w:t xml:space="preserve"> a </w:t>
      </w:r>
      <w:r w:rsidRPr="00D85C5C">
        <w:rPr>
          <w:rFonts w:ascii="Times New Roman" w:hAnsi="Times New Roman" w:cs="Times New Roman"/>
          <w:b/>
          <w:color w:val="000000" w:themeColor="text1"/>
          <w:sz w:val="24"/>
          <w:szCs w:val="24"/>
        </w:rPr>
        <w:t xml:space="preserve">66,33 % súkromného (1 subjekt) a občianskeho </w:t>
      </w:r>
      <w:r w:rsidR="00777128" w:rsidRPr="00D85C5C">
        <w:rPr>
          <w:rFonts w:ascii="Times New Roman" w:hAnsi="Times New Roman" w:cs="Times New Roman"/>
          <w:b/>
          <w:sz w:val="24"/>
          <w:szCs w:val="24"/>
        </w:rPr>
        <w:t>sektora</w:t>
      </w:r>
      <w:r w:rsidR="00777128" w:rsidRPr="00D85C5C">
        <w:rPr>
          <w:rFonts w:ascii="Times New Roman" w:hAnsi="Times New Roman" w:cs="Times New Roman"/>
          <w:b/>
          <w:color w:val="000000" w:themeColor="text1"/>
          <w:sz w:val="24"/>
          <w:szCs w:val="24"/>
        </w:rPr>
        <w:t xml:space="preserve"> </w:t>
      </w:r>
      <w:r w:rsidRPr="00D85C5C">
        <w:rPr>
          <w:rFonts w:ascii="Times New Roman" w:hAnsi="Times New Roman" w:cs="Times New Roman"/>
          <w:b/>
          <w:color w:val="000000" w:themeColor="text1"/>
          <w:sz w:val="24"/>
          <w:szCs w:val="24"/>
        </w:rPr>
        <w:t xml:space="preserve">(1 </w:t>
      </w:r>
      <w:r w:rsidR="00D85C5C" w:rsidRPr="00D85C5C">
        <w:rPr>
          <w:rFonts w:ascii="Times New Roman" w:hAnsi="Times New Roman" w:cs="Times New Roman"/>
          <w:b/>
          <w:color w:val="000000" w:themeColor="text1"/>
          <w:sz w:val="24"/>
          <w:szCs w:val="24"/>
        </w:rPr>
        <w:t>zástupca neziskovej organizácie</w:t>
      </w:r>
      <w:r w:rsidRPr="00D85C5C">
        <w:rPr>
          <w:rFonts w:ascii="Times New Roman" w:hAnsi="Times New Roman" w:cs="Times New Roman"/>
          <w:b/>
          <w:color w:val="000000" w:themeColor="text1"/>
          <w:sz w:val="24"/>
          <w:szCs w:val="24"/>
        </w:rPr>
        <w:t>).</w:t>
      </w:r>
    </w:p>
    <w:p w14:paraId="242F2C79" w14:textId="77777777" w:rsidR="00EA56C9" w:rsidRDefault="00EA56C9" w:rsidP="00387D99">
      <w:pPr>
        <w:spacing w:after="0" w:line="360" w:lineRule="auto"/>
        <w:jc w:val="both"/>
        <w:rPr>
          <w:rFonts w:ascii="Times New Roman" w:hAnsi="Times New Roman" w:cs="Times New Roman"/>
          <w:b/>
          <w:sz w:val="24"/>
          <w:szCs w:val="24"/>
        </w:rPr>
      </w:pPr>
    </w:p>
    <w:p w14:paraId="40C9D3E8" w14:textId="77777777" w:rsidR="00B237F3" w:rsidRPr="00B237F3" w:rsidRDefault="00B237F3" w:rsidP="00387D99">
      <w:pPr>
        <w:spacing w:after="0" w:line="360" w:lineRule="auto"/>
        <w:jc w:val="both"/>
        <w:rPr>
          <w:rFonts w:ascii="Times New Roman" w:hAnsi="Times New Roman" w:cs="Times New Roman"/>
          <w:b/>
          <w:sz w:val="24"/>
          <w:szCs w:val="24"/>
        </w:rPr>
      </w:pPr>
      <w:r w:rsidRPr="00B237F3">
        <w:rPr>
          <w:rFonts w:ascii="Times New Roman" w:hAnsi="Times New Roman" w:cs="Times New Roman"/>
          <w:b/>
          <w:sz w:val="24"/>
          <w:szCs w:val="24"/>
        </w:rPr>
        <w:t>Výberová komisia</w:t>
      </w:r>
    </w:p>
    <w:p w14:paraId="19D33CBB" w14:textId="77777777" w:rsidR="00203B59" w:rsidRDefault="00B237F3" w:rsidP="00D85C5C">
      <w:pPr>
        <w:numPr>
          <w:ilvl w:val="0"/>
          <w:numId w:val="39"/>
        </w:numPr>
        <w:spacing w:after="0" w:line="360" w:lineRule="auto"/>
        <w:ind w:left="426" w:hanging="357"/>
        <w:jc w:val="both"/>
        <w:rPr>
          <w:rFonts w:ascii="Times New Roman" w:hAnsi="Times New Roman" w:cs="Times New Roman"/>
          <w:sz w:val="24"/>
          <w:szCs w:val="24"/>
        </w:rPr>
      </w:pPr>
      <w:r w:rsidRPr="00B237F3">
        <w:rPr>
          <w:rFonts w:ascii="Times New Roman" w:hAnsi="Times New Roman" w:cs="Times New Roman"/>
          <w:sz w:val="24"/>
          <w:szCs w:val="24"/>
        </w:rPr>
        <w:t xml:space="preserve">Výberová komisia je orgánom KR-MAS, ktorý </w:t>
      </w:r>
      <w:r w:rsidR="00203B59">
        <w:rPr>
          <w:rFonts w:ascii="Times New Roman" w:hAnsi="Times New Roman" w:cs="Times New Roman"/>
          <w:sz w:val="24"/>
          <w:szCs w:val="24"/>
        </w:rPr>
        <w:t>vykonáva výber ŽoNFP podľa poradia ich prínosu k plneniu cieľov a zámerov</w:t>
      </w:r>
      <w:r w:rsidRPr="00B237F3">
        <w:rPr>
          <w:rFonts w:ascii="Times New Roman" w:hAnsi="Times New Roman" w:cs="Times New Roman"/>
          <w:sz w:val="24"/>
          <w:szCs w:val="24"/>
        </w:rPr>
        <w:t xml:space="preserve"> stratégi</w:t>
      </w:r>
      <w:r w:rsidR="00203B59">
        <w:rPr>
          <w:rFonts w:ascii="Times New Roman" w:hAnsi="Times New Roman" w:cs="Times New Roman"/>
          <w:sz w:val="24"/>
          <w:szCs w:val="24"/>
        </w:rPr>
        <w:t>u</w:t>
      </w:r>
      <w:r w:rsidRPr="00B237F3">
        <w:rPr>
          <w:rFonts w:ascii="Times New Roman" w:hAnsi="Times New Roman" w:cs="Times New Roman"/>
          <w:sz w:val="24"/>
          <w:szCs w:val="24"/>
        </w:rPr>
        <w:t xml:space="preserve"> CLLD a </w:t>
      </w:r>
      <w:r w:rsidR="00203B59">
        <w:rPr>
          <w:rFonts w:ascii="Times New Roman" w:hAnsi="Times New Roman" w:cs="Times New Roman"/>
          <w:sz w:val="24"/>
          <w:szCs w:val="24"/>
        </w:rPr>
        <w:t xml:space="preserve"> ustanovuje výšku podpory</w:t>
      </w:r>
    </w:p>
    <w:p w14:paraId="57CD966B" w14:textId="77777777" w:rsidR="00203B59" w:rsidRPr="00203B59" w:rsidRDefault="00203B59" w:rsidP="00203B59">
      <w:pPr>
        <w:pStyle w:val="Odsekzoznamu"/>
        <w:numPr>
          <w:ilvl w:val="0"/>
          <w:numId w:val="39"/>
        </w:numPr>
        <w:spacing w:after="0" w:line="360" w:lineRule="auto"/>
        <w:jc w:val="both"/>
        <w:rPr>
          <w:rFonts w:ascii="Times New Roman" w:hAnsi="Times New Roman" w:cs="Times New Roman"/>
          <w:sz w:val="24"/>
          <w:szCs w:val="24"/>
        </w:rPr>
      </w:pPr>
      <w:r w:rsidRPr="00203B59">
        <w:rPr>
          <w:rFonts w:ascii="Times New Roman" w:hAnsi="Times New Roman" w:cs="Times New Roman"/>
          <w:sz w:val="24"/>
          <w:szCs w:val="24"/>
        </w:rPr>
        <w:t>Výberová komisia vykonáva nasledovné činnosti:</w:t>
      </w:r>
    </w:p>
    <w:p w14:paraId="05106177" w14:textId="68296E02" w:rsidR="00203B59" w:rsidRPr="00203B59" w:rsidRDefault="00203B59" w:rsidP="00D03D32">
      <w:pPr>
        <w:spacing w:after="0" w:line="360" w:lineRule="auto"/>
        <w:ind w:left="1134" w:hanging="283"/>
        <w:jc w:val="both"/>
        <w:rPr>
          <w:rFonts w:ascii="Times New Roman" w:hAnsi="Times New Roman" w:cs="Times New Roman"/>
          <w:sz w:val="24"/>
          <w:szCs w:val="24"/>
        </w:rPr>
      </w:pPr>
      <w:r w:rsidRPr="00203B59">
        <w:rPr>
          <w:rFonts w:ascii="Times New Roman" w:hAnsi="Times New Roman" w:cs="Times New Roman"/>
          <w:sz w:val="24"/>
          <w:szCs w:val="24"/>
        </w:rPr>
        <w:t>a) zabezpečuje proces posúdenia projektových zámerov (ak relevantné)/</w:t>
      </w:r>
      <w:r w:rsidR="00D03D32" w:rsidRPr="00D03D32">
        <w:t xml:space="preserve"> </w:t>
      </w:r>
      <w:r w:rsidR="00D03D32" w:rsidRPr="00D03D32">
        <w:rPr>
          <w:rFonts w:ascii="Times New Roman" w:hAnsi="Times New Roman" w:cs="Times New Roman"/>
          <w:sz w:val="24"/>
          <w:szCs w:val="24"/>
        </w:rPr>
        <w:t>odborného</w:t>
      </w:r>
      <w:r w:rsidR="00D03D32">
        <w:rPr>
          <w:rFonts w:ascii="Times New Roman" w:hAnsi="Times New Roman" w:cs="Times New Roman"/>
          <w:sz w:val="24"/>
          <w:szCs w:val="24"/>
        </w:rPr>
        <w:t xml:space="preserve"> </w:t>
      </w:r>
      <w:r w:rsidRPr="00203B59">
        <w:rPr>
          <w:rFonts w:ascii="Times New Roman" w:hAnsi="Times New Roman" w:cs="Times New Roman"/>
          <w:sz w:val="24"/>
          <w:szCs w:val="24"/>
        </w:rPr>
        <w:t>hodnotenia ŽoNFP/,</w:t>
      </w:r>
    </w:p>
    <w:p w14:paraId="6077B67E" w14:textId="77777777" w:rsidR="00203B59" w:rsidRPr="00203B59" w:rsidRDefault="00203B59" w:rsidP="00203B59">
      <w:pPr>
        <w:spacing w:after="0" w:line="360" w:lineRule="auto"/>
        <w:ind w:left="1276" w:hanging="425"/>
        <w:jc w:val="both"/>
        <w:rPr>
          <w:rFonts w:ascii="Times New Roman" w:hAnsi="Times New Roman" w:cs="Times New Roman"/>
          <w:sz w:val="24"/>
          <w:szCs w:val="24"/>
        </w:rPr>
      </w:pPr>
      <w:r w:rsidRPr="00203B59">
        <w:rPr>
          <w:rFonts w:ascii="Times New Roman" w:hAnsi="Times New Roman" w:cs="Times New Roman"/>
          <w:sz w:val="24"/>
          <w:szCs w:val="24"/>
        </w:rPr>
        <w:t>b)  posudzuje splnenie podmienok poskytnutia príspevku určených vo výzve,</w:t>
      </w:r>
    </w:p>
    <w:p w14:paraId="6BA0FCAD" w14:textId="77777777" w:rsidR="00D03D32" w:rsidRDefault="00203B59" w:rsidP="00203B59">
      <w:pPr>
        <w:spacing w:after="0" w:line="360" w:lineRule="auto"/>
        <w:ind w:left="1276" w:hanging="425"/>
        <w:jc w:val="both"/>
        <w:rPr>
          <w:rFonts w:ascii="Times New Roman" w:hAnsi="Times New Roman" w:cs="Times New Roman"/>
          <w:sz w:val="24"/>
          <w:szCs w:val="24"/>
        </w:rPr>
      </w:pPr>
      <w:r w:rsidRPr="00203B59">
        <w:rPr>
          <w:rFonts w:ascii="Times New Roman" w:hAnsi="Times New Roman" w:cs="Times New Roman"/>
          <w:sz w:val="24"/>
          <w:szCs w:val="24"/>
        </w:rPr>
        <w:t>c) prideľuje body jednotlivým projektovým zámerom (ak relevantné)</w:t>
      </w:r>
    </w:p>
    <w:p w14:paraId="1A0A712F" w14:textId="5E9953AC" w:rsidR="00203B59" w:rsidRPr="00203B59" w:rsidRDefault="00D03D32" w:rsidP="00D03D32">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 </w:t>
      </w:r>
      <w:r w:rsidRPr="00D03D32">
        <w:rPr>
          <w:rFonts w:ascii="Times New Roman" w:hAnsi="Times New Roman" w:cs="Times New Roman"/>
          <w:sz w:val="24"/>
          <w:szCs w:val="24"/>
        </w:rPr>
        <w:t>stanoví  poradie  ŽoNFP  od  najvyššie  umiestnenej  ŽoNFP  spĺňajúcej  všetky  podmienky poskytnutia  príspevku  po  najnižšie  umiestnenú  ŽoN</w:t>
      </w:r>
      <w:r>
        <w:rPr>
          <w:rFonts w:ascii="Times New Roman" w:hAnsi="Times New Roman" w:cs="Times New Roman"/>
          <w:sz w:val="24"/>
          <w:szCs w:val="24"/>
        </w:rPr>
        <w:t xml:space="preserve">FP spĺňajúcu  všetky  podmienky </w:t>
      </w:r>
      <w:r w:rsidRPr="00D03D32">
        <w:rPr>
          <w:rFonts w:ascii="Times New Roman" w:hAnsi="Times New Roman" w:cs="Times New Roman"/>
          <w:sz w:val="24"/>
          <w:szCs w:val="24"/>
        </w:rPr>
        <w:t>poskytnutia  príspevku  prostredníctvom  ITMS2014+  (ak relevantné)  a to</w:t>
      </w:r>
      <w:r w:rsidR="00203B59" w:rsidRPr="00203B59">
        <w:rPr>
          <w:rFonts w:ascii="Times New Roman" w:hAnsi="Times New Roman" w:cs="Times New Roman"/>
          <w:sz w:val="24"/>
          <w:szCs w:val="24"/>
        </w:rPr>
        <w:t xml:space="preserve"> na základe výsledkov odborného hodnotenia</w:t>
      </w:r>
    </w:p>
    <w:p w14:paraId="1DA4E720" w14:textId="1E05793A" w:rsidR="00203B59" w:rsidRPr="00203B59" w:rsidRDefault="00D03D32" w:rsidP="00203B59">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e</w:t>
      </w:r>
      <w:r w:rsidR="00203B59" w:rsidRPr="00203B59">
        <w:rPr>
          <w:rFonts w:ascii="Times New Roman" w:hAnsi="Times New Roman" w:cs="Times New Roman"/>
          <w:sz w:val="24"/>
          <w:szCs w:val="24"/>
        </w:rPr>
        <w:t>) vykoná výber projektových zámerov (ak relevantné)/ŽoNFPr berúc do úvahy ustanovenia kapitoly 9.6.1 a 9.6.2 Systému riadenia CLLD,</w:t>
      </w:r>
    </w:p>
    <w:p w14:paraId="5A43824D" w14:textId="031AF921" w:rsidR="00203B59" w:rsidRPr="00203B59" w:rsidRDefault="00CA73CA" w:rsidP="00CA73CA">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f</w:t>
      </w:r>
      <w:r w:rsidR="00203B59" w:rsidRPr="00203B59">
        <w:rPr>
          <w:rFonts w:ascii="Times New Roman" w:hAnsi="Times New Roman" w:cs="Times New Roman"/>
          <w:sz w:val="24"/>
          <w:szCs w:val="24"/>
        </w:rPr>
        <w:t xml:space="preserve">) </w:t>
      </w:r>
      <w:r w:rsidRPr="00CA73CA">
        <w:rPr>
          <w:rFonts w:ascii="Times New Roman" w:hAnsi="Times New Roman" w:cs="Times New Roman"/>
          <w:sz w:val="24"/>
          <w:szCs w:val="24"/>
        </w:rPr>
        <w:t>navrhne  PPA   pre  jednotlivé  ŽoNFP  vydanie  prísluš</w:t>
      </w:r>
      <w:r>
        <w:rPr>
          <w:rFonts w:ascii="Times New Roman" w:hAnsi="Times New Roman" w:cs="Times New Roman"/>
          <w:sz w:val="24"/>
          <w:szCs w:val="24"/>
        </w:rPr>
        <w:t xml:space="preserve">ného  rozhodnutia  (rozhodnutie </w:t>
      </w:r>
      <w:r w:rsidRPr="00CA73CA">
        <w:rPr>
          <w:rFonts w:ascii="Times New Roman" w:hAnsi="Times New Roman" w:cs="Times New Roman"/>
          <w:sz w:val="24"/>
          <w:szCs w:val="24"/>
        </w:rPr>
        <w:t>o schválení/neschválení  ŽoNFP,  rozhodnutie  o  zastavení  konania)  podľa  zákona o príspevku z EŠIF</w:t>
      </w:r>
      <w:r w:rsidR="00203B59" w:rsidRPr="00203B59">
        <w:rPr>
          <w:rFonts w:ascii="Times New Roman" w:hAnsi="Times New Roman" w:cs="Times New Roman"/>
          <w:sz w:val="24"/>
          <w:szCs w:val="24"/>
        </w:rPr>
        <w:t>,</w:t>
      </w:r>
    </w:p>
    <w:p w14:paraId="4855A7F9" w14:textId="0C8383FC" w:rsidR="00203B59" w:rsidRPr="00203B59" w:rsidRDefault="00CA73CA" w:rsidP="00203B59">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g</w:t>
      </w:r>
      <w:r w:rsidR="00203B59" w:rsidRPr="00203B59">
        <w:rPr>
          <w:rFonts w:ascii="Times New Roman" w:hAnsi="Times New Roman" w:cs="Times New Roman"/>
          <w:sz w:val="24"/>
          <w:szCs w:val="24"/>
        </w:rPr>
        <w:t>) schvaľuje/odporúča, resp. neschvaľuje/neodporúča vydanie hodnotiacej správy pre projektové zámer (ak relevantné),</w:t>
      </w:r>
    </w:p>
    <w:p w14:paraId="1919CF9B" w14:textId="2C6B20D5" w:rsidR="00F14498" w:rsidRPr="00F14498" w:rsidRDefault="00CA73CA" w:rsidP="00F14498">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i</w:t>
      </w:r>
      <w:r w:rsidR="00203B59" w:rsidRPr="00203B59">
        <w:rPr>
          <w:rFonts w:ascii="Times New Roman" w:hAnsi="Times New Roman" w:cs="Times New Roman"/>
          <w:sz w:val="24"/>
          <w:szCs w:val="24"/>
        </w:rPr>
        <w:t xml:space="preserve">) </w:t>
      </w:r>
      <w:r w:rsidR="00F14498" w:rsidRPr="00F14498">
        <w:rPr>
          <w:rFonts w:ascii="Times New Roman" w:hAnsi="Times New Roman" w:cs="Times New Roman"/>
          <w:sz w:val="24"/>
          <w:szCs w:val="24"/>
        </w:rPr>
        <w:t xml:space="preserve">vypracuje  záverečnú  správu  výzvy  projektového  zámeru/ŽoNFP  v rámci  PRV  SR </w:t>
      </w:r>
    </w:p>
    <w:p w14:paraId="0E3E201D" w14:textId="24D74D65" w:rsidR="00203B59" w:rsidRPr="00203B59" w:rsidRDefault="00F14498" w:rsidP="00F14498">
      <w:pPr>
        <w:spacing w:after="0" w:line="360" w:lineRule="auto"/>
        <w:ind w:left="1276" w:hanging="425"/>
        <w:jc w:val="both"/>
        <w:rPr>
          <w:rFonts w:ascii="Times New Roman" w:hAnsi="Times New Roman" w:cs="Times New Roman"/>
          <w:sz w:val="24"/>
          <w:szCs w:val="24"/>
        </w:rPr>
      </w:pPr>
      <w:r w:rsidRPr="00F14498">
        <w:rPr>
          <w:rFonts w:ascii="Times New Roman" w:hAnsi="Times New Roman" w:cs="Times New Roman"/>
          <w:sz w:val="24"/>
          <w:szCs w:val="24"/>
        </w:rPr>
        <w:t>2014 – 2020</w:t>
      </w:r>
      <w:r w:rsidR="00203B59" w:rsidRPr="00203B59">
        <w:rPr>
          <w:rFonts w:ascii="Times New Roman" w:hAnsi="Times New Roman" w:cs="Times New Roman"/>
          <w:sz w:val="24"/>
          <w:szCs w:val="24"/>
        </w:rPr>
        <w:t>,</w:t>
      </w:r>
    </w:p>
    <w:p w14:paraId="0062B1DC" w14:textId="72C0D023" w:rsidR="00203B59" w:rsidRPr="00203B59" w:rsidRDefault="00CA73CA" w:rsidP="00203B59">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j</w:t>
      </w:r>
      <w:r w:rsidR="00203B59" w:rsidRPr="00203B59">
        <w:rPr>
          <w:rFonts w:ascii="Times New Roman" w:hAnsi="Times New Roman" w:cs="Times New Roman"/>
          <w:sz w:val="24"/>
          <w:szCs w:val="24"/>
        </w:rPr>
        <w:t>) vypracuje návrh hodnotiacej správy pre projektové zámery (ak relevantné),</w:t>
      </w:r>
    </w:p>
    <w:p w14:paraId="654DF6AC" w14:textId="69FDD49C" w:rsidR="00B237F3" w:rsidRPr="00B237F3" w:rsidRDefault="00CA73CA" w:rsidP="00203B59">
      <w:p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k</w:t>
      </w:r>
      <w:r w:rsidR="00203B59" w:rsidRPr="00203B59">
        <w:rPr>
          <w:rFonts w:ascii="Times New Roman" w:hAnsi="Times New Roman" w:cs="Times New Roman"/>
          <w:sz w:val="24"/>
          <w:szCs w:val="24"/>
        </w:rPr>
        <w:t>) stanovuje výšku podpor</w:t>
      </w:r>
      <w:r w:rsidR="00203B59">
        <w:rPr>
          <w:rFonts w:ascii="Times New Roman" w:hAnsi="Times New Roman" w:cs="Times New Roman"/>
          <w:sz w:val="24"/>
          <w:szCs w:val="24"/>
        </w:rPr>
        <w:t>y NFP pre jednotlivé ŽoNFP/ŽoPr.</w:t>
      </w:r>
    </w:p>
    <w:p w14:paraId="7AFD15B3" w14:textId="77777777" w:rsidR="00203B59" w:rsidRPr="00B237F3" w:rsidRDefault="00203B59" w:rsidP="00203B59">
      <w:pPr>
        <w:numPr>
          <w:ilvl w:val="0"/>
          <w:numId w:val="39"/>
        </w:numPr>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Výberová komisia pri každom hlasovaní o výbere projektov musí dodržiavať podmienku minimálne 50% hlasov rozhodnutí o výbere projektov patrí partnerom, ktorí nie sú orgánmi verejnej správy.</w:t>
      </w:r>
    </w:p>
    <w:p w14:paraId="5A366DDC" w14:textId="77777777" w:rsidR="00B237F3" w:rsidRPr="00B237F3" w:rsidRDefault="00B237F3" w:rsidP="00203B59">
      <w:pPr>
        <w:numPr>
          <w:ilvl w:val="0"/>
          <w:numId w:val="39"/>
        </w:numPr>
        <w:spacing w:after="0" w:line="360" w:lineRule="auto"/>
        <w:ind w:left="426" w:hanging="357"/>
        <w:jc w:val="both"/>
        <w:rPr>
          <w:rFonts w:ascii="Times New Roman" w:hAnsi="Times New Roman" w:cs="Times New Roman"/>
          <w:sz w:val="24"/>
          <w:szCs w:val="24"/>
        </w:rPr>
      </w:pPr>
      <w:r w:rsidRPr="00B237F3">
        <w:rPr>
          <w:rFonts w:ascii="Times New Roman" w:hAnsi="Times New Roman" w:cs="Times New Roman"/>
          <w:sz w:val="24"/>
          <w:szCs w:val="24"/>
        </w:rPr>
        <w:t xml:space="preserve">Výberová komisia má minimálne </w:t>
      </w:r>
      <w:r w:rsidR="00203B59">
        <w:rPr>
          <w:rFonts w:ascii="Times New Roman" w:hAnsi="Times New Roman" w:cs="Times New Roman"/>
          <w:sz w:val="24"/>
          <w:szCs w:val="24"/>
        </w:rPr>
        <w:t>siedmych</w:t>
      </w:r>
      <w:r w:rsidR="00203B59" w:rsidRPr="00B237F3">
        <w:rPr>
          <w:rFonts w:ascii="Times New Roman" w:hAnsi="Times New Roman" w:cs="Times New Roman"/>
          <w:sz w:val="24"/>
          <w:szCs w:val="24"/>
        </w:rPr>
        <w:t xml:space="preserve"> </w:t>
      </w:r>
      <w:r w:rsidRPr="00B237F3">
        <w:rPr>
          <w:rFonts w:ascii="Times New Roman" w:hAnsi="Times New Roman" w:cs="Times New Roman"/>
          <w:sz w:val="24"/>
          <w:szCs w:val="24"/>
        </w:rPr>
        <w:t>členov. Počet členov musí byť vždy nepárny. MAS môže okrem riadnych členov menovať aj náhradníkov členov výberovej komisie.</w:t>
      </w:r>
    </w:p>
    <w:p w14:paraId="7521783F" w14:textId="77777777" w:rsidR="00B237F3" w:rsidRPr="00B237F3" w:rsidRDefault="00B237F3" w:rsidP="00203B59">
      <w:pPr>
        <w:numPr>
          <w:ilvl w:val="0"/>
          <w:numId w:val="39"/>
        </w:numPr>
        <w:spacing w:after="0" w:line="360" w:lineRule="auto"/>
        <w:ind w:left="426" w:hanging="357"/>
        <w:jc w:val="both"/>
        <w:rPr>
          <w:rFonts w:ascii="Times New Roman" w:hAnsi="Times New Roman" w:cs="Times New Roman"/>
          <w:sz w:val="24"/>
          <w:szCs w:val="24"/>
        </w:rPr>
      </w:pPr>
      <w:r w:rsidRPr="00B237F3">
        <w:rPr>
          <w:rFonts w:ascii="Times New Roman" w:hAnsi="Times New Roman" w:cs="Times New Roman"/>
          <w:sz w:val="24"/>
          <w:szCs w:val="24"/>
        </w:rPr>
        <w:t>Spôsob voľby/odvolania, výber členov výberovej komisie MAS a vykonávané činnosti musia byť stanovené v stratégii CLLD.</w:t>
      </w:r>
    </w:p>
    <w:p w14:paraId="200EF53C" w14:textId="77777777" w:rsidR="00B237F3" w:rsidRPr="00B237F3" w:rsidRDefault="00B237F3" w:rsidP="00203B59">
      <w:pPr>
        <w:numPr>
          <w:ilvl w:val="0"/>
          <w:numId w:val="39"/>
        </w:numPr>
        <w:spacing w:after="0" w:line="360" w:lineRule="auto"/>
        <w:ind w:left="426" w:hanging="357"/>
        <w:jc w:val="both"/>
        <w:rPr>
          <w:rFonts w:ascii="Times New Roman" w:hAnsi="Times New Roman" w:cs="Times New Roman"/>
          <w:sz w:val="24"/>
          <w:szCs w:val="24"/>
        </w:rPr>
      </w:pPr>
      <w:r w:rsidRPr="00B237F3">
        <w:rPr>
          <w:rFonts w:ascii="Times New Roman" w:hAnsi="Times New Roman" w:cs="Times New Roman"/>
          <w:sz w:val="24"/>
          <w:szCs w:val="24"/>
        </w:rPr>
        <w:t>Člen výberovej komisie nemusí pôsobiť (mať trvalé, prípadne prechodné bydlisko, sídlo alebo prevádzku) v území MAS. Pre jednu výzvu bude stanovená jedna výberová komisia.</w:t>
      </w:r>
    </w:p>
    <w:p w14:paraId="78E2CB72" w14:textId="77777777" w:rsidR="00B237F3" w:rsidRPr="00B237F3" w:rsidRDefault="00203B59" w:rsidP="00203B59">
      <w:pPr>
        <w:numPr>
          <w:ilvl w:val="0"/>
          <w:numId w:val="39"/>
        </w:numPr>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Predsednícvto</w:t>
      </w:r>
      <w:r w:rsidR="00B237F3" w:rsidRPr="00B237F3">
        <w:rPr>
          <w:rFonts w:ascii="Times New Roman" w:hAnsi="Times New Roman" w:cs="Times New Roman"/>
          <w:sz w:val="24"/>
          <w:szCs w:val="24"/>
        </w:rPr>
        <w:t xml:space="preserve"> MAS menuje vždy novú výberovú komisiu pre každú výzvu</w:t>
      </w:r>
      <w:r>
        <w:rPr>
          <w:rFonts w:ascii="Times New Roman" w:hAnsi="Times New Roman" w:cs="Times New Roman"/>
          <w:sz w:val="24"/>
          <w:szCs w:val="24"/>
        </w:rPr>
        <w:t xml:space="preserve"> na predkladanie projektových zámerov/ŽoNFP</w:t>
      </w:r>
      <w:r w:rsidR="00B237F3" w:rsidRPr="00B237F3">
        <w:rPr>
          <w:rFonts w:ascii="Times New Roman" w:hAnsi="Times New Roman" w:cs="Times New Roman"/>
          <w:sz w:val="24"/>
          <w:szCs w:val="24"/>
        </w:rPr>
        <w:t xml:space="preserve">, pričom jednotlivý členovia sa môžu opakovať. V rámci jednej výzvy môže byť </w:t>
      </w:r>
      <w:r>
        <w:rPr>
          <w:rFonts w:ascii="Times New Roman" w:hAnsi="Times New Roman" w:cs="Times New Roman"/>
          <w:sz w:val="24"/>
          <w:szCs w:val="24"/>
        </w:rPr>
        <w:t xml:space="preserve">menovaná len jedna výberová komisia na celú výzvu, výnimkou može byť </w:t>
      </w:r>
      <w:r w:rsidR="00B237F3" w:rsidRPr="00B237F3">
        <w:rPr>
          <w:rFonts w:ascii="Times New Roman" w:hAnsi="Times New Roman" w:cs="Times New Roman"/>
          <w:sz w:val="24"/>
          <w:szCs w:val="24"/>
        </w:rPr>
        <w:t>len výmena členov z opodstatnených dôvodov. Opodstatnenými dôvodmi sú najmä konflikt záujmov, úmrtie člena výberovej komisie, jeho dlhodobá pracovná neschopnosť alebo nečinnosť.</w:t>
      </w:r>
    </w:p>
    <w:p w14:paraId="2FA3CDA6" w14:textId="77777777" w:rsidR="00B237F3" w:rsidRDefault="00B237F3" w:rsidP="00203B59">
      <w:pPr>
        <w:numPr>
          <w:ilvl w:val="0"/>
          <w:numId w:val="39"/>
        </w:numPr>
        <w:spacing w:after="0" w:line="360" w:lineRule="auto"/>
        <w:ind w:left="426" w:hanging="357"/>
        <w:jc w:val="both"/>
        <w:rPr>
          <w:rFonts w:ascii="Times New Roman" w:hAnsi="Times New Roman" w:cs="Times New Roman"/>
          <w:sz w:val="24"/>
          <w:szCs w:val="24"/>
        </w:rPr>
      </w:pPr>
      <w:r w:rsidRPr="00B237F3">
        <w:rPr>
          <w:rFonts w:ascii="Times New Roman" w:hAnsi="Times New Roman" w:cs="Times New Roman"/>
          <w:sz w:val="24"/>
          <w:szCs w:val="24"/>
        </w:rPr>
        <w:t>Výberová komisia sa riadi počas zasadnutia pravidlami svojho Štatútu, ktorý vypracuje kancelária a schváli predsedníctvo. Výberová komisia je za svoju činnosť zodpovedná predsedníctvu a spolupracuje s</w:t>
      </w:r>
      <w:r w:rsidR="00203B59">
        <w:rPr>
          <w:rFonts w:ascii="Times New Roman" w:hAnsi="Times New Roman" w:cs="Times New Roman"/>
          <w:sz w:val="24"/>
          <w:szCs w:val="24"/>
        </w:rPr>
        <w:t> m</w:t>
      </w:r>
      <w:r w:rsidRPr="00B237F3">
        <w:rPr>
          <w:rFonts w:ascii="Times New Roman" w:hAnsi="Times New Roman" w:cs="Times New Roman"/>
          <w:sz w:val="24"/>
          <w:szCs w:val="24"/>
        </w:rPr>
        <w:t>anažérom</w:t>
      </w:r>
      <w:r w:rsidR="00203B59">
        <w:rPr>
          <w:rFonts w:ascii="Times New Roman" w:hAnsi="Times New Roman" w:cs="Times New Roman"/>
          <w:sz w:val="24"/>
          <w:szCs w:val="24"/>
        </w:rPr>
        <w:t xml:space="preserve"> MAS</w:t>
      </w:r>
      <w:r w:rsidRPr="00B237F3">
        <w:rPr>
          <w:rFonts w:ascii="Times New Roman" w:hAnsi="Times New Roman" w:cs="Times New Roman"/>
          <w:sz w:val="24"/>
          <w:szCs w:val="24"/>
        </w:rPr>
        <w:t>.</w:t>
      </w:r>
    </w:p>
    <w:p w14:paraId="3A152F40" w14:textId="77777777" w:rsidR="00203B59" w:rsidRPr="00B237F3" w:rsidRDefault="00203B59" w:rsidP="00203B59">
      <w:pPr>
        <w:numPr>
          <w:ilvl w:val="0"/>
          <w:numId w:val="39"/>
        </w:numPr>
        <w:spacing w:after="0" w:line="360" w:lineRule="auto"/>
        <w:ind w:left="426" w:hanging="357"/>
        <w:jc w:val="both"/>
        <w:rPr>
          <w:rFonts w:ascii="Times New Roman" w:hAnsi="Times New Roman" w:cs="Times New Roman"/>
          <w:sz w:val="24"/>
          <w:szCs w:val="24"/>
        </w:rPr>
      </w:pPr>
      <w:r>
        <w:rPr>
          <w:rFonts w:ascii="Times New Roman" w:hAnsi="Times New Roman" w:cs="Times New Roman"/>
          <w:sz w:val="24"/>
          <w:szCs w:val="24"/>
        </w:rPr>
        <w:t>Členstvo vo výberovej komisii je nezlučiteľné s členstvom v predsedníctve, revíznej komisii a monitorovacom výbore združenia</w:t>
      </w:r>
    </w:p>
    <w:p w14:paraId="59C26AD6" w14:textId="77777777" w:rsidR="00B63E06" w:rsidRPr="00B63E06" w:rsidRDefault="00B63E06" w:rsidP="00B63E06">
      <w:pPr>
        <w:spacing w:after="0" w:line="360" w:lineRule="auto"/>
        <w:jc w:val="both"/>
        <w:rPr>
          <w:rFonts w:ascii="Times New Roman" w:hAnsi="Times New Roman" w:cs="Times New Roman"/>
          <w:sz w:val="24"/>
          <w:szCs w:val="24"/>
        </w:rPr>
      </w:pPr>
      <w:r w:rsidRPr="00B63E06">
        <w:rPr>
          <w:rFonts w:ascii="Times New Roman" w:hAnsi="Times New Roman" w:cs="Times New Roman"/>
          <w:sz w:val="24"/>
          <w:szCs w:val="24"/>
        </w:rPr>
        <w:t xml:space="preserve">Výberová komisia je v rámci IROP menovaná iba v prípade rovnakého počtu bodov predmetnej výzvy.  Výberová  komisia  aplikuje  rozlišovacie  hodnotiace  kritéria  a  stanoví  poradie  ŽoPr od najvyššie umiestnenej ŽoPr (ktorá najvyššou mierou  napĺňa ciele stratégie CLLD) spĺňajúcej všetky  podmienky  poskytnutia  príspevku  po  najnižšie umiestnenú  ŽoPr  spĺňajúcu  všetky podmienky poskytnutia príspevku. </w:t>
      </w:r>
    </w:p>
    <w:p w14:paraId="1289839D" w14:textId="77777777" w:rsidR="0029193B" w:rsidRDefault="00B63E06" w:rsidP="00B63E06">
      <w:pPr>
        <w:spacing w:after="0" w:line="360" w:lineRule="auto"/>
        <w:jc w:val="both"/>
        <w:rPr>
          <w:rFonts w:ascii="Times New Roman" w:hAnsi="Times New Roman" w:cs="Times New Roman"/>
          <w:sz w:val="24"/>
          <w:szCs w:val="24"/>
        </w:rPr>
      </w:pPr>
      <w:r w:rsidRPr="00B63E06">
        <w:rPr>
          <w:rFonts w:ascii="Times New Roman" w:hAnsi="Times New Roman" w:cs="Times New Roman"/>
          <w:sz w:val="24"/>
          <w:szCs w:val="24"/>
        </w:rPr>
        <w:t>V prípade,  kedy  výberová  komisia  aplikuje  rozlišovacie  kritériá,  vypracuje  Protokol  o  výbere ŽoPr, s uvedením výšky odporúčaného príspevku, poradia ŽoPr a zoznamu ŽoPr odporúčaných na neschválenie.</w:t>
      </w:r>
    </w:p>
    <w:p w14:paraId="408AD8C7" w14:textId="77777777" w:rsidR="00B63E06" w:rsidRDefault="00B63E06" w:rsidP="00B237F3">
      <w:pPr>
        <w:spacing w:line="360" w:lineRule="auto"/>
        <w:rPr>
          <w:rFonts w:ascii="Times New Roman" w:hAnsi="Times New Roman" w:cs="Times New Roman"/>
          <w:b/>
          <w:sz w:val="24"/>
          <w:szCs w:val="24"/>
        </w:rPr>
      </w:pPr>
    </w:p>
    <w:p w14:paraId="29AB33B8" w14:textId="77777777" w:rsidR="00B237F3" w:rsidRPr="00B237F3" w:rsidRDefault="00B237F3" w:rsidP="00B237F3">
      <w:pPr>
        <w:spacing w:line="360" w:lineRule="auto"/>
        <w:rPr>
          <w:rFonts w:ascii="Times New Roman" w:hAnsi="Times New Roman" w:cs="Times New Roman"/>
          <w:b/>
          <w:sz w:val="24"/>
          <w:szCs w:val="24"/>
        </w:rPr>
      </w:pPr>
      <w:r w:rsidRPr="00B237F3">
        <w:rPr>
          <w:rFonts w:ascii="Times New Roman" w:hAnsi="Times New Roman" w:cs="Times New Roman"/>
          <w:b/>
          <w:sz w:val="24"/>
          <w:szCs w:val="24"/>
        </w:rPr>
        <w:t>Monitorovací výbor</w:t>
      </w:r>
    </w:p>
    <w:p w14:paraId="27EBE320" w14:textId="77777777" w:rsidR="00B237F3" w:rsidRPr="00B237F3" w:rsidRDefault="00B237F3" w:rsidP="00D85C5C">
      <w:pPr>
        <w:numPr>
          <w:ilvl w:val="0"/>
          <w:numId w:val="40"/>
        </w:numPr>
        <w:spacing w:after="0" w:line="360" w:lineRule="auto"/>
        <w:ind w:left="426"/>
        <w:jc w:val="both"/>
        <w:rPr>
          <w:rFonts w:ascii="Times New Roman" w:hAnsi="Times New Roman" w:cs="Times New Roman"/>
          <w:sz w:val="24"/>
          <w:szCs w:val="24"/>
        </w:rPr>
      </w:pPr>
      <w:r w:rsidRPr="00B237F3">
        <w:rPr>
          <w:rFonts w:ascii="Times New Roman" w:hAnsi="Times New Roman" w:cs="Times New Roman"/>
          <w:sz w:val="24"/>
          <w:szCs w:val="24"/>
        </w:rPr>
        <w:lastRenderedPageBreak/>
        <w:t xml:space="preserve">Monitorovací výbor MAS je kontrolným orgánom, ktorý vykonáva najmä </w:t>
      </w:r>
      <w:r w:rsidR="00203B59">
        <w:rPr>
          <w:rFonts w:ascii="Times New Roman" w:hAnsi="Times New Roman" w:cs="Times New Roman"/>
          <w:sz w:val="24"/>
          <w:szCs w:val="24"/>
        </w:rPr>
        <w:t>vy</w:t>
      </w:r>
      <w:r w:rsidRPr="00B237F3">
        <w:rPr>
          <w:rFonts w:ascii="Times New Roman" w:hAnsi="Times New Roman" w:cs="Times New Roman"/>
          <w:sz w:val="24"/>
          <w:szCs w:val="24"/>
        </w:rPr>
        <w:t xml:space="preserve">hodnotenie </w:t>
      </w:r>
      <w:r w:rsidR="00203B59">
        <w:rPr>
          <w:rFonts w:ascii="Times New Roman" w:hAnsi="Times New Roman" w:cs="Times New Roman"/>
          <w:sz w:val="24"/>
          <w:szCs w:val="24"/>
        </w:rPr>
        <w:t xml:space="preserve">výstupov a výsledkov </w:t>
      </w:r>
      <w:r w:rsidRPr="00B237F3">
        <w:rPr>
          <w:rFonts w:ascii="Times New Roman" w:hAnsi="Times New Roman" w:cs="Times New Roman"/>
          <w:sz w:val="24"/>
          <w:szCs w:val="24"/>
        </w:rPr>
        <w:t>a</w:t>
      </w:r>
      <w:r w:rsidR="00203B59">
        <w:rPr>
          <w:rFonts w:ascii="Times New Roman" w:hAnsi="Times New Roman" w:cs="Times New Roman"/>
          <w:sz w:val="24"/>
          <w:szCs w:val="24"/>
        </w:rPr>
        <w:t xml:space="preserve"> monitovanie</w:t>
      </w:r>
      <w:r w:rsidRPr="00B237F3">
        <w:rPr>
          <w:rFonts w:ascii="Times New Roman" w:hAnsi="Times New Roman" w:cs="Times New Roman"/>
          <w:sz w:val="24"/>
          <w:szCs w:val="24"/>
        </w:rPr>
        <w:t xml:space="preserve"> realizácie projektov v rámci stratégie</w:t>
      </w:r>
      <w:r w:rsidR="00203B59">
        <w:rPr>
          <w:rFonts w:ascii="Times New Roman" w:hAnsi="Times New Roman" w:cs="Times New Roman"/>
          <w:sz w:val="24"/>
          <w:szCs w:val="24"/>
        </w:rPr>
        <w:t xml:space="preserve"> CLLD</w:t>
      </w:r>
      <w:r w:rsidRPr="00B237F3">
        <w:rPr>
          <w:rFonts w:ascii="Times New Roman" w:hAnsi="Times New Roman" w:cs="Times New Roman"/>
          <w:sz w:val="24"/>
          <w:szCs w:val="24"/>
        </w:rPr>
        <w:t>, pripravuje a vypracováva správy o implementácii stratégie, správy o monitoringu za ročné obdobie a pod.</w:t>
      </w:r>
      <w:r w:rsidR="00203B59">
        <w:rPr>
          <w:rFonts w:ascii="Times New Roman" w:hAnsi="Times New Roman" w:cs="Times New Roman"/>
          <w:sz w:val="24"/>
          <w:szCs w:val="24"/>
        </w:rPr>
        <w:t xml:space="preserve"> v zmysle ustanovení kapitoly 10 Systému riadenia CLLD.</w:t>
      </w:r>
    </w:p>
    <w:p w14:paraId="1F750ED4" w14:textId="77777777" w:rsidR="00B237F3" w:rsidRPr="00B237F3" w:rsidRDefault="00B237F3" w:rsidP="00D85C5C">
      <w:pPr>
        <w:numPr>
          <w:ilvl w:val="0"/>
          <w:numId w:val="40"/>
        </w:numPr>
        <w:spacing w:after="0" w:line="360" w:lineRule="auto"/>
        <w:ind w:left="426"/>
        <w:jc w:val="both"/>
        <w:rPr>
          <w:rFonts w:ascii="Times New Roman" w:hAnsi="Times New Roman" w:cs="Times New Roman"/>
          <w:sz w:val="24"/>
          <w:szCs w:val="24"/>
        </w:rPr>
      </w:pPr>
      <w:r w:rsidRPr="00B237F3">
        <w:rPr>
          <w:rFonts w:ascii="Times New Roman" w:hAnsi="Times New Roman" w:cs="Times New Roman"/>
          <w:sz w:val="24"/>
          <w:szCs w:val="24"/>
        </w:rPr>
        <w:t xml:space="preserve">Monitorovací výbor MAS na svojom prvom zasadnutí stanoví rozsah činnosti. Rozsah činnosti Monitorovacieho výboru MAS podlieha schváleniu </w:t>
      </w:r>
      <w:r w:rsidR="00203B59">
        <w:rPr>
          <w:rFonts w:ascii="Times New Roman" w:hAnsi="Times New Roman" w:cs="Times New Roman"/>
          <w:sz w:val="24"/>
          <w:szCs w:val="24"/>
        </w:rPr>
        <w:t>predsedníctvom</w:t>
      </w:r>
      <w:r w:rsidRPr="00B237F3">
        <w:rPr>
          <w:rFonts w:ascii="Times New Roman" w:hAnsi="Times New Roman" w:cs="Times New Roman"/>
          <w:sz w:val="24"/>
          <w:szCs w:val="24"/>
        </w:rPr>
        <w:t>.</w:t>
      </w:r>
    </w:p>
    <w:p w14:paraId="68C6AA70" w14:textId="77777777" w:rsidR="00B237F3" w:rsidRDefault="00B237F3" w:rsidP="00D85C5C">
      <w:pPr>
        <w:numPr>
          <w:ilvl w:val="0"/>
          <w:numId w:val="40"/>
        </w:numPr>
        <w:spacing w:after="0" w:line="360" w:lineRule="auto"/>
        <w:ind w:left="426"/>
        <w:jc w:val="both"/>
        <w:rPr>
          <w:rFonts w:ascii="Times New Roman" w:hAnsi="Times New Roman" w:cs="Times New Roman"/>
          <w:sz w:val="24"/>
          <w:szCs w:val="24"/>
        </w:rPr>
      </w:pPr>
      <w:r w:rsidRPr="00B237F3">
        <w:rPr>
          <w:rFonts w:ascii="Times New Roman" w:hAnsi="Times New Roman" w:cs="Times New Roman"/>
          <w:sz w:val="24"/>
          <w:szCs w:val="24"/>
        </w:rPr>
        <w:t>Monitorovací výbor má 5 členov, ktorých schvaľuje alebo odvoláva predsedníctvo</w:t>
      </w:r>
      <w:r w:rsidR="008657F3">
        <w:rPr>
          <w:rFonts w:ascii="Times New Roman" w:hAnsi="Times New Roman" w:cs="Times New Roman"/>
          <w:sz w:val="24"/>
          <w:szCs w:val="24"/>
        </w:rPr>
        <w:t>.</w:t>
      </w:r>
      <w:r w:rsidRPr="00B237F3">
        <w:rPr>
          <w:rFonts w:ascii="Times New Roman" w:hAnsi="Times New Roman" w:cs="Times New Roman"/>
          <w:sz w:val="24"/>
          <w:szCs w:val="24"/>
        </w:rPr>
        <w:t>.</w:t>
      </w:r>
    </w:p>
    <w:p w14:paraId="28857935" w14:textId="77777777" w:rsidR="008657F3" w:rsidRPr="00B237F3" w:rsidRDefault="008657F3" w:rsidP="00D85C5C">
      <w:pPr>
        <w:numPr>
          <w:ilvl w:val="0"/>
          <w:numId w:val="4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Členstvo v monitorovacom výbore MAS je nezlučiteľné s členstvom vo výkonnom orgáne združenia.</w:t>
      </w:r>
    </w:p>
    <w:p w14:paraId="2387BD06" w14:textId="77777777" w:rsidR="00D85C5C" w:rsidRPr="00D85C5C" w:rsidRDefault="00D85C5C" w:rsidP="00D85C5C">
      <w:pPr>
        <w:spacing w:after="0" w:line="360" w:lineRule="auto"/>
        <w:jc w:val="both"/>
        <w:rPr>
          <w:rFonts w:ascii="Times New Roman" w:hAnsi="Times New Roman" w:cs="Times New Roman"/>
          <w:b/>
          <w:color w:val="000000" w:themeColor="text1"/>
          <w:sz w:val="24"/>
          <w:szCs w:val="24"/>
        </w:rPr>
      </w:pPr>
      <w:r w:rsidRPr="00D85C5C">
        <w:rPr>
          <w:rFonts w:ascii="Times New Roman" w:hAnsi="Times New Roman" w:cs="Times New Roman"/>
          <w:color w:val="000000" w:themeColor="text1"/>
          <w:sz w:val="24"/>
          <w:szCs w:val="24"/>
        </w:rPr>
        <w:t>V súčasnosti je v</w:t>
      </w:r>
      <w:r>
        <w:rPr>
          <w:rFonts w:ascii="Times New Roman" w:hAnsi="Times New Roman" w:cs="Times New Roman"/>
          <w:color w:val="000000" w:themeColor="text1"/>
          <w:sz w:val="24"/>
          <w:szCs w:val="24"/>
        </w:rPr>
        <w:t xml:space="preserve"> Monitorovacom výbore </w:t>
      </w:r>
      <w:r w:rsidRPr="00D85C5C">
        <w:rPr>
          <w:rFonts w:ascii="Times New Roman" w:hAnsi="Times New Roman" w:cs="Times New Roman"/>
          <w:color w:val="000000" w:themeColor="text1"/>
          <w:sz w:val="24"/>
          <w:szCs w:val="24"/>
        </w:rPr>
        <w:t xml:space="preserve">KR – MAS zastúpených celkovo </w:t>
      </w:r>
      <w:r>
        <w:rPr>
          <w:rFonts w:ascii="Times New Roman" w:hAnsi="Times New Roman" w:cs="Times New Roman"/>
          <w:b/>
          <w:color w:val="000000" w:themeColor="text1"/>
          <w:sz w:val="24"/>
          <w:szCs w:val="24"/>
        </w:rPr>
        <w:t>40</w:t>
      </w:r>
      <w:r w:rsidRPr="00D85C5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00</w:t>
      </w:r>
      <w:r w:rsidRPr="00D85C5C">
        <w:rPr>
          <w:rFonts w:ascii="Times New Roman" w:hAnsi="Times New Roman" w:cs="Times New Roman"/>
          <w:b/>
          <w:color w:val="000000" w:themeColor="text1"/>
          <w:sz w:val="24"/>
          <w:szCs w:val="24"/>
        </w:rPr>
        <w:t xml:space="preserve"> % verejného</w:t>
      </w:r>
      <w:r w:rsidRPr="00D85C5C">
        <w:rPr>
          <w:rFonts w:ascii="Times New Roman" w:hAnsi="Times New Roman" w:cs="Times New Roman"/>
          <w:color w:val="000000" w:themeColor="text1"/>
          <w:sz w:val="24"/>
          <w:szCs w:val="24"/>
        </w:rPr>
        <w:t xml:space="preserve"> </w:t>
      </w:r>
      <w:r w:rsidRPr="00D85C5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D85C5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zástupcovia</w:t>
      </w:r>
      <w:r w:rsidRPr="00D85C5C">
        <w:rPr>
          <w:rFonts w:ascii="Times New Roman" w:hAnsi="Times New Roman" w:cs="Times New Roman"/>
          <w:b/>
          <w:color w:val="000000" w:themeColor="text1"/>
          <w:sz w:val="24"/>
          <w:szCs w:val="24"/>
        </w:rPr>
        <w:t xml:space="preserve"> obc</w:t>
      </w:r>
      <w:r>
        <w:rPr>
          <w:rFonts w:ascii="Times New Roman" w:hAnsi="Times New Roman" w:cs="Times New Roman"/>
          <w:b/>
          <w:color w:val="000000" w:themeColor="text1"/>
          <w:sz w:val="24"/>
          <w:szCs w:val="24"/>
        </w:rPr>
        <w:t>í</w:t>
      </w:r>
      <w:r w:rsidRPr="00D85C5C">
        <w:rPr>
          <w:rFonts w:ascii="Times New Roman" w:hAnsi="Times New Roman" w:cs="Times New Roman"/>
          <w:b/>
          <w:color w:val="000000" w:themeColor="text1"/>
          <w:sz w:val="24"/>
          <w:szCs w:val="24"/>
        </w:rPr>
        <w:t>)</w:t>
      </w:r>
      <w:r w:rsidRPr="00D85C5C">
        <w:rPr>
          <w:rFonts w:ascii="Times New Roman" w:hAnsi="Times New Roman" w:cs="Times New Roman"/>
          <w:color w:val="000000" w:themeColor="text1"/>
          <w:sz w:val="24"/>
          <w:szCs w:val="24"/>
        </w:rPr>
        <w:t xml:space="preserve"> a </w:t>
      </w:r>
      <w:r>
        <w:rPr>
          <w:rFonts w:ascii="Times New Roman" w:hAnsi="Times New Roman" w:cs="Times New Roman"/>
          <w:b/>
          <w:color w:val="000000" w:themeColor="text1"/>
          <w:sz w:val="24"/>
          <w:szCs w:val="24"/>
        </w:rPr>
        <w:t>60</w:t>
      </w:r>
      <w:r w:rsidRPr="00D85C5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00</w:t>
      </w:r>
      <w:r w:rsidRPr="00D85C5C">
        <w:rPr>
          <w:rFonts w:ascii="Times New Roman" w:hAnsi="Times New Roman" w:cs="Times New Roman"/>
          <w:b/>
          <w:color w:val="000000" w:themeColor="text1"/>
          <w:sz w:val="24"/>
          <w:szCs w:val="24"/>
        </w:rPr>
        <w:t xml:space="preserve"> % súkromného (1 subjekt) a</w:t>
      </w:r>
      <w:r w:rsidR="00777128">
        <w:rPr>
          <w:rFonts w:ascii="Times New Roman" w:hAnsi="Times New Roman" w:cs="Times New Roman"/>
          <w:b/>
          <w:color w:val="000000" w:themeColor="text1"/>
          <w:sz w:val="24"/>
          <w:szCs w:val="24"/>
        </w:rPr>
        <w:t> </w:t>
      </w:r>
      <w:r w:rsidRPr="00D85C5C">
        <w:rPr>
          <w:rFonts w:ascii="Times New Roman" w:hAnsi="Times New Roman" w:cs="Times New Roman"/>
          <w:b/>
          <w:color w:val="000000" w:themeColor="text1"/>
          <w:sz w:val="24"/>
          <w:szCs w:val="24"/>
        </w:rPr>
        <w:t>občianskeho</w:t>
      </w:r>
      <w:r w:rsidR="00777128">
        <w:rPr>
          <w:rFonts w:ascii="Times New Roman" w:hAnsi="Times New Roman" w:cs="Times New Roman"/>
          <w:b/>
          <w:color w:val="000000" w:themeColor="text1"/>
          <w:sz w:val="24"/>
          <w:szCs w:val="24"/>
        </w:rPr>
        <w:t xml:space="preserve"> </w:t>
      </w:r>
      <w:r w:rsidR="00777128" w:rsidRPr="00D85C5C">
        <w:rPr>
          <w:rFonts w:ascii="Times New Roman" w:hAnsi="Times New Roman" w:cs="Times New Roman"/>
          <w:b/>
          <w:sz w:val="24"/>
          <w:szCs w:val="24"/>
        </w:rPr>
        <w:t>sektora</w:t>
      </w:r>
      <w:r w:rsidRPr="00D85C5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1 </w:t>
      </w:r>
      <w:r w:rsidRPr="00D85C5C">
        <w:rPr>
          <w:rFonts w:ascii="Times New Roman" w:hAnsi="Times New Roman" w:cs="Times New Roman"/>
          <w:b/>
          <w:color w:val="000000" w:themeColor="text1"/>
          <w:sz w:val="24"/>
          <w:szCs w:val="24"/>
        </w:rPr>
        <w:t xml:space="preserve">zástupca </w:t>
      </w:r>
      <w:r>
        <w:rPr>
          <w:rFonts w:ascii="Times New Roman" w:hAnsi="Times New Roman" w:cs="Times New Roman"/>
          <w:b/>
          <w:color w:val="000000" w:themeColor="text1"/>
          <w:sz w:val="24"/>
          <w:szCs w:val="24"/>
        </w:rPr>
        <w:t>občianskeho združenia a 1 fyzická osoba</w:t>
      </w:r>
      <w:r w:rsidRPr="00D85C5C">
        <w:rPr>
          <w:rFonts w:ascii="Times New Roman" w:hAnsi="Times New Roman" w:cs="Times New Roman"/>
          <w:b/>
          <w:color w:val="000000" w:themeColor="text1"/>
          <w:sz w:val="24"/>
          <w:szCs w:val="24"/>
        </w:rPr>
        <w:t>).</w:t>
      </w:r>
    </w:p>
    <w:p w14:paraId="296B4FB2" w14:textId="77777777" w:rsidR="00F16392" w:rsidRDefault="00F16392" w:rsidP="00F16392">
      <w:pPr>
        <w:spacing w:after="0" w:line="360" w:lineRule="auto"/>
        <w:jc w:val="both"/>
        <w:rPr>
          <w:rFonts w:ascii="Times New Roman" w:hAnsi="Times New Roman" w:cs="Times New Roman"/>
          <w:b/>
          <w:color w:val="000000" w:themeColor="text1"/>
          <w:sz w:val="24"/>
          <w:szCs w:val="24"/>
        </w:rPr>
      </w:pPr>
    </w:p>
    <w:p w14:paraId="14DD2234" w14:textId="77777777" w:rsidR="00F16392" w:rsidRPr="009F7C92" w:rsidRDefault="00F16392" w:rsidP="00F16392">
      <w:pPr>
        <w:spacing w:after="0" w:line="360" w:lineRule="auto"/>
        <w:jc w:val="both"/>
        <w:rPr>
          <w:rFonts w:ascii="Times New Roman" w:hAnsi="Times New Roman" w:cs="Times New Roman"/>
          <w:color w:val="000000" w:themeColor="text1"/>
          <w:sz w:val="24"/>
          <w:szCs w:val="24"/>
        </w:rPr>
      </w:pPr>
      <w:r w:rsidRPr="009F7C92">
        <w:rPr>
          <w:rFonts w:ascii="Times New Roman" w:hAnsi="Times New Roman" w:cs="Times New Roman"/>
          <w:b/>
          <w:color w:val="000000" w:themeColor="text1"/>
          <w:sz w:val="24"/>
          <w:szCs w:val="24"/>
        </w:rPr>
        <w:t xml:space="preserve">Kancelária </w:t>
      </w:r>
      <w:r>
        <w:rPr>
          <w:rFonts w:ascii="Times New Roman" w:hAnsi="Times New Roman" w:cs="Times New Roman"/>
          <w:b/>
          <w:color w:val="000000" w:themeColor="text1"/>
          <w:sz w:val="24"/>
          <w:szCs w:val="24"/>
        </w:rPr>
        <w:t>KR</w:t>
      </w:r>
      <w:r w:rsidR="00D3336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MAS</w:t>
      </w:r>
      <w:r>
        <w:rPr>
          <w:rFonts w:ascii="Times New Roman" w:hAnsi="Times New Roman" w:cs="Times New Roman"/>
          <w:color w:val="000000" w:themeColor="text1"/>
          <w:sz w:val="24"/>
          <w:szCs w:val="24"/>
        </w:rPr>
        <w:t xml:space="preserve"> je zriadená Predsedníctvom</w:t>
      </w:r>
      <w:r w:rsidRPr="009F7C92">
        <w:rPr>
          <w:rFonts w:ascii="Times New Roman" w:hAnsi="Times New Roman" w:cs="Times New Roman"/>
          <w:color w:val="000000" w:themeColor="text1"/>
          <w:sz w:val="24"/>
          <w:szCs w:val="24"/>
        </w:rPr>
        <w:t xml:space="preserve"> združenia a jej hlavnou činnosťou je zabezpečenie spravovania verejných prostriedkov, ako aj manažovanie činnosti a realizácia úloh zd</w:t>
      </w:r>
      <w:r w:rsidR="00D37310">
        <w:rPr>
          <w:rFonts w:ascii="Times New Roman" w:hAnsi="Times New Roman" w:cs="Times New Roman"/>
          <w:color w:val="000000" w:themeColor="text1"/>
          <w:sz w:val="24"/>
          <w:szCs w:val="24"/>
        </w:rPr>
        <w:t>ruženia. Na čele kancelárie</w:t>
      </w:r>
      <w:r w:rsidRPr="009F7C92">
        <w:rPr>
          <w:rFonts w:ascii="Times New Roman" w:hAnsi="Times New Roman" w:cs="Times New Roman"/>
          <w:color w:val="000000" w:themeColor="text1"/>
          <w:sz w:val="24"/>
          <w:szCs w:val="24"/>
        </w:rPr>
        <w:t xml:space="preserve"> združenia je manažér menova</w:t>
      </w:r>
      <w:r>
        <w:rPr>
          <w:rFonts w:ascii="Times New Roman" w:hAnsi="Times New Roman" w:cs="Times New Roman"/>
          <w:color w:val="000000" w:themeColor="text1"/>
          <w:sz w:val="24"/>
          <w:szCs w:val="24"/>
        </w:rPr>
        <w:t xml:space="preserve">ný </w:t>
      </w:r>
      <w:r w:rsidR="00D37310">
        <w:rPr>
          <w:rFonts w:ascii="Times New Roman" w:hAnsi="Times New Roman" w:cs="Times New Roman"/>
          <w:color w:val="000000" w:themeColor="text1"/>
          <w:sz w:val="24"/>
          <w:szCs w:val="24"/>
        </w:rPr>
        <w:t>predsedníctvom</w:t>
      </w:r>
      <w:r>
        <w:rPr>
          <w:rFonts w:ascii="Times New Roman" w:hAnsi="Times New Roman" w:cs="Times New Roman"/>
          <w:color w:val="000000" w:themeColor="text1"/>
          <w:sz w:val="24"/>
          <w:szCs w:val="24"/>
        </w:rPr>
        <w:t xml:space="preserve"> združenia. Kancelária</w:t>
      </w:r>
      <w:r w:rsidRPr="009F7C92">
        <w:rPr>
          <w:rFonts w:ascii="Times New Roman" w:hAnsi="Times New Roman" w:cs="Times New Roman"/>
          <w:color w:val="000000" w:themeColor="text1"/>
          <w:sz w:val="24"/>
          <w:szCs w:val="24"/>
        </w:rPr>
        <w:t xml:space="preserve"> združenia pracuje na základe pracovného a organizačného poriadku schváleného výkonným org</w:t>
      </w:r>
      <w:r>
        <w:rPr>
          <w:rFonts w:ascii="Times New Roman" w:hAnsi="Times New Roman" w:cs="Times New Roman"/>
          <w:color w:val="000000" w:themeColor="text1"/>
          <w:sz w:val="24"/>
          <w:szCs w:val="24"/>
        </w:rPr>
        <w:t>ánom. Organizačný poriadok je</w:t>
      </w:r>
      <w:r w:rsidRPr="009F7C92">
        <w:rPr>
          <w:rFonts w:ascii="Times New Roman" w:hAnsi="Times New Roman" w:cs="Times New Roman"/>
          <w:color w:val="000000" w:themeColor="text1"/>
          <w:sz w:val="24"/>
          <w:szCs w:val="24"/>
        </w:rPr>
        <w:t xml:space="preserve"> </w:t>
      </w:r>
      <w:r w:rsidRPr="00007D57">
        <w:rPr>
          <w:rFonts w:ascii="Times New Roman" w:hAnsi="Times New Roman" w:cs="Times New Roman"/>
          <w:color w:val="000000" w:themeColor="text1"/>
          <w:sz w:val="24"/>
          <w:szCs w:val="24"/>
        </w:rPr>
        <w:t xml:space="preserve">súčasťou prílohy č. </w:t>
      </w:r>
      <w:r w:rsidR="00D37310">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p>
    <w:p w14:paraId="0275E3C2" w14:textId="77777777" w:rsidR="00F16392" w:rsidRPr="009F7C92" w:rsidRDefault="00F16392" w:rsidP="00F16392">
      <w:pPr>
        <w:spacing w:after="0" w:line="360" w:lineRule="auto"/>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Administratívu a realizáciu úloh združenia zabezpečujú zamestnanci združenia:</w:t>
      </w:r>
    </w:p>
    <w:p w14:paraId="7FAF4C29" w14:textId="77777777" w:rsidR="00F16392" w:rsidRPr="009F7C92" w:rsidRDefault="00F16392" w:rsidP="00777128">
      <w:pPr>
        <w:numPr>
          <w:ilvl w:val="0"/>
          <w:numId w:val="45"/>
        </w:numPr>
        <w:spacing w:after="0" w:line="360" w:lineRule="auto"/>
        <w:ind w:left="426"/>
        <w:jc w:val="both"/>
        <w:rPr>
          <w:rFonts w:ascii="Times New Roman" w:hAnsi="Times New Roman" w:cs="Times New Roman"/>
          <w:color w:val="000000" w:themeColor="text1"/>
          <w:sz w:val="24"/>
          <w:szCs w:val="24"/>
        </w:rPr>
      </w:pPr>
      <w:r w:rsidRPr="009F7C92">
        <w:rPr>
          <w:rFonts w:ascii="Times New Roman" w:hAnsi="Times New Roman" w:cs="Times New Roman"/>
          <w:b/>
          <w:color w:val="000000" w:themeColor="text1"/>
          <w:sz w:val="24"/>
          <w:szCs w:val="24"/>
        </w:rPr>
        <w:t>manažér združenia</w:t>
      </w:r>
      <w:r w:rsidRPr="009F7C92">
        <w:rPr>
          <w:rFonts w:ascii="Times New Roman" w:hAnsi="Times New Roman" w:cs="Times New Roman"/>
          <w:color w:val="000000" w:themeColor="text1"/>
          <w:sz w:val="24"/>
          <w:szCs w:val="24"/>
        </w:rPr>
        <w:t xml:space="preserve">, ktorý je riadený predsedom a </w:t>
      </w:r>
      <w:r w:rsidR="00D37310">
        <w:rPr>
          <w:rFonts w:ascii="Times New Roman" w:hAnsi="Times New Roman" w:cs="Times New Roman"/>
          <w:color w:val="000000" w:themeColor="text1"/>
          <w:sz w:val="24"/>
          <w:szCs w:val="24"/>
        </w:rPr>
        <w:t>predsedníctvom</w:t>
      </w:r>
      <w:r w:rsidRPr="009F7C92">
        <w:rPr>
          <w:rFonts w:ascii="Times New Roman" w:hAnsi="Times New Roman" w:cs="Times New Roman"/>
          <w:color w:val="000000" w:themeColor="text1"/>
          <w:sz w:val="24"/>
          <w:szCs w:val="24"/>
        </w:rPr>
        <w:t xml:space="preserve"> a jeho hlavnou úlohou a zodpovednosťou je</w:t>
      </w:r>
      <w:r w:rsidR="00777128">
        <w:rPr>
          <w:rFonts w:ascii="Times New Roman" w:hAnsi="Times New Roman" w:cs="Times New Roman"/>
          <w:color w:val="000000" w:themeColor="text1"/>
          <w:sz w:val="24"/>
          <w:szCs w:val="24"/>
        </w:rPr>
        <w:t>, že</w:t>
      </w:r>
      <w:r w:rsidRPr="009F7C92">
        <w:rPr>
          <w:rFonts w:ascii="Times New Roman" w:hAnsi="Times New Roman" w:cs="Times New Roman"/>
          <w:color w:val="000000" w:themeColor="text1"/>
          <w:sz w:val="24"/>
          <w:szCs w:val="24"/>
        </w:rPr>
        <w:t xml:space="preserve">: </w:t>
      </w:r>
    </w:p>
    <w:p w14:paraId="0309B411" w14:textId="77777777" w:rsidR="00F16392" w:rsidRPr="00D37310"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D37310">
        <w:rPr>
          <w:rFonts w:ascii="Times New Roman" w:hAnsi="Times New Roman" w:cs="Times New Roman"/>
          <w:color w:val="000000" w:themeColor="text1"/>
          <w:sz w:val="24"/>
          <w:szCs w:val="24"/>
        </w:rPr>
        <w:t>zodpovedá za vedenie kancelárie združenia (riadi administratívneho pracovníka a</w:t>
      </w:r>
      <w:r w:rsidR="00777128">
        <w:rPr>
          <w:rFonts w:ascii="Times New Roman" w:hAnsi="Times New Roman" w:cs="Times New Roman"/>
          <w:color w:val="000000" w:themeColor="text1"/>
          <w:sz w:val="24"/>
          <w:szCs w:val="24"/>
        </w:rPr>
        <w:t> </w:t>
      </w:r>
      <w:r w:rsidRPr="00D37310">
        <w:rPr>
          <w:rFonts w:ascii="Times New Roman" w:hAnsi="Times New Roman" w:cs="Times New Roman"/>
          <w:color w:val="000000" w:themeColor="text1"/>
          <w:sz w:val="24"/>
          <w:szCs w:val="24"/>
        </w:rPr>
        <w:t>účtovníka</w:t>
      </w:r>
      <w:r w:rsidR="00777128">
        <w:rPr>
          <w:rFonts w:ascii="Times New Roman" w:hAnsi="Times New Roman" w:cs="Times New Roman"/>
          <w:color w:val="000000" w:themeColor="text1"/>
          <w:sz w:val="24"/>
          <w:szCs w:val="24"/>
        </w:rPr>
        <w:t>, príp. ďalších zamestnancov kancelárie</w:t>
      </w:r>
      <w:r w:rsidRPr="00D37310">
        <w:rPr>
          <w:rFonts w:ascii="Times New Roman" w:hAnsi="Times New Roman" w:cs="Times New Roman"/>
          <w:color w:val="000000" w:themeColor="text1"/>
          <w:sz w:val="24"/>
          <w:szCs w:val="24"/>
        </w:rPr>
        <w:t>),</w:t>
      </w:r>
    </w:p>
    <w:p w14:paraId="264D9B43" w14:textId="77777777" w:rsidR="00F16392" w:rsidRPr="00D37310"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D37310">
        <w:rPr>
          <w:rFonts w:ascii="Times New Roman" w:hAnsi="Times New Roman" w:cs="Times New Roman"/>
          <w:color w:val="000000" w:themeColor="text1"/>
          <w:sz w:val="24"/>
          <w:szCs w:val="24"/>
        </w:rPr>
        <w:t xml:space="preserve">pripravuje zasadnutia </w:t>
      </w:r>
      <w:r w:rsidR="00D37310" w:rsidRPr="00D37310">
        <w:rPr>
          <w:rFonts w:ascii="Times New Roman" w:hAnsi="Times New Roman" w:cs="Times New Roman"/>
          <w:color w:val="000000" w:themeColor="text1"/>
          <w:sz w:val="24"/>
          <w:szCs w:val="24"/>
        </w:rPr>
        <w:t>Predsedníctva</w:t>
      </w:r>
      <w:r w:rsidRPr="00D37310">
        <w:rPr>
          <w:rFonts w:ascii="Times New Roman" w:hAnsi="Times New Roman" w:cs="Times New Roman"/>
          <w:color w:val="000000" w:themeColor="text1"/>
          <w:sz w:val="24"/>
          <w:szCs w:val="24"/>
        </w:rPr>
        <w:t xml:space="preserve"> a je povinný zúčastňovať sa na zasadnutiach </w:t>
      </w:r>
      <w:r w:rsidR="00D37310">
        <w:rPr>
          <w:rFonts w:ascii="Times New Roman" w:hAnsi="Times New Roman" w:cs="Times New Roman"/>
          <w:color w:val="000000" w:themeColor="text1"/>
          <w:sz w:val="24"/>
          <w:szCs w:val="24"/>
        </w:rPr>
        <w:t>Predsedníctva</w:t>
      </w:r>
      <w:r w:rsidRPr="00D37310">
        <w:rPr>
          <w:rFonts w:ascii="Times New Roman" w:hAnsi="Times New Roman" w:cs="Times New Roman"/>
          <w:color w:val="000000" w:themeColor="text1"/>
          <w:sz w:val="24"/>
          <w:szCs w:val="24"/>
        </w:rPr>
        <w:t xml:space="preserve">, je zodpovedný za zostavenie a zabezpečenie kontroly zápisov a ostatných administratívnych činností spojených s fungovaním </w:t>
      </w:r>
      <w:r w:rsidR="00D37310">
        <w:rPr>
          <w:rFonts w:ascii="Times New Roman" w:hAnsi="Times New Roman" w:cs="Times New Roman"/>
          <w:color w:val="000000" w:themeColor="text1"/>
          <w:sz w:val="24"/>
          <w:szCs w:val="24"/>
        </w:rPr>
        <w:t>Predsedníctva</w:t>
      </w:r>
      <w:r w:rsidRPr="00D37310">
        <w:rPr>
          <w:rFonts w:ascii="Times New Roman" w:hAnsi="Times New Roman" w:cs="Times New Roman"/>
          <w:color w:val="000000" w:themeColor="text1"/>
          <w:sz w:val="24"/>
          <w:szCs w:val="24"/>
        </w:rPr>
        <w:t>,</w:t>
      </w:r>
    </w:p>
    <w:p w14:paraId="0A4A1DD5" w14:textId="77777777" w:rsidR="00F163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D37310">
        <w:rPr>
          <w:rFonts w:ascii="Times New Roman" w:hAnsi="Times New Roman" w:cs="Times New Roman"/>
          <w:color w:val="000000" w:themeColor="text1"/>
          <w:sz w:val="24"/>
          <w:szCs w:val="24"/>
        </w:rPr>
        <w:t>vykonáva formálnu kontrolu prijatých ŽoNFP od predkladateľov projektov, registruje ŽoNFP, poskytuje informácie predkladateľom projektov, zabezpečuje zber informácií pre monitoring a hodnotenie, pravidelne komunikuje so zástupcom PPA,</w:t>
      </w:r>
    </w:p>
    <w:p w14:paraId="5867193E" w14:textId="77777777" w:rsidR="00D37310" w:rsidRDefault="00D37310" w:rsidP="00777128">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spracováva žiadosti KR</w:t>
      </w:r>
      <w:r w:rsidR="007771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7771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MAS, </w:t>
      </w:r>
    </w:p>
    <w:p w14:paraId="06404774" w14:textId="77777777" w:rsidR="00D37310" w:rsidRDefault="00D37310" w:rsidP="00777128">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pomáha pri spracovaní zámerov a výberu projektov,</w:t>
      </w:r>
    </w:p>
    <w:p w14:paraId="6B01DE24" w14:textId="77777777" w:rsidR="00D37310" w:rsidRPr="00D37310" w:rsidRDefault="00D37310" w:rsidP="00777128">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zostavuje pracovné skupiny a riadi realizáciu príslušných aktivít,</w:t>
      </w:r>
    </w:p>
    <w:p w14:paraId="41B40357" w14:textId="77777777" w:rsidR="00F16392" w:rsidRPr="00D37310"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D37310">
        <w:rPr>
          <w:rFonts w:ascii="Times New Roman" w:hAnsi="Times New Roman" w:cs="Times New Roman"/>
          <w:color w:val="000000" w:themeColor="text1"/>
          <w:sz w:val="24"/>
          <w:szCs w:val="24"/>
        </w:rPr>
        <w:lastRenderedPageBreak/>
        <w:t>vykonáva činnosti v súlade s ďalšími internými predpismi, ktoré schváli</w:t>
      </w:r>
      <w:r w:rsidR="00777128">
        <w:rPr>
          <w:rFonts w:ascii="Times New Roman" w:hAnsi="Times New Roman" w:cs="Times New Roman"/>
          <w:color w:val="000000" w:themeColor="text1"/>
          <w:sz w:val="24"/>
          <w:szCs w:val="24"/>
        </w:rPr>
        <w:t>lo</w:t>
      </w:r>
      <w:r w:rsidRPr="00D37310">
        <w:rPr>
          <w:rFonts w:ascii="Times New Roman" w:hAnsi="Times New Roman" w:cs="Times New Roman"/>
          <w:color w:val="000000" w:themeColor="text1"/>
          <w:sz w:val="24"/>
          <w:szCs w:val="24"/>
        </w:rPr>
        <w:t xml:space="preserve"> </w:t>
      </w:r>
      <w:r w:rsidR="00777128">
        <w:rPr>
          <w:rFonts w:ascii="Times New Roman" w:hAnsi="Times New Roman" w:cs="Times New Roman"/>
          <w:color w:val="000000" w:themeColor="text1"/>
          <w:sz w:val="24"/>
          <w:szCs w:val="24"/>
        </w:rPr>
        <w:t>Predsedníctvo</w:t>
      </w:r>
      <w:r w:rsidRPr="00D37310">
        <w:rPr>
          <w:rFonts w:ascii="Times New Roman" w:hAnsi="Times New Roman" w:cs="Times New Roman"/>
          <w:color w:val="000000" w:themeColor="text1"/>
          <w:sz w:val="24"/>
          <w:szCs w:val="24"/>
        </w:rPr>
        <w:t>.</w:t>
      </w:r>
    </w:p>
    <w:p w14:paraId="31F0E89D" w14:textId="77777777" w:rsidR="00F16392" w:rsidRPr="009F7C92" w:rsidRDefault="00F16392" w:rsidP="00777128">
      <w:pPr>
        <w:numPr>
          <w:ilvl w:val="0"/>
          <w:numId w:val="45"/>
        </w:numPr>
        <w:spacing w:after="0" w:line="360" w:lineRule="auto"/>
        <w:ind w:left="426"/>
        <w:jc w:val="both"/>
        <w:rPr>
          <w:rFonts w:ascii="Times New Roman" w:hAnsi="Times New Roman" w:cs="Times New Roman"/>
          <w:color w:val="000000" w:themeColor="text1"/>
          <w:sz w:val="24"/>
          <w:szCs w:val="24"/>
        </w:rPr>
      </w:pPr>
      <w:r w:rsidRPr="009F7C92">
        <w:rPr>
          <w:rFonts w:ascii="Times New Roman" w:hAnsi="Times New Roman" w:cs="Times New Roman"/>
          <w:b/>
          <w:color w:val="000000" w:themeColor="text1"/>
          <w:sz w:val="24"/>
          <w:szCs w:val="24"/>
        </w:rPr>
        <w:t>administratívny pracovník</w:t>
      </w:r>
      <w:r w:rsidRPr="009F7C92">
        <w:rPr>
          <w:rFonts w:ascii="Times New Roman" w:hAnsi="Times New Roman" w:cs="Times New Roman"/>
          <w:color w:val="000000" w:themeColor="text1"/>
          <w:sz w:val="24"/>
          <w:szCs w:val="24"/>
        </w:rPr>
        <w:t>, riadený je manažérom združenia a je zodpovedný za:</w:t>
      </w:r>
    </w:p>
    <w:p w14:paraId="021897DF" w14:textId="77777777" w:rsidR="00F16392" w:rsidRPr="009F7C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zabezpečenie každodennej prevádzky a administratívnej činnosti združenia,</w:t>
      </w:r>
    </w:p>
    <w:p w14:paraId="0486E868" w14:textId="77777777" w:rsidR="00F16392" w:rsidRPr="009F7C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vedenie evidencie a predpísanej archivácie,</w:t>
      </w:r>
    </w:p>
    <w:p w14:paraId="468E9F92" w14:textId="77777777" w:rsidR="00F163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prípravu podkladových materiálov na zasadnutia jednotlivých orgánov združenia,</w:t>
      </w:r>
    </w:p>
    <w:p w14:paraId="688C80F0" w14:textId="77777777" w:rsidR="00556D98" w:rsidRPr="009F7C92" w:rsidRDefault="00556D98" w:rsidP="00777128">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prípade písomného poverenia manažérom KR-MAS registruje a vykonáva formálnu kontrolu prijatých ŽoNFP (projektov),</w:t>
      </w:r>
    </w:p>
    <w:p w14:paraId="713B7118" w14:textId="77777777" w:rsidR="00F16392" w:rsidRPr="009F7C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vykonávanie činnosti v súlade s ďalšími internými predpismi združenia.</w:t>
      </w:r>
    </w:p>
    <w:p w14:paraId="106E93DE" w14:textId="77777777" w:rsidR="00F16392" w:rsidRPr="009F7C92" w:rsidRDefault="00D3336B" w:rsidP="00F16392">
      <w:pPr>
        <w:spacing w:after="0" w:line="360" w:lineRule="auto"/>
        <w:jc w:val="both"/>
        <w:rPr>
          <w:rFonts w:ascii="Times New Roman" w:hAnsi="Times New Roman" w:cs="Times New Roman"/>
          <w:color w:val="000000" w:themeColor="text1"/>
          <w:sz w:val="24"/>
          <w:szCs w:val="24"/>
        </w:rPr>
      </w:pPr>
      <w:r w:rsidRPr="00F8126B">
        <w:rPr>
          <w:rFonts w:ascii="Times New Roman" w:hAnsi="Times New Roman" w:cs="Times New Roman"/>
          <w:b/>
          <w:color w:val="000000" w:themeColor="text1"/>
          <w:sz w:val="24"/>
          <w:szCs w:val="24"/>
        </w:rPr>
        <w:t>3.</w:t>
      </w:r>
      <w:r>
        <w:rPr>
          <w:rFonts w:ascii="Times New Roman" w:hAnsi="Times New Roman" w:cs="Times New Roman"/>
          <w:color w:val="000000" w:themeColor="text1"/>
          <w:sz w:val="24"/>
          <w:szCs w:val="24"/>
        </w:rPr>
        <w:t xml:space="preserve"> </w:t>
      </w:r>
      <w:r w:rsidR="00F16392" w:rsidRPr="009F7C92">
        <w:rPr>
          <w:rFonts w:ascii="Times New Roman" w:hAnsi="Times New Roman" w:cs="Times New Roman"/>
          <w:color w:val="000000" w:themeColor="text1"/>
          <w:sz w:val="24"/>
          <w:szCs w:val="24"/>
        </w:rPr>
        <w:t xml:space="preserve"> </w:t>
      </w:r>
      <w:r w:rsidR="00F16392" w:rsidRPr="009F7C92">
        <w:rPr>
          <w:rFonts w:ascii="Times New Roman" w:hAnsi="Times New Roman" w:cs="Times New Roman"/>
          <w:b/>
          <w:color w:val="000000" w:themeColor="text1"/>
          <w:sz w:val="24"/>
          <w:szCs w:val="24"/>
        </w:rPr>
        <w:t>účtovník</w:t>
      </w:r>
      <w:r w:rsidR="00F16392" w:rsidRPr="009F7C92">
        <w:rPr>
          <w:rFonts w:ascii="Times New Roman" w:hAnsi="Times New Roman" w:cs="Times New Roman"/>
          <w:color w:val="000000" w:themeColor="text1"/>
          <w:sz w:val="24"/>
          <w:szCs w:val="24"/>
        </w:rPr>
        <w:t>, riadený je manažérom združenia a je zodpovedný za:</w:t>
      </w:r>
    </w:p>
    <w:p w14:paraId="7D2B5FB8" w14:textId="77777777" w:rsidR="00F16392" w:rsidRPr="009F7C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zabezpečenie účtovnej evidencie a hospodárenie s finančnými prostriedkami a majetkom združenia,</w:t>
      </w:r>
    </w:p>
    <w:p w14:paraId="04041F44" w14:textId="77777777" w:rsidR="00F16392" w:rsidRDefault="00F16392" w:rsidP="00777128">
      <w:pPr>
        <w:numPr>
          <w:ilvl w:val="0"/>
          <w:numId w:val="44"/>
        </w:numPr>
        <w:spacing w:after="0" w:line="360" w:lineRule="auto"/>
        <w:ind w:left="709"/>
        <w:jc w:val="both"/>
        <w:rPr>
          <w:rFonts w:ascii="Times New Roman" w:hAnsi="Times New Roman" w:cs="Times New Roman"/>
          <w:color w:val="000000" w:themeColor="text1"/>
          <w:sz w:val="24"/>
          <w:szCs w:val="24"/>
        </w:rPr>
      </w:pPr>
      <w:r w:rsidRPr="009F7C92">
        <w:rPr>
          <w:rFonts w:ascii="Times New Roman" w:hAnsi="Times New Roman" w:cs="Times New Roman"/>
          <w:color w:val="000000" w:themeColor="text1"/>
          <w:sz w:val="24"/>
          <w:szCs w:val="24"/>
        </w:rPr>
        <w:t xml:space="preserve">nesie zodpovednosť </w:t>
      </w:r>
      <w:r w:rsidR="00556D98">
        <w:rPr>
          <w:rFonts w:ascii="Times New Roman" w:hAnsi="Times New Roman" w:cs="Times New Roman"/>
          <w:color w:val="000000" w:themeColor="text1"/>
          <w:sz w:val="24"/>
          <w:szCs w:val="24"/>
        </w:rPr>
        <w:t>za správnosť účtovnej evidencie a spolupracuje s príslušnými kontrolnými orgánmi,</w:t>
      </w:r>
    </w:p>
    <w:p w14:paraId="2D302C47" w14:textId="77777777" w:rsidR="00556D98" w:rsidRDefault="00556D98" w:rsidP="00777128">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spracovanie mzdovej a personálnej agendy.</w:t>
      </w:r>
    </w:p>
    <w:p w14:paraId="2C1F5897" w14:textId="77777777" w:rsidR="005914AF" w:rsidRPr="00D0587E" w:rsidRDefault="00D0587E" w:rsidP="00D0587E">
      <w:pPr>
        <w:pStyle w:val="Odsekzoznamu"/>
        <w:spacing w:after="0" w:line="360" w:lineRule="auto"/>
        <w:ind w:hanging="7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sidR="008657F3" w:rsidRPr="00D0587E">
        <w:rPr>
          <w:rFonts w:ascii="Times New Roman" w:hAnsi="Times New Roman" w:cs="Times New Roman"/>
          <w:b/>
          <w:color w:val="000000" w:themeColor="text1"/>
          <w:sz w:val="24"/>
          <w:szCs w:val="24"/>
        </w:rPr>
        <w:t xml:space="preserve"> </w:t>
      </w:r>
      <w:r w:rsidR="005914AF" w:rsidRPr="00D0587E">
        <w:rPr>
          <w:rFonts w:ascii="Times New Roman" w:hAnsi="Times New Roman" w:cs="Times New Roman"/>
          <w:b/>
          <w:color w:val="000000" w:themeColor="text1"/>
          <w:sz w:val="24"/>
          <w:szCs w:val="24"/>
        </w:rPr>
        <w:t>špecialista pre tvorbu koncepcií a propagácia cestovného ruchu,</w:t>
      </w:r>
      <w:r w:rsidR="005914AF" w:rsidRPr="00D0587E">
        <w:rPr>
          <w:rFonts w:ascii="Times New Roman" w:hAnsi="Times New Roman" w:cs="Times New Roman"/>
          <w:color w:val="000000" w:themeColor="text1"/>
          <w:sz w:val="24"/>
          <w:szCs w:val="24"/>
        </w:rPr>
        <w:t xml:space="preserve"> riadený je manažérom združenia a</w:t>
      </w:r>
      <w:r w:rsidR="00E46741" w:rsidRPr="00D0587E">
        <w:rPr>
          <w:rFonts w:ascii="Times New Roman" w:hAnsi="Times New Roman" w:cs="Times New Roman"/>
          <w:color w:val="000000" w:themeColor="text1"/>
          <w:sz w:val="24"/>
          <w:szCs w:val="24"/>
        </w:rPr>
        <w:t xml:space="preserve"> do</w:t>
      </w:r>
      <w:r w:rsidR="005914AF" w:rsidRPr="00D0587E">
        <w:rPr>
          <w:rFonts w:ascii="Times New Roman" w:hAnsi="Times New Roman" w:cs="Times New Roman"/>
          <w:color w:val="000000" w:themeColor="text1"/>
          <w:sz w:val="24"/>
          <w:szCs w:val="24"/>
        </w:rPr>
        <w:t xml:space="preserve"> je</w:t>
      </w:r>
      <w:r w:rsidR="00E46741" w:rsidRPr="00D0587E">
        <w:rPr>
          <w:rFonts w:ascii="Times New Roman" w:hAnsi="Times New Roman" w:cs="Times New Roman"/>
          <w:color w:val="000000" w:themeColor="text1"/>
          <w:sz w:val="24"/>
          <w:szCs w:val="24"/>
        </w:rPr>
        <w:t>ho pracovnej</w:t>
      </w:r>
      <w:r w:rsidR="005914AF" w:rsidRPr="00D0587E">
        <w:rPr>
          <w:rFonts w:ascii="Times New Roman" w:hAnsi="Times New Roman" w:cs="Times New Roman"/>
          <w:color w:val="000000" w:themeColor="text1"/>
          <w:sz w:val="24"/>
          <w:szCs w:val="24"/>
        </w:rPr>
        <w:t xml:space="preserve"> </w:t>
      </w:r>
      <w:r w:rsidR="00E46741" w:rsidRPr="00D0587E">
        <w:rPr>
          <w:rFonts w:ascii="Times New Roman" w:hAnsi="Times New Roman" w:cs="Times New Roman"/>
          <w:color w:val="000000" w:themeColor="text1"/>
          <w:sz w:val="24"/>
          <w:szCs w:val="24"/>
        </w:rPr>
        <w:t>náplne patrí</w:t>
      </w:r>
      <w:r w:rsidR="005914AF" w:rsidRPr="00D0587E">
        <w:rPr>
          <w:rFonts w:ascii="Times New Roman" w:hAnsi="Times New Roman" w:cs="Times New Roman"/>
          <w:color w:val="000000" w:themeColor="text1"/>
          <w:sz w:val="24"/>
          <w:szCs w:val="24"/>
        </w:rPr>
        <w:t>:</w:t>
      </w:r>
    </w:p>
    <w:p w14:paraId="4996668E"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00E46741">
        <w:rPr>
          <w:rFonts w:ascii="Times New Roman" w:hAnsi="Times New Roman" w:cs="Times New Roman"/>
          <w:color w:val="000000" w:themeColor="text1"/>
          <w:sz w:val="24"/>
          <w:szCs w:val="24"/>
        </w:rPr>
        <w:t>abezpečenie</w:t>
      </w:r>
      <w:r w:rsidR="005914AF" w:rsidRPr="005914AF">
        <w:rPr>
          <w:rFonts w:ascii="Times New Roman" w:hAnsi="Times New Roman" w:cs="Times New Roman"/>
          <w:color w:val="000000" w:themeColor="text1"/>
          <w:sz w:val="24"/>
          <w:szCs w:val="24"/>
        </w:rPr>
        <w:t xml:space="preserve"> chod</w:t>
      </w:r>
      <w:r w:rsidR="00E46741">
        <w:rPr>
          <w:rFonts w:ascii="Times New Roman" w:hAnsi="Times New Roman" w:cs="Times New Roman"/>
          <w:color w:val="000000" w:themeColor="text1"/>
          <w:sz w:val="24"/>
          <w:szCs w:val="24"/>
        </w:rPr>
        <w:t>u</w:t>
      </w:r>
      <w:r w:rsidR="005914AF" w:rsidRPr="005914AF">
        <w:rPr>
          <w:rFonts w:ascii="Times New Roman" w:hAnsi="Times New Roman" w:cs="Times New Roman"/>
          <w:color w:val="000000" w:themeColor="text1"/>
          <w:sz w:val="24"/>
          <w:szCs w:val="24"/>
        </w:rPr>
        <w:t xml:space="preserve"> a pr</w:t>
      </w:r>
      <w:r w:rsidR="00E46741">
        <w:rPr>
          <w:rFonts w:ascii="Times New Roman" w:hAnsi="Times New Roman" w:cs="Times New Roman"/>
          <w:color w:val="000000" w:themeColor="text1"/>
          <w:sz w:val="24"/>
          <w:szCs w:val="24"/>
        </w:rPr>
        <w:t>evádzky</w:t>
      </w:r>
      <w:r w:rsidR="005914AF" w:rsidRPr="005914AF">
        <w:rPr>
          <w:rFonts w:ascii="Times New Roman" w:hAnsi="Times New Roman" w:cs="Times New Roman"/>
          <w:color w:val="000000" w:themeColor="text1"/>
          <w:sz w:val="24"/>
          <w:szCs w:val="24"/>
        </w:rPr>
        <w:t xml:space="preserve"> Izby ľudových</w:t>
      </w:r>
      <w:r w:rsidR="00E46741">
        <w:rPr>
          <w:rFonts w:ascii="Times New Roman" w:hAnsi="Times New Roman" w:cs="Times New Roman"/>
          <w:color w:val="000000" w:themeColor="text1"/>
          <w:sz w:val="24"/>
          <w:szCs w:val="24"/>
        </w:rPr>
        <w:t xml:space="preserve"> tradícií, remesiel a produktov </w:t>
      </w:r>
    </w:p>
    <w:p w14:paraId="29E93D4A"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5914AF" w:rsidRPr="005914AF">
        <w:rPr>
          <w:rFonts w:ascii="Times New Roman" w:hAnsi="Times New Roman" w:cs="Times New Roman"/>
          <w:color w:val="000000" w:themeColor="text1"/>
          <w:sz w:val="24"/>
          <w:szCs w:val="24"/>
        </w:rPr>
        <w:t>vorb</w:t>
      </w:r>
      <w:r w:rsidR="00E46741">
        <w:rPr>
          <w:rFonts w:ascii="Times New Roman" w:hAnsi="Times New Roman" w:cs="Times New Roman"/>
          <w:color w:val="000000" w:themeColor="text1"/>
          <w:sz w:val="24"/>
          <w:szCs w:val="24"/>
        </w:rPr>
        <w:t>a</w:t>
      </w:r>
      <w:r w:rsidR="005914AF" w:rsidRPr="005914AF">
        <w:rPr>
          <w:rFonts w:ascii="Times New Roman" w:hAnsi="Times New Roman" w:cs="Times New Roman"/>
          <w:color w:val="000000" w:themeColor="text1"/>
          <w:sz w:val="24"/>
          <w:szCs w:val="24"/>
        </w:rPr>
        <w:t xml:space="preserve"> propagačných produktov združenia a produktov na propagáciu cestovného ruchu územia pôsobnosti zduženia,</w:t>
      </w:r>
    </w:p>
    <w:p w14:paraId="73E10257"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00E46741">
        <w:rPr>
          <w:rFonts w:ascii="Times New Roman" w:hAnsi="Times New Roman" w:cs="Times New Roman"/>
          <w:color w:val="000000" w:themeColor="text1"/>
          <w:sz w:val="24"/>
          <w:szCs w:val="24"/>
        </w:rPr>
        <w:t>abezpečenie spolupráce a súčinnosti</w:t>
      </w:r>
      <w:r w:rsidR="005914AF" w:rsidRPr="005914AF">
        <w:rPr>
          <w:rFonts w:ascii="Times New Roman" w:hAnsi="Times New Roman" w:cs="Times New Roman"/>
          <w:color w:val="000000" w:themeColor="text1"/>
          <w:sz w:val="24"/>
          <w:szCs w:val="24"/>
        </w:rPr>
        <w:t xml:space="preserve"> združenia s orgánmi a inštitúciami pôsobiacimi v oblasti cestovného ruchu,</w:t>
      </w:r>
    </w:p>
    <w:p w14:paraId="1A23C83B"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E46741">
        <w:rPr>
          <w:rFonts w:ascii="Times New Roman" w:hAnsi="Times New Roman" w:cs="Times New Roman"/>
          <w:color w:val="000000" w:themeColor="text1"/>
          <w:sz w:val="24"/>
          <w:szCs w:val="24"/>
        </w:rPr>
        <w:t>ríprava</w:t>
      </w:r>
      <w:r w:rsidR="005914AF" w:rsidRPr="005914AF">
        <w:rPr>
          <w:rFonts w:ascii="Times New Roman" w:hAnsi="Times New Roman" w:cs="Times New Roman"/>
          <w:color w:val="000000" w:themeColor="text1"/>
          <w:sz w:val="24"/>
          <w:szCs w:val="24"/>
        </w:rPr>
        <w:t xml:space="preserve"> návrh</w:t>
      </w:r>
      <w:r w:rsidR="00E46741">
        <w:rPr>
          <w:rFonts w:ascii="Times New Roman" w:hAnsi="Times New Roman" w:cs="Times New Roman"/>
          <w:color w:val="000000" w:themeColor="text1"/>
          <w:sz w:val="24"/>
          <w:szCs w:val="24"/>
        </w:rPr>
        <w:t>u</w:t>
      </w:r>
      <w:r w:rsidR="005914AF" w:rsidRPr="005914AF">
        <w:rPr>
          <w:rFonts w:ascii="Times New Roman" w:hAnsi="Times New Roman" w:cs="Times New Roman"/>
          <w:color w:val="000000" w:themeColor="text1"/>
          <w:sz w:val="24"/>
          <w:szCs w:val="24"/>
        </w:rPr>
        <w:t xml:space="preserve"> koncepcií a plánov rozvoja cestovného ruchu,</w:t>
      </w:r>
    </w:p>
    <w:p w14:paraId="69C54663"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00E46741">
        <w:rPr>
          <w:rFonts w:ascii="Times New Roman" w:hAnsi="Times New Roman" w:cs="Times New Roman"/>
          <w:color w:val="000000" w:themeColor="text1"/>
          <w:sz w:val="24"/>
          <w:szCs w:val="24"/>
        </w:rPr>
        <w:t>abezpečenie informačných a propagačných podujatí</w:t>
      </w:r>
      <w:r w:rsidR="005914AF" w:rsidRPr="005914AF">
        <w:rPr>
          <w:rFonts w:ascii="Times New Roman" w:hAnsi="Times New Roman" w:cs="Times New Roman"/>
          <w:color w:val="000000" w:themeColor="text1"/>
          <w:sz w:val="24"/>
          <w:szCs w:val="24"/>
        </w:rPr>
        <w:t xml:space="preserve"> združenia,</w:t>
      </w:r>
    </w:p>
    <w:p w14:paraId="502A44B1" w14:textId="77777777" w:rsidR="00E46741"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w:t>
      </w:r>
      <w:r w:rsidR="00E46741">
        <w:rPr>
          <w:rFonts w:ascii="Times New Roman" w:hAnsi="Times New Roman" w:cs="Times New Roman"/>
          <w:color w:val="000000" w:themeColor="text1"/>
          <w:sz w:val="24"/>
          <w:szCs w:val="24"/>
        </w:rPr>
        <w:t>abezpečenie prezentácie</w:t>
      </w:r>
      <w:r w:rsidR="005914AF" w:rsidRPr="005914AF">
        <w:rPr>
          <w:rFonts w:ascii="Times New Roman" w:hAnsi="Times New Roman" w:cs="Times New Roman"/>
          <w:color w:val="000000" w:themeColor="text1"/>
          <w:sz w:val="24"/>
          <w:szCs w:val="24"/>
        </w:rPr>
        <w:t xml:space="preserve"> produktov cestovného ruchu združenia na národnej a medzinárodnej úrovni</w:t>
      </w:r>
    </w:p>
    <w:p w14:paraId="009A1664" w14:textId="77777777" w:rsidR="005914AF" w:rsidRPr="005914AF"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5914AF" w:rsidRPr="005914AF">
        <w:rPr>
          <w:rFonts w:ascii="Times New Roman" w:hAnsi="Times New Roman" w:cs="Times New Roman"/>
          <w:color w:val="000000" w:themeColor="text1"/>
          <w:sz w:val="24"/>
          <w:szCs w:val="24"/>
        </w:rPr>
        <w:t>vorba balíčkov/produktov pre turistov, možnosti získania dotácie na produkty cestovného ruchu,</w:t>
      </w:r>
    </w:p>
    <w:p w14:paraId="3259B6DF" w14:textId="77777777" w:rsidR="005914AF" w:rsidRPr="00E46741" w:rsidRDefault="00F8126B" w:rsidP="00E46741">
      <w:pPr>
        <w:numPr>
          <w:ilvl w:val="0"/>
          <w:numId w:val="44"/>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E46741" w:rsidRPr="00E46741">
        <w:rPr>
          <w:rFonts w:ascii="Times New Roman" w:hAnsi="Times New Roman" w:cs="Times New Roman"/>
          <w:color w:val="000000" w:themeColor="text1"/>
          <w:sz w:val="24"/>
          <w:szCs w:val="24"/>
        </w:rPr>
        <w:t>ktualizáci</w:t>
      </w:r>
      <w:r w:rsidR="005914AF" w:rsidRPr="00E46741">
        <w:rPr>
          <w:rFonts w:ascii="Times New Roman" w:hAnsi="Times New Roman" w:cs="Times New Roman"/>
          <w:color w:val="000000" w:themeColor="text1"/>
          <w:sz w:val="24"/>
          <w:szCs w:val="24"/>
        </w:rPr>
        <w:t>a</w:t>
      </w:r>
      <w:r w:rsidR="00E46741" w:rsidRPr="00E46741">
        <w:rPr>
          <w:rFonts w:ascii="Times New Roman" w:hAnsi="Times New Roman" w:cs="Times New Roman"/>
          <w:color w:val="000000" w:themeColor="text1"/>
          <w:sz w:val="24"/>
          <w:szCs w:val="24"/>
        </w:rPr>
        <w:t xml:space="preserve"> webovej</w:t>
      </w:r>
      <w:r w:rsidR="005914AF" w:rsidRPr="00E46741">
        <w:rPr>
          <w:rFonts w:ascii="Times New Roman" w:hAnsi="Times New Roman" w:cs="Times New Roman"/>
          <w:color w:val="000000" w:themeColor="text1"/>
          <w:sz w:val="24"/>
          <w:szCs w:val="24"/>
        </w:rPr>
        <w:t xml:space="preserve"> stránky</w:t>
      </w:r>
      <w:r w:rsidR="00E46741" w:rsidRPr="00E46741">
        <w:rPr>
          <w:rFonts w:ascii="Times New Roman" w:hAnsi="Times New Roman" w:cs="Times New Roman"/>
          <w:color w:val="000000" w:themeColor="text1"/>
          <w:sz w:val="24"/>
          <w:szCs w:val="24"/>
        </w:rPr>
        <w:t xml:space="preserve"> </w:t>
      </w:r>
      <w:hyperlink r:id="rId23" w:history="1">
        <w:r w:rsidR="00D3336B" w:rsidRPr="004C3225">
          <w:rPr>
            <w:rStyle w:val="Hypertextovprepojenie"/>
            <w:rFonts w:ascii="Times New Roman" w:hAnsi="Times New Roman" w:cs="Times New Roman"/>
            <w:sz w:val="24"/>
            <w:szCs w:val="24"/>
          </w:rPr>
          <w:t>www.regionalneprodukty.sk</w:t>
        </w:r>
      </w:hyperlink>
      <w:r w:rsidR="00D3336B">
        <w:rPr>
          <w:rFonts w:ascii="Times New Roman" w:hAnsi="Times New Roman" w:cs="Times New Roman"/>
          <w:sz w:val="24"/>
          <w:szCs w:val="24"/>
        </w:rPr>
        <w:t xml:space="preserve"> </w:t>
      </w:r>
    </w:p>
    <w:p w14:paraId="36C959DD" w14:textId="77777777" w:rsidR="00556D98" w:rsidRPr="00F8126B" w:rsidRDefault="005914AF" w:rsidP="00D0587E">
      <w:pPr>
        <w:pStyle w:val="Odsekzoznamu"/>
        <w:numPr>
          <w:ilvl w:val="0"/>
          <w:numId w:val="40"/>
        </w:numPr>
        <w:spacing w:after="0" w:line="360" w:lineRule="auto"/>
        <w:ind w:left="426" w:hanging="426"/>
        <w:jc w:val="both"/>
        <w:rPr>
          <w:rFonts w:ascii="Times New Roman" w:hAnsi="Times New Roman" w:cs="Times New Roman"/>
          <w:color w:val="000000" w:themeColor="text1"/>
          <w:sz w:val="24"/>
          <w:szCs w:val="24"/>
        </w:rPr>
      </w:pPr>
      <w:r w:rsidRPr="00F8126B">
        <w:rPr>
          <w:rFonts w:ascii="Times New Roman" w:eastAsia="Times New Roman" w:hAnsi="Times New Roman" w:cs="Times New Roman"/>
          <w:b/>
          <w:sz w:val="24"/>
          <w:szCs w:val="24"/>
          <w:lang w:eastAsia="sk-SK"/>
        </w:rPr>
        <w:t>špecialista pre regionálny rozvoj a rozvoj vidieka</w:t>
      </w:r>
      <w:r w:rsidR="00E46741" w:rsidRPr="00F8126B">
        <w:rPr>
          <w:rFonts w:ascii="Times New Roman" w:eastAsia="Times New Roman" w:hAnsi="Times New Roman" w:cs="Times New Roman"/>
          <w:sz w:val="24"/>
          <w:szCs w:val="24"/>
          <w:lang w:eastAsia="sk-SK"/>
        </w:rPr>
        <w:t xml:space="preserve">, </w:t>
      </w:r>
      <w:r w:rsidR="00E46741" w:rsidRPr="00F8126B">
        <w:rPr>
          <w:rFonts w:ascii="Times New Roman" w:hAnsi="Times New Roman" w:cs="Times New Roman"/>
          <w:color w:val="000000" w:themeColor="text1"/>
          <w:sz w:val="24"/>
          <w:szCs w:val="24"/>
        </w:rPr>
        <w:t>riadený je manažérom združenia a  do jeho pracovnej náplne patrí:</w:t>
      </w:r>
    </w:p>
    <w:p w14:paraId="658931E3" w14:textId="77777777" w:rsidR="00E46741" w:rsidRDefault="00F8126B" w:rsidP="00E46741">
      <w:pPr>
        <w:pStyle w:val="msolistparagraph0"/>
        <w:numPr>
          <w:ilvl w:val="0"/>
          <w:numId w:val="49"/>
        </w:numPr>
        <w:spacing w:line="360" w:lineRule="auto"/>
        <w:ind w:left="709"/>
        <w:jc w:val="both"/>
      </w:pPr>
      <w:r>
        <w:rPr>
          <w:color w:val="000000" w:themeColor="text1"/>
        </w:rPr>
        <w:t>z</w:t>
      </w:r>
      <w:r w:rsidR="00E46741">
        <w:rPr>
          <w:color w:val="000000" w:themeColor="text1"/>
        </w:rPr>
        <w:t xml:space="preserve">abezpečenie </w:t>
      </w:r>
      <w:r w:rsidR="00E46741">
        <w:t>prípravy a vypracovania analytických a koncepčných dokumentov v oblasti komplexného regionálneho rozvoja</w:t>
      </w:r>
    </w:p>
    <w:p w14:paraId="5B4BB545" w14:textId="77777777" w:rsidR="00E46741" w:rsidRDefault="00F8126B" w:rsidP="00E46741">
      <w:pPr>
        <w:pStyle w:val="msolistparagraph0"/>
        <w:numPr>
          <w:ilvl w:val="0"/>
          <w:numId w:val="49"/>
        </w:numPr>
        <w:spacing w:line="360" w:lineRule="auto"/>
        <w:ind w:left="709"/>
        <w:jc w:val="both"/>
      </w:pPr>
      <w:r>
        <w:rPr>
          <w:color w:val="000000" w:themeColor="text1"/>
        </w:rPr>
        <w:lastRenderedPageBreak/>
        <w:t>z</w:t>
      </w:r>
      <w:r w:rsidR="00E46741">
        <w:rPr>
          <w:color w:val="000000" w:themeColor="text1"/>
        </w:rPr>
        <w:t xml:space="preserve">abezpečenie </w:t>
      </w:r>
      <w:r w:rsidR="00E46741">
        <w:t>úloh súvisiacich s realizáciou projektov, na ktoré získalo združenie nenávratný finančný príspevok z rôznych operačných programov a grantov na základe vyhlásených výziev,</w:t>
      </w:r>
    </w:p>
    <w:p w14:paraId="0275EFD0" w14:textId="77777777" w:rsidR="00E46741" w:rsidRDefault="00F8126B" w:rsidP="00E46741">
      <w:pPr>
        <w:pStyle w:val="msolistparagraph0"/>
        <w:numPr>
          <w:ilvl w:val="0"/>
          <w:numId w:val="49"/>
        </w:numPr>
        <w:spacing w:line="360" w:lineRule="auto"/>
        <w:ind w:left="709"/>
        <w:jc w:val="both"/>
      </w:pPr>
      <w:r>
        <w:rPr>
          <w:color w:val="000000" w:themeColor="text1"/>
        </w:rPr>
        <w:t>z</w:t>
      </w:r>
      <w:r w:rsidR="00E46741">
        <w:rPr>
          <w:color w:val="000000" w:themeColor="text1"/>
        </w:rPr>
        <w:t>abezpečenie</w:t>
      </w:r>
      <w:r w:rsidR="00E46741">
        <w:t xml:space="preserve"> úloh súvisiacich s prípravou, riadením, realizáciou a financovaním projektov,</w:t>
      </w:r>
    </w:p>
    <w:p w14:paraId="017DA694" w14:textId="77777777" w:rsidR="00E46741" w:rsidRDefault="00F8126B" w:rsidP="00E46741">
      <w:pPr>
        <w:pStyle w:val="msolistparagraph0"/>
        <w:numPr>
          <w:ilvl w:val="0"/>
          <w:numId w:val="49"/>
        </w:numPr>
        <w:spacing w:line="360" w:lineRule="auto"/>
        <w:ind w:left="709"/>
        <w:jc w:val="both"/>
      </w:pPr>
      <w:r>
        <w:rPr>
          <w:color w:val="000000" w:themeColor="text1"/>
        </w:rPr>
        <w:t>z</w:t>
      </w:r>
      <w:r w:rsidR="00E46741">
        <w:rPr>
          <w:color w:val="000000" w:themeColor="text1"/>
        </w:rPr>
        <w:t xml:space="preserve">abezpečenie </w:t>
      </w:r>
      <w:r w:rsidR="00E46741">
        <w:t>úloh súvisiacich s prípravou podkladov pre vypracovanie žiadosti o nenávratný finančný príspevok z rôznych operačných programov a grantov na základe vyhlásených výziev,</w:t>
      </w:r>
    </w:p>
    <w:p w14:paraId="4C6C2F18" w14:textId="77777777" w:rsidR="005914AF" w:rsidRPr="00E46741" w:rsidRDefault="00F8126B" w:rsidP="00E46741">
      <w:pPr>
        <w:pStyle w:val="msolistparagraph0"/>
        <w:numPr>
          <w:ilvl w:val="0"/>
          <w:numId w:val="49"/>
        </w:numPr>
        <w:spacing w:line="360" w:lineRule="auto"/>
        <w:ind w:left="709"/>
        <w:jc w:val="both"/>
      </w:pPr>
      <w:r>
        <w:rPr>
          <w:color w:val="000000" w:themeColor="text1"/>
        </w:rPr>
        <w:t>z</w:t>
      </w:r>
      <w:r w:rsidR="00E46741">
        <w:rPr>
          <w:color w:val="000000" w:themeColor="text1"/>
        </w:rPr>
        <w:t xml:space="preserve">abezpečenie </w:t>
      </w:r>
      <w:r w:rsidR="00E46741">
        <w:t>podpory trvalo udržateľného rozvoja vidieka, vidieckych oblastí a podpory zvyšovania kvality života na vidieku</w:t>
      </w:r>
      <w:r w:rsidR="00E46741" w:rsidRPr="00E46741">
        <w:rPr>
          <w:color w:val="000000" w:themeColor="text1"/>
        </w:rPr>
        <w:t>,</w:t>
      </w:r>
    </w:p>
    <w:p w14:paraId="6D578673" w14:textId="77777777" w:rsidR="00E46741" w:rsidRPr="00E46741" w:rsidRDefault="00E46741" w:rsidP="00E46741">
      <w:pPr>
        <w:pStyle w:val="msolistparagraph0"/>
        <w:spacing w:line="360" w:lineRule="auto"/>
        <w:ind w:left="0"/>
        <w:jc w:val="both"/>
      </w:pPr>
      <w:r>
        <w:t>Táto pozícia je momentálne ako jediná neobsadená</w:t>
      </w:r>
      <w:r w:rsidR="00F8126B">
        <w:t>.</w:t>
      </w:r>
    </w:p>
    <w:p w14:paraId="51CDD599" w14:textId="77777777" w:rsidR="00D3336B" w:rsidRDefault="00D3336B" w:rsidP="00556D98">
      <w:pPr>
        <w:spacing w:after="0" w:line="360" w:lineRule="auto"/>
        <w:jc w:val="both"/>
        <w:rPr>
          <w:rFonts w:ascii="Times New Roman" w:hAnsi="Times New Roman" w:cs="Times New Roman"/>
          <w:color w:val="000000" w:themeColor="text1"/>
          <w:sz w:val="24"/>
          <w:szCs w:val="24"/>
        </w:rPr>
      </w:pPr>
    </w:p>
    <w:p w14:paraId="5911183D" w14:textId="77777777" w:rsidR="00556D98" w:rsidRPr="00BE750E" w:rsidRDefault="00556D98" w:rsidP="00556D98">
      <w:pPr>
        <w:spacing w:after="0" w:line="360" w:lineRule="auto"/>
        <w:jc w:val="both"/>
        <w:rPr>
          <w:rFonts w:ascii="Times New Roman" w:hAnsi="Times New Roman" w:cs="Times New Roman"/>
          <w:b/>
          <w:color w:val="000000" w:themeColor="text1"/>
          <w:sz w:val="24"/>
          <w:szCs w:val="24"/>
        </w:rPr>
      </w:pPr>
      <w:r w:rsidRPr="00BE750E">
        <w:rPr>
          <w:rFonts w:ascii="Times New Roman" w:hAnsi="Times New Roman" w:cs="Times New Roman"/>
          <w:b/>
          <w:color w:val="000000" w:themeColor="text1"/>
          <w:sz w:val="24"/>
          <w:szCs w:val="24"/>
        </w:rPr>
        <w:t>Spôsob propagácie činnosti verejno-súkromného partnerstva</w:t>
      </w:r>
    </w:p>
    <w:p w14:paraId="7FDBCD73" w14:textId="77777777" w:rsidR="00556D98" w:rsidRPr="008A39D0" w:rsidRDefault="00556D98" w:rsidP="00556D98">
      <w:pPr>
        <w:spacing w:after="0" w:line="360" w:lineRule="auto"/>
        <w:jc w:val="both"/>
        <w:rPr>
          <w:rFonts w:ascii="Times New Roman" w:hAnsi="Times New Roman" w:cs="Times New Roman"/>
          <w:b/>
          <w:i/>
          <w:sz w:val="24"/>
          <w:szCs w:val="24"/>
        </w:rPr>
      </w:pPr>
      <w:r w:rsidRPr="008A39D0">
        <w:rPr>
          <w:rFonts w:ascii="Times New Roman" w:hAnsi="Times New Roman" w:cs="Times New Roman"/>
          <w:b/>
          <w:i/>
          <w:sz w:val="24"/>
          <w:szCs w:val="24"/>
        </w:rPr>
        <w:t xml:space="preserve">Spôsoby komunikácie s obyvateľmi a organizáciami na území MAS. </w:t>
      </w:r>
    </w:p>
    <w:p w14:paraId="2E65A732" w14:textId="77777777" w:rsidR="00556D98" w:rsidRPr="008A39D0" w:rsidRDefault="00556D98" w:rsidP="00556D98">
      <w:pPr>
        <w:spacing w:after="0" w:line="360" w:lineRule="auto"/>
        <w:jc w:val="both"/>
        <w:rPr>
          <w:rFonts w:ascii="Times New Roman" w:hAnsi="Times New Roman" w:cs="Times New Roman"/>
          <w:sz w:val="24"/>
          <w:szCs w:val="24"/>
        </w:rPr>
      </w:pPr>
      <w:r w:rsidRPr="008A39D0">
        <w:rPr>
          <w:rFonts w:ascii="Times New Roman" w:hAnsi="Times New Roman" w:cs="Times New Roman"/>
          <w:sz w:val="24"/>
          <w:szCs w:val="24"/>
        </w:rPr>
        <w:t xml:space="preserve">Pre účely zabezpečenia informovanosti </w:t>
      </w:r>
      <w:r>
        <w:rPr>
          <w:rFonts w:ascii="Times New Roman" w:hAnsi="Times New Roman" w:cs="Times New Roman"/>
          <w:sz w:val="24"/>
          <w:szCs w:val="24"/>
        </w:rPr>
        <w:t xml:space="preserve">orgánov združenia a </w:t>
      </w:r>
      <w:r w:rsidRPr="008A39D0">
        <w:rPr>
          <w:rFonts w:ascii="Times New Roman" w:hAnsi="Times New Roman" w:cs="Times New Roman"/>
          <w:sz w:val="24"/>
          <w:szCs w:val="24"/>
        </w:rPr>
        <w:t xml:space="preserve">cieľových skupín o činnosti MAS, jej aktivitách a vyhlásených výzvach sú využívané nasledovné nástroje: </w:t>
      </w:r>
    </w:p>
    <w:p w14:paraId="0CCBEABB"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 xml:space="preserve">internetová webstránka združenia: </w:t>
      </w:r>
      <w:hyperlink r:id="rId24" w:history="1">
        <w:r w:rsidRPr="00973DEA">
          <w:rPr>
            <w:rStyle w:val="Hypertextovprepojenie"/>
            <w:rFonts w:ascii="Times New Roman" w:hAnsi="Times New Roman" w:cs="Times New Roman"/>
            <w:sz w:val="24"/>
            <w:szCs w:val="24"/>
          </w:rPr>
          <w:t>www.kopaniciarskyregion.sk</w:t>
        </w:r>
      </w:hyperlink>
      <w:r>
        <w:rPr>
          <w:rFonts w:ascii="Times New Roman" w:hAnsi="Times New Roman" w:cs="Times New Roman"/>
          <w:sz w:val="24"/>
          <w:szCs w:val="24"/>
        </w:rPr>
        <w:t xml:space="preserve"> </w:t>
      </w:r>
      <w:r>
        <w:rPr>
          <w:rStyle w:val="Hypertextovprepojenie"/>
          <w:rFonts w:ascii="Times New Roman" w:hAnsi="Times New Roman" w:cs="Times New Roman"/>
          <w:color w:val="auto"/>
          <w:sz w:val="24"/>
          <w:szCs w:val="24"/>
          <w:u w:val="none"/>
        </w:rPr>
        <w:t>(aktualizovaná priebežne)</w:t>
      </w:r>
    </w:p>
    <w:p w14:paraId="05F8B8F1" w14:textId="77777777" w:rsidR="00556D98" w:rsidRDefault="00556D98" w:rsidP="003301D6">
      <w:pPr>
        <w:pStyle w:val="Odsekzoznamu"/>
        <w:numPr>
          <w:ilvl w:val="0"/>
          <w:numId w:val="46"/>
        </w:numPr>
      </w:pPr>
      <w:r w:rsidRPr="000E4B05">
        <w:rPr>
          <w:rFonts w:ascii="Times New Roman" w:hAnsi="Times New Roman" w:cs="Times New Roman"/>
          <w:sz w:val="24"/>
          <w:szCs w:val="24"/>
        </w:rPr>
        <w:t>sociálne siete</w:t>
      </w:r>
      <w:r>
        <w:rPr>
          <w:rFonts w:ascii="Times New Roman" w:hAnsi="Times New Roman" w:cs="Times New Roman"/>
          <w:sz w:val="24"/>
          <w:szCs w:val="24"/>
        </w:rPr>
        <w:t xml:space="preserve">: </w:t>
      </w:r>
      <w:r w:rsidRPr="00556D98">
        <w:t xml:space="preserve"> </w:t>
      </w:r>
      <w:hyperlink r:id="rId25" w:history="1">
        <w:r w:rsidRPr="00973DEA">
          <w:rPr>
            <w:rStyle w:val="Hypertextovprepojenie"/>
            <w:rFonts w:ascii="Times New Roman" w:hAnsi="Times New Roman" w:cs="Times New Roman"/>
            <w:sz w:val="24"/>
            <w:szCs w:val="24"/>
          </w:rPr>
          <w:t>https://www.facebook.com/Kopani%C4%8Diarsky-regi%C3%B3n-MAS-369767339715840/?ref=aymt_homepage_panel</w:t>
        </w:r>
      </w:hyperlink>
      <w:r>
        <w:rPr>
          <w:rFonts w:ascii="Times New Roman" w:hAnsi="Times New Roman" w:cs="Times New Roman"/>
          <w:sz w:val="24"/>
          <w:szCs w:val="24"/>
        </w:rPr>
        <w:t xml:space="preserve"> </w:t>
      </w:r>
    </w:p>
    <w:p w14:paraId="31DBA116"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regionálne noviny</w:t>
      </w:r>
      <w:r w:rsidR="005914AF">
        <w:rPr>
          <w:rFonts w:ascii="Times New Roman" w:hAnsi="Times New Roman" w:cs="Times New Roman"/>
          <w:sz w:val="24"/>
          <w:szCs w:val="24"/>
        </w:rPr>
        <w:t xml:space="preserve"> </w:t>
      </w:r>
      <w:r w:rsidRPr="000E4B05">
        <w:rPr>
          <w:rFonts w:ascii="Times New Roman" w:hAnsi="Times New Roman" w:cs="Times New Roman"/>
          <w:sz w:val="24"/>
          <w:szCs w:val="24"/>
        </w:rPr>
        <w:t xml:space="preserve">- </w:t>
      </w:r>
      <w:r>
        <w:rPr>
          <w:rFonts w:ascii="Times New Roman" w:hAnsi="Times New Roman" w:cs="Times New Roman"/>
          <w:sz w:val="24"/>
          <w:szCs w:val="24"/>
        </w:rPr>
        <w:t>Kopaničiar express, a noviny, ktoré vydávajú jednotlivé obce,</w:t>
      </w:r>
    </w:p>
    <w:p w14:paraId="51BF90EC" w14:textId="77777777" w:rsidR="00D3336B" w:rsidRDefault="00D3336B"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internetová webstránka</w:t>
      </w:r>
      <w:r>
        <w:rPr>
          <w:rFonts w:ascii="Times New Roman" w:hAnsi="Times New Roman" w:cs="Times New Roman"/>
          <w:sz w:val="24"/>
          <w:szCs w:val="24"/>
        </w:rPr>
        <w:t xml:space="preserve"> slúžiaca na propagáciu produktov nesúcich značku Kopanice – regionálny produkt </w:t>
      </w:r>
      <w:hyperlink r:id="rId26" w:history="1">
        <w:r w:rsidRPr="004C3225">
          <w:rPr>
            <w:rStyle w:val="Hypertextovprepojenie"/>
            <w:rFonts w:ascii="Times New Roman" w:hAnsi="Times New Roman" w:cs="Times New Roman"/>
            <w:sz w:val="24"/>
            <w:szCs w:val="24"/>
          </w:rPr>
          <w:t>www.regionalneprodukty.sk</w:t>
        </w:r>
      </w:hyperlink>
    </w:p>
    <w:p w14:paraId="3D2795F6"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organizovanie informačných seminárov/workshopov</w:t>
      </w:r>
    </w:p>
    <w:p w14:paraId="32B0CB3F"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vydávanie informačných tlačovín Spravodaj MAS</w:t>
      </w:r>
    </w:p>
    <w:p w14:paraId="4371F14D"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 xml:space="preserve">organizovanie tuzemských a zahraničných informačných návštev </w:t>
      </w:r>
    </w:p>
    <w:p w14:paraId="0542E068" w14:textId="77777777" w:rsidR="00556D98" w:rsidRPr="000E4B05" w:rsidRDefault="00556D98" w:rsidP="003301D6">
      <w:pPr>
        <w:pStyle w:val="Odsekzoznamu"/>
        <w:numPr>
          <w:ilvl w:val="0"/>
          <w:numId w:val="46"/>
        </w:numPr>
        <w:spacing w:after="0" w:line="360" w:lineRule="auto"/>
        <w:jc w:val="both"/>
        <w:rPr>
          <w:rFonts w:ascii="Times New Roman" w:hAnsi="Times New Roman" w:cs="Times New Roman"/>
          <w:sz w:val="24"/>
          <w:szCs w:val="24"/>
        </w:rPr>
      </w:pPr>
      <w:r w:rsidRPr="000E4B05">
        <w:rPr>
          <w:rFonts w:ascii="Times New Roman" w:hAnsi="Times New Roman" w:cs="Times New Roman"/>
          <w:sz w:val="24"/>
          <w:szCs w:val="24"/>
        </w:rPr>
        <w:t>individuálne poradenstvo a informovanie v kancelárii MAS</w:t>
      </w:r>
    </w:p>
    <w:p w14:paraId="71A7A98E" w14:textId="77777777" w:rsidR="00556D98" w:rsidRPr="009C7ED7" w:rsidRDefault="00556D98" w:rsidP="003301D6">
      <w:pPr>
        <w:pStyle w:val="Odsekzoznamu"/>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ú</w:t>
      </w:r>
      <w:r w:rsidRPr="000E4B05">
        <w:rPr>
          <w:rFonts w:ascii="Times New Roman" w:hAnsi="Times New Roman" w:cs="Times New Roman"/>
          <w:sz w:val="24"/>
          <w:szCs w:val="24"/>
        </w:rPr>
        <w:t>časť na podujatiach organizovaných na území MAS.</w:t>
      </w:r>
      <w:r w:rsidRPr="009C7ED7">
        <w:rPr>
          <w:rFonts w:ascii="Times New Roman" w:hAnsi="Times New Roman" w:cs="Times New Roman"/>
          <w:color w:val="000000" w:themeColor="text1"/>
          <w:sz w:val="24"/>
          <w:szCs w:val="24"/>
        </w:rPr>
        <w:t xml:space="preserve">        </w:t>
      </w:r>
    </w:p>
    <w:p w14:paraId="48209A22" w14:textId="77777777" w:rsidR="00F8126B" w:rsidRDefault="00F8126B" w:rsidP="00556D98">
      <w:pPr>
        <w:spacing w:after="0" w:line="360" w:lineRule="auto"/>
        <w:jc w:val="both"/>
        <w:rPr>
          <w:rFonts w:ascii="Times New Roman" w:hAnsi="Times New Roman" w:cs="Times New Roman"/>
          <w:b/>
          <w:color w:val="000000" w:themeColor="text1"/>
          <w:sz w:val="24"/>
          <w:szCs w:val="24"/>
        </w:rPr>
      </w:pPr>
    </w:p>
    <w:p w14:paraId="25C5D369" w14:textId="77777777" w:rsidR="00556D98" w:rsidRPr="009C7ED7" w:rsidRDefault="00556D98" w:rsidP="00556D98">
      <w:pPr>
        <w:spacing w:after="0" w:line="360" w:lineRule="auto"/>
        <w:jc w:val="both"/>
        <w:rPr>
          <w:rFonts w:ascii="Times New Roman" w:hAnsi="Times New Roman" w:cs="Times New Roman"/>
          <w:b/>
          <w:color w:val="000000" w:themeColor="text1"/>
          <w:sz w:val="24"/>
          <w:szCs w:val="24"/>
        </w:rPr>
      </w:pPr>
      <w:r w:rsidRPr="00BE750E">
        <w:rPr>
          <w:rFonts w:ascii="Times New Roman" w:hAnsi="Times New Roman" w:cs="Times New Roman"/>
          <w:b/>
          <w:color w:val="000000" w:themeColor="text1"/>
          <w:sz w:val="24"/>
          <w:szCs w:val="24"/>
        </w:rPr>
        <w:t xml:space="preserve">Spôsob konzultácie s konečnými prijímateľmi – predkladateľmi projektov (poradenstvo a externá pomoc). </w:t>
      </w:r>
    </w:p>
    <w:p w14:paraId="314C1A71" w14:textId="77777777" w:rsidR="00556D98" w:rsidRPr="006F5124" w:rsidRDefault="00556D98" w:rsidP="00556D98">
      <w:pPr>
        <w:spacing w:after="0" w:line="360" w:lineRule="auto"/>
        <w:jc w:val="both"/>
        <w:rPr>
          <w:rFonts w:ascii="Times New Roman" w:hAnsi="Times New Roman" w:cs="Times New Roman"/>
          <w:strike/>
          <w:sz w:val="24"/>
          <w:szCs w:val="24"/>
        </w:rPr>
      </w:pPr>
      <w:r w:rsidRPr="006F5124">
        <w:rPr>
          <w:rFonts w:ascii="Times New Roman" w:hAnsi="Times New Roman" w:cs="Times New Roman"/>
          <w:sz w:val="24"/>
          <w:szCs w:val="24"/>
        </w:rPr>
        <w:t xml:space="preserve">Konzultácie s konečnými prijímateľmi – predkladateľmi projektov </w:t>
      </w:r>
      <w:r w:rsidR="006F5124" w:rsidRPr="006F5124">
        <w:rPr>
          <w:rFonts w:ascii="Times New Roman" w:hAnsi="Times New Roman" w:cs="Times New Roman"/>
          <w:sz w:val="24"/>
          <w:szCs w:val="24"/>
        </w:rPr>
        <w:t>bývajú</w:t>
      </w:r>
      <w:r w:rsidRPr="006F5124">
        <w:rPr>
          <w:rFonts w:ascii="Times New Roman" w:hAnsi="Times New Roman" w:cs="Times New Roman"/>
          <w:sz w:val="24"/>
          <w:szCs w:val="24"/>
        </w:rPr>
        <w:t xml:space="preserve"> realizované v kancelárii združenia a z pozície združenia </w:t>
      </w:r>
      <w:r w:rsidR="006F5124" w:rsidRPr="006F5124">
        <w:rPr>
          <w:rFonts w:ascii="Times New Roman" w:hAnsi="Times New Roman" w:cs="Times New Roman"/>
          <w:sz w:val="24"/>
          <w:szCs w:val="24"/>
        </w:rPr>
        <w:t>s</w:t>
      </w:r>
      <w:r w:rsidRPr="006F5124">
        <w:rPr>
          <w:rFonts w:ascii="Times New Roman" w:hAnsi="Times New Roman" w:cs="Times New Roman"/>
          <w:sz w:val="24"/>
          <w:szCs w:val="24"/>
        </w:rPr>
        <w:t>ú vykonávané manažérom združenia. Konzultá</w:t>
      </w:r>
      <w:r w:rsidR="00254F77" w:rsidRPr="006F5124">
        <w:rPr>
          <w:rFonts w:ascii="Times New Roman" w:hAnsi="Times New Roman" w:cs="Times New Roman"/>
          <w:sz w:val="24"/>
          <w:szCs w:val="24"/>
        </w:rPr>
        <w:t xml:space="preserve">cie </w:t>
      </w:r>
      <w:r w:rsidR="006F5124" w:rsidRPr="006F5124">
        <w:rPr>
          <w:rFonts w:ascii="Times New Roman" w:hAnsi="Times New Roman" w:cs="Times New Roman"/>
          <w:sz w:val="24"/>
          <w:szCs w:val="24"/>
        </w:rPr>
        <w:t>s</w:t>
      </w:r>
      <w:r w:rsidR="00254F77" w:rsidRPr="006F5124">
        <w:rPr>
          <w:rFonts w:ascii="Times New Roman" w:hAnsi="Times New Roman" w:cs="Times New Roman"/>
          <w:sz w:val="24"/>
          <w:szCs w:val="24"/>
        </w:rPr>
        <w:t>ú vykonávané vo vzťahu k</w:t>
      </w:r>
      <w:r w:rsidRPr="006F5124">
        <w:rPr>
          <w:rFonts w:ascii="Times New Roman" w:hAnsi="Times New Roman" w:cs="Times New Roman"/>
          <w:sz w:val="24"/>
          <w:szCs w:val="24"/>
        </w:rPr>
        <w:t xml:space="preserve"> predkladaniu ŽoNFP (projektov) a ich súladu so stratégiou </w:t>
      </w:r>
      <w:r w:rsidRPr="006F5124">
        <w:rPr>
          <w:rFonts w:ascii="Times New Roman" w:hAnsi="Times New Roman" w:cs="Times New Roman"/>
          <w:sz w:val="24"/>
          <w:szCs w:val="24"/>
        </w:rPr>
        <w:lastRenderedPageBreak/>
        <w:t>CLLD</w:t>
      </w:r>
      <w:r w:rsidR="00254F77" w:rsidRPr="006F5124">
        <w:rPr>
          <w:rFonts w:ascii="Times New Roman" w:hAnsi="Times New Roman" w:cs="Times New Roman"/>
          <w:sz w:val="24"/>
          <w:szCs w:val="24"/>
        </w:rPr>
        <w:t>, ako aj k</w:t>
      </w:r>
      <w:r w:rsidRPr="006F5124">
        <w:rPr>
          <w:rFonts w:ascii="Times New Roman" w:hAnsi="Times New Roman" w:cs="Times New Roman"/>
          <w:sz w:val="24"/>
          <w:szCs w:val="24"/>
        </w:rPr>
        <w:t xml:space="preserve"> procesu výberu projektov, ich predkladaniu PPA a IROP komunikácie s</w:t>
      </w:r>
      <w:r w:rsidR="00254F77" w:rsidRPr="006F5124">
        <w:rPr>
          <w:rFonts w:ascii="Times New Roman" w:hAnsi="Times New Roman" w:cs="Times New Roman"/>
          <w:sz w:val="24"/>
          <w:szCs w:val="24"/>
        </w:rPr>
        <w:t xml:space="preserve"> </w:t>
      </w:r>
      <w:r w:rsidRPr="006F5124">
        <w:rPr>
          <w:rFonts w:ascii="Times New Roman" w:hAnsi="Times New Roman" w:cs="Times New Roman"/>
          <w:sz w:val="24"/>
          <w:szCs w:val="24"/>
        </w:rPr>
        <w:t>RO, ako aj v procese ich realizácie, monitoringu a kontroly. Tieto procesy prebieha</w:t>
      </w:r>
      <w:r w:rsidR="006F5124" w:rsidRPr="006F5124">
        <w:rPr>
          <w:rFonts w:ascii="Times New Roman" w:hAnsi="Times New Roman" w:cs="Times New Roman"/>
          <w:sz w:val="24"/>
          <w:szCs w:val="24"/>
        </w:rPr>
        <w:t>jú</w:t>
      </w:r>
      <w:r w:rsidRPr="006F5124">
        <w:rPr>
          <w:rFonts w:ascii="Times New Roman" w:hAnsi="Times New Roman" w:cs="Times New Roman"/>
          <w:sz w:val="24"/>
          <w:szCs w:val="24"/>
        </w:rPr>
        <w:t xml:space="preserve"> v súlade s Programom rozvoja vidieka SR 2014-2020</w:t>
      </w:r>
      <w:r w:rsidR="00254F77" w:rsidRPr="006F5124">
        <w:rPr>
          <w:rFonts w:ascii="Times New Roman" w:hAnsi="Times New Roman" w:cs="Times New Roman"/>
          <w:sz w:val="24"/>
          <w:szCs w:val="24"/>
        </w:rPr>
        <w:t xml:space="preserve"> </w:t>
      </w:r>
      <w:r w:rsidRPr="006F5124">
        <w:rPr>
          <w:rFonts w:ascii="Times New Roman" w:hAnsi="Times New Roman" w:cs="Times New Roman"/>
          <w:sz w:val="24"/>
          <w:szCs w:val="24"/>
        </w:rPr>
        <w:t>s Integrovaným regionálnym operačným programom 2014 - 2020, tiež v súlade so Systémom riadenia CLLD a Systémom riadenia PRV a EŠIF.</w:t>
      </w:r>
    </w:p>
    <w:p w14:paraId="4F9F3CD6" w14:textId="77777777" w:rsidR="00F8126B" w:rsidRDefault="00F8126B" w:rsidP="00387D99">
      <w:pPr>
        <w:spacing w:after="0" w:line="360" w:lineRule="auto"/>
        <w:jc w:val="both"/>
        <w:rPr>
          <w:rFonts w:ascii="Times New Roman" w:hAnsi="Times New Roman" w:cs="Times New Roman"/>
          <w:sz w:val="24"/>
          <w:szCs w:val="24"/>
          <w:u w:val="single"/>
        </w:rPr>
      </w:pPr>
    </w:p>
    <w:p w14:paraId="2AEDCB24" w14:textId="77777777" w:rsidR="00387D99" w:rsidRPr="004E12E6" w:rsidRDefault="00387D99" w:rsidP="00387D99">
      <w:pPr>
        <w:spacing w:after="0" w:line="360" w:lineRule="auto"/>
        <w:jc w:val="both"/>
        <w:rPr>
          <w:rFonts w:ascii="Times New Roman" w:hAnsi="Times New Roman" w:cs="Times New Roman"/>
          <w:sz w:val="24"/>
          <w:szCs w:val="24"/>
          <w:u w:val="single"/>
        </w:rPr>
      </w:pPr>
      <w:r w:rsidRPr="004E12E6">
        <w:rPr>
          <w:rFonts w:ascii="Times New Roman" w:hAnsi="Times New Roman" w:cs="Times New Roman"/>
          <w:sz w:val="24"/>
          <w:szCs w:val="24"/>
          <w:u w:val="single"/>
        </w:rPr>
        <w:t>Štruktúra a organizácia Združenia</w:t>
      </w:r>
      <w:r>
        <w:rPr>
          <w:rFonts w:ascii="Times New Roman" w:hAnsi="Times New Roman" w:cs="Times New Roman"/>
          <w:sz w:val="24"/>
          <w:szCs w:val="24"/>
          <w:u w:val="single"/>
        </w:rPr>
        <w:t xml:space="preserve">, ako aj </w:t>
      </w:r>
      <w:r w:rsidRPr="00794F29">
        <w:rPr>
          <w:rFonts w:ascii="Times New Roman" w:hAnsi="Times New Roman" w:cs="Times New Roman"/>
          <w:sz w:val="24"/>
          <w:szCs w:val="24"/>
          <w:u w:val="single"/>
        </w:rPr>
        <w:t xml:space="preserve">úlohy a </w:t>
      </w:r>
      <w:r w:rsidRPr="005346E8">
        <w:rPr>
          <w:rFonts w:ascii="Times New Roman" w:hAnsi="Times New Roman" w:cs="Times New Roman"/>
          <w:sz w:val="24"/>
          <w:szCs w:val="24"/>
          <w:u w:val="single"/>
        </w:rPr>
        <w:t>zodpovednosti</w:t>
      </w:r>
      <w:r w:rsidRPr="005346E8">
        <w:rPr>
          <w:u w:val="single"/>
        </w:rPr>
        <w:t xml:space="preserve"> </w:t>
      </w:r>
      <w:r w:rsidRPr="005346E8">
        <w:rPr>
          <w:rFonts w:ascii="Times New Roman" w:hAnsi="Times New Roman" w:cs="Times New Roman"/>
          <w:sz w:val="24"/>
          <w:szCs w:val="24"/>
          <w:u w:val="single"/>
        </w:rPr>
        <w:t>jednotlivých</w:t>
      </w:r>
      <w:r w:rsidRPr="00794F29">
        <w:rPr>
          <w:rFonts w:ascii="Times New Roman" w:hAnsi="Times New Roman" w:cs="Times New Roman"/>
          <w:sz w:val="24"/>
          <w:szCs w:val="24"/>
          <w:u w:val="single"/>
        </w:rPr>
        <w:t xml:space="preserve"> orgánov</w:t>
      </w:r>
      <w:r w:rsidRPr="004E12E6">
        <w:rPr>
          <w:rFonts w:ascii="Times New Roman" w:hAnsi="Times New Roman" w:cs="Times New Roman"/>
          <w:sz w:val="24"/>
          <w:szCs w:val="24"/>
          <w:u w:val="single"/>
        </w:rPr>
        <w:t xml:space="preserve"> je bližšie doložená v prílohách:</w:t>
      </w:r>
    </w:p>
    <w:p w14:paraId="7F96DF0B" w14:textId="77777777" w:rsidR="00387D99" w:rsidRPr="00EA56C9" w:rsidRDefault="00387D99" w:rsidP="003301D6">
      <w:pPr>
        <w:pStyle w:val="Odsekzoznamu"/>
        <w:numPr>
          <w:ilvl w:val="0"/>
          <w:numId w:val="1"/>
        </w:numPr>
        <w:spacing w:after="0" w:line="360" w:lineRule="auto"/>
        <w:jc w:val="both"/>
        <w:rPr>
          <w:rFonts w:ascii="Times New Roman" w:hAnsi="Times New Roman" w:cs="Times New Roman"/>
          <w:sz w:val="24"/>
          <w:szCs w:val="24"/>
        </w:rPr>
      </w:pPr>
      <w:r w:rsidRPr="00EA56C9">
        <w:rPr>
          <w:rFonts w:ascii="Times New Roman" w:hAnsi="Times New Roman" w:cs="Times New Roman"/>
          <w:sz w:val="24"/>
          <w:szCs w:val="24"/>
        </w:rPr>
        <w:t xml:space="preserve">Stanovy KR </w:t>
      </w:r>
      <w:r w:rsidR="00EA56C9">
        <w:rPr>
          <w:rFonts w:ascii="Times New Roman" w:hAnsi="Times New Roman" w:cs="Times New Roman"/>
          <w:sz w:val="24"/>
          <w:szCs w:val="24"/>
        </w:rPr>
        <w:t>–</w:t>
      </w:r>
      <w:r w:rsidRPr="00EA56C9">
        <w:rPr>
          <w:rFonts w:ascii="Times New Roman" w:hAnsi="Times New Roman" w:cs="Times New Roman"/>
          <w:sz w:val="24"/>
          <w:szCs w:val="24"/>
        </w:rPr>
        <w:t xml:space="preserve"> MAS</w:t>
      </w:r>
    </w:p>
    <w:p w14:paraId="59F7A753" w14:textId="77777777" w:rsidR="00387D99" w:rsidRDefault="00387D99" w:rsidP="003301D6">
      <w:pPr>
        <w:pStyle w:val="Odsekzoznamu"/>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Organizačný poriadok</w:t>
      </w:r>
    </w:p>
    <w:p w14:paraId="0CDAFE96" w14:textId="77777777" w:rsidR="00387D99" w:rsidRDefault="00387D99" w:rsidP="003301D6">
      <w:pPr>
        <w:pStyle w:val="Odsekzoznamu"/>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Rokovací poriadok pre Monitorovacieho výboru</w:t>
      </w:r>
    </w:p>
    <w:p w14:paraId="48657564" w14:textId="77777777" w:rsidR="00387D99" w:rsidRPr="004E12E6" w:rsidRDefault="00387D99" w:rsidP="003301D6">
      <w:pPr>
        <w:pStyle w:val="Odsekzoznamu"/>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Štatút výberovej komisie</w:t>
      </w:r>
    </w:p>
    <w:p w14:paraId="7755604E" w14:textId="77777777" w:rsidR="00387D99" w:rsidRPr="00891B13" w:rsidRDefault="00387D99" w:rsidP="00E378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D519D7" w:rsidRPr="00891B13">
        <w:rPr>
          <w:rFonts w:ascii="Times New Roman" w:hAnsi="Times New Roman" w:cs="Times New Roman"/>
          <w:sz w:val="24"/>
          <w:szCs w:val="24"/>
        </w:rPr>
        <w:t>rílohy:</w:t>
      </w:r>
    </w:p>
    <w:p w14:paraId="215C8E84" w14:textId="77777777" w:rsidR="00D519D7" w:rsidRPr="00387D99" w:rsidRDefault="00387D99" w:rsidP="00387D99">
      <w:pPr>
        <w:spacing w:after="0" w:line="360" w:lineRule="auto"/>
        <w:ind w:left="426"/>
        <w:jc w:val="both"/>
        <w:rPr>
          <w:rFonts w:ascii="Times New Roman" w:hAnsi="Times New Roman" w:cs="Times New Roman"/>
          <w:sz w:val="24"/>
          <w:szCs w:val="24"/>
        </w:rPr>
      </w:pPr>
      <w:r w:rsidRPr="00387D99">
        <w:rPr>
          <w:rFonts w:ascii="Times New Roman" w:hAnsi="Times New Roman" w:cs="Times New Roman"/>
          <w:sz w:val="24"/>
          <w:szCs w:val="24"/>
        </w:rPr>
        <w:t xml:space="preserve">Príloha č. 7 </w:t>
      </w:r>
      <w:r w:rsidR="00D519D7" w:rsidRPr="00387D99">
        <w:rPr>
          <w:rFonts w:ascii="Times New Roman" w:hAnsi="Times New Roman" w:cs="Times New Roman"/>
          <w:sz w:val="24"/>
          <w:szCs w:val="24"/>
        </w:rPr>
        <w:t>Organizačná štruktúra</w:t>
      </w:r>
      <w:r w:rsidR="006E4700" w:rsidRPr="00387D99">
        <w:rPr>
          <w:rFonts w:ascii="Times New Roman" w:hAnsi="Times New Roman" w:cs="Times New Roman"/>
          <w:sz w:val="24"/>
          <w:szCs w:val="24"/>
        </w:rPr>
        <w:t xml:space="preserve"> MAS</w:t>
      </w:r>
    </w:p>
    <w:p w14:paraId="76D4334B" w14:textId="77777777" w:rsidR="00D519D7" w:rsidRPr="00891B13" w:rsidRDefault="00387D99" w:rsidP="00387D99">
      <w:pPr>
        <w:pStyle w:val="Odsekzoznamu"/>
        <w:spacing w:after="0" w:line="360" w:lineRule="auto"/>
        <w:ind w:left="1560" w:hanging="1134"/>
        <w:rPr>
          <w:rFonts w:ascii="Times New Roman" w:hAnsi="Times New Roman" w:cs="Times New Roman"/>
          <w:sz w:val="24"/>
          <w:szCs w:val="24"/>
        </w:rPr>
      </w:pPr>
      <w:r>
        <w:rPr>
          <w:rFonts w:ascii="Times New Roman" w:hAnsi="Times New Roman" w:cs="Times New Roman"/>
          <w:sz w:val="24"/>
          <w:szCs w:val="24"/>
        </w:rPr>
        <w:t>Príloha č. 8</w:t>
      </w:r>
      <w:r w:rsidR="00D0587E">
        <w:rPr>
          <w:rFonts w:ascii="Times New Roman" w:hAnsi="Times New Roman" w:cs="Times New Roman"/>
          <w:sz w:val="24"/>
          <w:szCs w:val="24"/>
        </w:rPr>
        <w:t xml:space="preserve"> </w:t>
      </w:r>
      <w:r w:rsidR="008657F3">
        <w:rPr>
          <w:rFonts w:ascii="Times New Roman" w:hAnsi="Times New Roman" w:cs="Times New Roman"/>
          <w:sz w:val="24"/>
          <w:szCs w:val="24"/>
        </w:rPr>
        <w:t>Personálna matica MAS</w:t>
      </w:r>
      <w:r w:rsidR="00D519D7" w:rsidRPr="00891B13">
        <w:rPr>
          <w:rFonts w:ascii="Times New Roman" w:hAnsi="Times New Roman" w:cs="Times New Roman"/>
          <w:sz w:val="24"/>
          <w:szCs w:val="24"/>
        </w:rPr>
        <w:t xml:space="preserve">.     </w:t>
      </w:r>
    </w:p>
    <w:p w14:paraId="45C0C02D" w14:textId="77777777" w:rsidR="00F661B9" w:rsidRDefault="00387D99" w:rsidP="00387D99">
      <w:pPr>
        <w:pStyle w:val="Odsekzoznamu"/>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Príloha č. 9 </w:t>
      </w:r>
      <w:r w:rsidR="00F661B9" w:rsidRPr="00891B13">
        <w:rPr>
          <w:rFonts w:ascii="Times New Roman" w:hAnsi="Times New Roman" w:cs="Times New Roman"/>
          <w:sz w:val="24"/>
          <w:szCs w:val="24"/>
        </w:rPr>
        <w:t>Štatúty, interné smernice</w:t>
      </w:r>
      <w:r w:rsidR="00D345A1" w:rsidRPr="00891B13">
        <w:rPr>
          <w:rFonts w:ascii="Times New Roman" w:hAnsi="Times New Roman" w:cs="Times New Roman"/>
          <w:sz w:val="24"/>
          <w:szCs w:val="24"/>
        </w:rPr>
        <w:t>, stanovy</w:t>
      </w:r>
      <w:r w:rsidR="00DE50D0" w:rsidRPr="00891B13">
        <w:rPr>
          <w:rFonts w:ascii="Times New Roman" w:hAnsi="Times New Roman" w:cs="Times New Roman"/>
          <w:sz w:val="24"/>
          <w:szCs w:val="24"/>
        </w:rPr>
        <w:t xml:space="preserve"> MAS </w:t>
      </w:r>
    </w:p>
    <w:p w14:paraId="0E9968F9" w14:textId="77777777" w:rsidR="00B63E06" w:rsidRPr="00891B13" w:rsidRDefault="00B63E06" w:rsidP="00387D99">
      <w:pPr>
        <w:pStyle w:val="Odsekzoznamu"/>
        <w:spacing w:after="0" w:line="360" w:lineRule="auto"/>
        <w:ind w:left="426"/>
        <w:jc w:val="both"/>
        <w:rPr>
          <w:rFonts w:ascii="Times New Roman" w:hAnsi="Times New Roman" w:cs="Times New Roman"/>
          <w:sz w:val="24"/>
          <w:szCs w:val="24"/>
        </w:rPr>
      </w:pPr>
    </w:p>
    <w:p w14:paraId="2E5CDE24" w14:textId="77777777" w:rsidR="001A5783" w:rsidRDefault="00B63E06" w:rsidP="00B63E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Popis</w:t>
      </w:r>
      <w:r w:rsidRPr="00B63E06">
        <w:rPr>
          <w:rFonts w:ascii="Times New Roman" w:hAnsi="Times New Roman" w:cs="Times New Roman"/>
          <w:sz w:val="24"/>
          <w:szCs w:val="24"/>
        </w:rPr>
        <w:t xml:space="preserve"> úloh  a zodpovednosti  jednotlivých orgánov je </w:t>
      </w:r>
      <w:r>
        <w:rPr>
          <w:rFonts w:ascii="Times New Roman" w:hAnsi="Times New Roman" w:cs="Times New Roman"/>
          <w:sz w:val="24"/>
          <w:szCs w:val="24"/>
        </w:rPr>
        <w:t xml:space="preserve">v súlade so </w:t>
      </w:r>
      <w:r w:rsidRPr="00B63E06">
        <w:rPr>
          <w:rFonts w:ascii="Times New Roman" w:hAnsi="Times New Roman" w:cs="Times New Roman"/>
          <w:sz w:val="24"/>
          <w:szCs w:val="24"/>
        </w:rPr>
        <w:t>Systém</w:t>
      </w:r>
      <w:r>
        <w:rPr>
          <w:rFonts w:ascii="Times New Roman" w:hAnsi="Times New Roman" w:cs="Times New Roman"/>
          <w:sz w:val="24"/>
          <w:szCs w:val="24"/>
        </w:rPr>
        <w:t>om</w:t>
      </w:r>
      <w:r w:rsidRPr="00B63E06">
        <w:rPr>
          <w:rFonts w:ascii="Times New Roman" w:hAnsi="Times New Roman" w:cs="Times New Roman"/>
          <w:sz w:val="24"/>
          <w:szCs w:val="24"/>
        </w:rPr>
        <w:t xml:space="preserve"> riadenia CLLD v</w:t>
      </w:r>
      <w:r>
        <w:rPr>
          <w:rFonts w:ascii="Times New Roman" w:hAnsi="Times New Roman" w:cs="Times New Roman"/>
          <w:sz w:val="24"/>
          <w:szCs w:val="24"/>
        </w:rPr>
        <w:t xml:space="preserve"> aktuálnom </w:t>
      </w:r>
      <w:r w:rsidRPr="00B63E06">
        <w:rPr>
          <w:rFonts w:ascii="Times New Roman" w:hAnsi="Times New Roman" w:cs="Times New Roman"/>
          <w:sz w:val="24"/>
          <w:szCs w:val="24"/>
        </w:rPr>
        <w:t>platnom znení</w:t>
      </w:r>
    </w:p>
    <w:p w14:paraId="3BC2E212" w14:textId="77777777" w:rsidR="00B63E06" w:rsidRPr="00891B13" w:rsidRDefault="00B63E06" w:rsidP="00B63E06">
      <w:pPr>
        <w:spacing w:after="0" w:line="360" w:lineRule="auto"/>
        <w:jc w:val="both"/>
        <w:rPr>
          <w:rFonts w:ascii="Times New Roman" w:hAnsi="Times New Roman" w:cs="Times New Roman"/>
          <w:sz w:val="24"/>
          <w:szCs w:val="24"/>
        </w:rPr>
      </w:pPr>
    </w:p>
    <w:p w14:paraId="3E67A1F5" w14:textId="77777777" w:rsidR="005202AC" w:rsidRPr="005202AC" w:rsidRDefault="005202AC" w:rsidP="003301D6">
      <w:pPr>
        <w:pStyle w:val="Odsekzoznamu"/>
        <w:keepNext/>
        <w:keepLines/>
        <w:numPr>
          <w:ilvl w:val="0"/>
          <w:numId w:val="18"/>
        </w:numPr>
        <w:spacing w:after="0" w:line="360" w:lineRule="auto"/>
        <w:contextualSpacing w:val="0"/>
        <w:outlineLvl w:val="1"/>
        <w:rPr>
          <w:rFonts w:ascii="Times New Roman" w:eastAsiaTheme="majorEastAsia" w:hAnsi="Times New Roman" w:cstheme="majorBidi"/>
          <w:b/>
          <w:vanish/>
          <w:sz w:val="24"/>
          <w:szCs w:val="26"/>
        </w:rPr>
      </w:pPr>
      <w:bookmarkStart w:id="1504" w:name="_Toc437862864"/>
      <w:bookmarkStart w:id="1505" w:name="_Toc437877450"/>
      <w:bookmarkStart w:id="1506" w:name="_Toc437877648"/>
      <w:bookmarkStart w:id="1507" w:name="_Toc437877848"/>
      <w:bookmarkStart w:id="1508" w:name="_Toc437878048"/>
      <w:bookmarkStart w:id="1509" w:name="_Toc437878251"/>
      <w:bookmarkStart w:id="1510" w:name="_Toc437878455"/>
      <w:bookmarkStart w:id="1511" w:name="_Toc437878659"/>
      <w:bookmarkStart w:id="1512" w:name="_Toc437878863"/>
      <w:bookmarkStart w:id="1513" w:name="_Toc439150025"/>
      <w:bookmarkStart w:id="1514" w:name="_Toc439150381"/>
      <w:bookmarkStart w:id="1515" w:name="_Toc439150580"/>
      <w:bookmarkStart w:id="1516" w:name="_Toc485645670"/>
      <w:bookmarkStart w:id="1517" w:name="_Toc485645829"/>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28BD108B" w14:textId="77777777" w:rsidR="005202AC" w:rsidRPr="005202AC" w:rsidRDefault="005202AC" w:rsidP="003301D6">
      <w:pPr>
        <w:pStyle w:val="Odsekzoznamu"/>
        <w:keepNext/>
        <w:keepLines/>
        <w:numPr>
          <w:ilvl w:val="0"/>
          <w:numId w:val="18"/>
        </w:numPr>
        <w:spacing w:after="0" w:line="360" w:lineRule="auto"/>
        <w:contextualSpacing w:val="0"/>
        <w:outlineLvl w:val="1"/>
        <w:rPr>
          <w:rFonts w:ascii="Times New Roman" w:eastAsiaTheme="majorEastAsia" w:hAnsi="Times New Roman" w:cstheme="majorBidi"/>
          <w:b/>
          <w:vanish/>
          <w:sz w:val="24"/>
          <w:szCs w:val="26"/>
        </w:rPr>
      </w:pPr>
      <w:bookmarkStart w:id="1518" w:name="_Toc437862865"/>
      <w:bookmarkStart w:id="1519" w:name="_Toc437877451"/>
      <w:bookmarkStart w:id="1520" w:name="_Toc437877649"/>
      <w:bookmarkStart w:id="1521" w:name="_Toc437877849"/>
      <w:bookmarkStart w:id="1522" w:name="_Toc437878049"/>
      <w:bookmarkStart w:id="1523" w:name="_Toc437878252"/>
      <w:bookmarkStart w:id="1524" w:name="_Toc437878456"/>
      <w:bookmarkStart w:id="1525" w:name="_Toc437878660"/>
      <w:bookmarkStart w:id="1526" w:name="_Toc437878864"/>
      <w:bookmarkStart w:id="1527" w:name="_Toc439150026"/>
      <w:bookmarkStart w:id="1528" w:name="_Toc439150382"/>
      <w:bookmarkStart w:id="1529" w:name="_Toc439150581"/>
      <w:bookmarkStart w:id="1530" w:name="_Toc485645671"/>
      <w:bookmarkStart w:id="1531" w:name="_Toc485645830"/>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7830647B" w14:textId="77777777" w:rsidR="005202AC" w:rsidRPr="005202AC" w:rsidRDefault="005202AC" w:rsidP="003301D6">
      <w:pPr>
        <w:pStyle w:val="Odsekzoznamu"/>
        <w:keepNext/>
        <w:keepLines/>
        <w:numPr>
          <w:ilvl w:val="0"/>
          <w:numId w:val="18"/>
        </w:numPr>
        <w:spacing w:after="0" w:line="360" w:lineRule="auto"/>
        <w:contextualSpacing w:val="0"/>
        <w:outlineLvl w:val="1"/>
        <w:rPr>
          <w:rFonts w:ascii="Times New Roman" w:eastAsiaTheme="majorEastAsia" w:hAnsi="Times New Roman" w:cstheme="majorBidi"/>
          <w:b/>
          <w:vanish/>
          <w:sz w:val="24"/>
          <w:szCs w:val="26"/>
        </w:rPr>
      </w:pPr>
      <w:bookmarkStart w:id="1532" w:name="_Toc437862866"/>
      <w:bookmarkStart w:id="1533" w:name="_Toc437877452"/>
      <w:bookmarkStart w:id="1534" w:name="_Toc437877650"/>
      <w:bookmarkStart w:id="1535" w:name="_Toc437877850"/>
      <w:bookmarkStart w:id="1536" w:name="_Toc437878050"/>
      <w:bookmarkStart w:id="1537" w:name="_Toc437878253"/>
      <w:bookmarkStart w:id="1538" w:name="_Toc437878457"/>
      <w:bookmarkStart w:id="1539" w:name="_Toc437878661"/>
      <w:bookmarkStart w:id="1540" w:name="_Toc437878865"/>
      <w:bookmarkStart w:id="1541" w:name="_Toc439150027"/>
      <w:bookmarkStart w:id="1542" w:name="_Toc439150383"/>
      <w:bookmarkStart w:id="1543" w:name="_Toc439150582"/>
      <w:bookmarkStart w:id="1544" w:name="_Toc485645672"/>
      <w:bookmarkStart w:id="1545" w:name="_Toc4856458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738BC787" w14:textId="77777777" w:rsidR="005202AC" w:rsidRPr="005202AC" w:rsidRDefault="005202AC" w:rsidP="003301D6">
      <w:pPr>
        <w:pStyle w:val="Odsekzoznamu"/>
        <w:keepNext/>
        <w:keepLines/>
        <w:numPr>
          <w:ilvl w:val="0"/>
          <w:numId w:val="18"/>
        </w:numPr>
        <w:spacing w:after="0" w:line="360" w:lineRule="auto"/>
        <w:contextualSpacing w:val="0"/>
        <w:outlineLvl w:val="1"/>
        <w:rPr>
          <w:rFonts w:ascii="Times New Roman" w:eastAsiaTheme="majorEastAsia" w:hAnsi="Times New Roman" w:cstheme="majorBidi"/>
          <w:b/>
          <w:vanish/>
          <w:sz w:val="24"/>
          <w:szCs w:val="26"/>
        </w:rPr>
      </w:pPr>
      <w:bookmarkStart w:id="1546" w:name="_Toc437862867"/>
      <w:bookmarkStart w:id="1547" w:name="_Toc437877453"/>
      <w:bookmarkStart w:id="1548" w:name="_Toc437877651"/>
      <w:bookmarkStart w:id="1549" w:name="_Toc437877851"/>
      <w:bookmarkStart w:id="1550" w:name="_Toc437878051"/>
      <w:bookmarkStart w:id="1551" w:name="_Toc437878254"/>
      <w:bookmarkStart w:id="1552" w:name="_Toc437878458"/>
      <w:bookmarkStart w:id="1553" w:name="_Toc437878662"/>
      <w:bookmarkStart w:id="1554" w:name="_Toc437878866"/>
      <w:bookmarkStart w:id="1555" w:name="_Toc439150028"/>
      <w:bookmarkStart w:id="1556" w:name="_Toc439150384"/>
      <w:bookmarkStart w:id="1557" w:name="_Toc439150583"/>
      <w:bookmarkStart w:id="1558" w:name="_Toc485645673"/>
      <w:bookmarkStart w:id="1559" w:name="_Toc485645832"/>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54728831" w14:textId="77777777" w:rsidR="005202AC" w:rsidRPr="005202AC" w:rsidRDefault="005202AC" w:rsidP="003301D6">
      <w:pPr>
        <w:pStyle w:val="Odsekzoznamu"/>
        <w:keepNext/>
        <w:keepLines/>
        <w:numPr>
          <w:ilvl w:val="0"/>
          <w:numId w:val="18"/>
        </w:numPr>
        <w:spacing w:after="0" w:line="360" w:lineRule="auto"/>
        <w:contextualSpacing w:val="0"/>
        <w:outlineLvl w:val="1"/>
        <w:rPr>
          <w:rFonts w:ascii="Times New Roman" w:eastAsiaTheme="majorEastAsia" w:hAnsi="Times New Roman" w:cstheme="majorBidi"/>
          <w:b/>
          <w:vanish/>
          <w:sz w:val="24"/>
          <w:szCs w:val="26"/>
        </w:rPr>
      </w:pPr>
      <w:bookmarkStart w:id="1560" w:name="_Toc437862868"/>
      <w:bookmarkStart w:id="1561" w:name="_Toc437877454"/>
      <w:bookmarkStart w:id="1562" w:name="_Toc437877652"/>
      <w:bookmarkStart w:id="1563" w:name="_Toc437877852"/>
      <w:bookmarkStart w:id="1564" w:name="_Toc437878052"/>
      <w:bookmarkStart w:id="1565" w:name="_Toc437878255"/>
      <w:bookmarkStart w:id="1566" w:name="_Toc437878459"/>
      <w:bookmarkStart w:id="1567" w:name="_Toc437878663"/>
      <w:bookmarkStart w:id="1568" w:name="_Toc437878867"/>
      <w:bookmarkStart w:id="1569" w:name="_Toc439150029"/>
      <w:bookmarkStart w:id="1570" w:name="_Toc439150385"/>
      <w:bookmarkStart w:id="1571" w:name="_Toc439150584"/>
      <w:bookmarkStart w:id="1572" w:name="_Toc485645674"/>
      <w:bookmarkStart w:id="1573" w:name="_Toc485645833"/>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48DFAD45" w14:textId="77777777" w:rsidR="005202AC" w:rsidRPr="005202AC" w:rsidRDefault="005202AC" w:rsidP="003301D6">
      <w:pPr>
        <w:pStyle w:val="Odsekzoznamu"/>
        <w:keepNext/>
        <w:keepLines/>
        <w:numPr>
          <w:ilvl w:val="1"/>
          <w:numId w:val="18"/>
        </w:numPr>
        <w:spacing w:after="0" w:line="360" w:lineRule="auto"/>
        <w:contextualSpacing w:val="0"/>
        <w:outlineLvl w:val="1"/>
        <w:rPr>
          <w:rFonts w:ascii="Times New Roman" w:eastAsiaTheme="majorEastAsia" w:hAnsi="Times New Roman" w:cstheme="majorBidi"/>
          <w:b/>
          <w:vanish/>
          <w:sz w:val="24"/>
          <w:szCs w:val="26"/>
        </w:rPr>
      </w:pPr>
      <w:bookmarkStart w:id="1574" w:name="_Toc437862869"/>
      <w:bookmarkStart w:id="1575" w:name="_Toc437877455"/>
      <w:bookmarkStart w:id="1576" w:name="_Toc437877653"/>
      <w:bookmarkStart w:id="1577" w:name="_Toc437877853"/>
      <w:bookmarkStart w:id="1578" w:name="_Toc437878053"/>
      <w:bookmarkStart w:id="1579" w:name="_Toc437878256"/>
      <w:bookmarkStart w:id="1580" w:name="_Toc437878460"/>
      <w:bookmarkStart w:id="1581" w:name="_Toc437878664"/>
      <w:bookmarkStart w:id="1582" w:name="_Toc437878868"/>
      <w:bookmarkStart w:id="1583" w:name="_Toc439150030"/>
      <w:bookmarkStart w:id="1584" w:name="_Toc439150386"/>
      <w:bookmarkStart w:id="1585" w:name="_Toc439150585"/>
      <w:bookmarkStart w:id="1586" w:name="_Toc485645675"/>
      <w:bookmarkStart w:id="1587" w:name="_Toc485645834"/>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807185E" w14:textId="77777777" w:rsidR="005202AC" w:rsidRPr="005202AC" w:rsidRDefault="005202AC" w:rsidP="003301D6">
      <w:pPr>
        <w:pStyle w:val="Odsekzoznamu"/>
        <w:keepNext/>
        <w:keepLines/>
        <w:numPr>
          <w:ilvl w:val="2"/>
          <w:numId w:val="18"/>
        </w:numPr>
        <w:spacing w:after="0" w:line="360" w:lineRule="auto"/>
        <w:contextualSpacing w:val="0"/>
        <w:outlineLvl w:val="1"/>
        <w:rPr>
          <w:rFonts w:ascii="Times New Roman" w:eastAsiaTheme="majorEastAsia" w:hAnsi="Times New Roman" w:cstheme="majorBidi"/>
          <w:b/>
          <w:vanish/>
          <w:sz w:val="24"/>
          <w:szCs w:val="26"/>
        </w:rPr>
      </w:pPr>
      <w:bookmarkStart w:id="1588" w:name="_Toc437862870"/>
      <w:bookmarkStart w:id="1589" w:name="_Toc437877456"/>
      <w:bookmarkStart w:id="1590" w:name="_Toc437877654"/>
      <w:bookmarkStart w:id="1591" w:name="_Toc437877854"/>
      <w:bookmarkStart w:id="1592" w:name="_Toc437878054"/>
      <w:bookmarkStart w:id="1593" w:name="_Toc437878257"/>
      <w:bookmarkStart w:id="1594" w:name="_Toc437878461"/>
      <w:bookmarkStart w:id="1595" w:name="_Toc437878665"/>
      <w:bookmarkStart w:id="1596" w:name="_Toc437878869"/>
      <w:bookmarkStart w:id="1597" w:name="_Toc439150031"/>
      <w:bookmarkStart w:id="1598" w:name="_Toc439150387"/>
      <w:bookmarkStart w:id="1599" w:name="_Toc439150586"/>
      <w:bookmarkStart w:id="1600" w:name="_Toc485645676"/>
      <w:bookmarkStart w:id="1601" w:name="_Toc485645835"/>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533EA1FE" w14:textId="77777777" w:rsidR="008427FC" w:rsidRPr="00891B13" w:rsidRDefault="001A5783" w:rsidP="003301D6">
      <w:pPr>
        <w:pStyle w:val="Nadpis2"/>
        <w:numPr>
          <w:ilvl w:val="2"/>
          <w:numId w:val="18"/>
        </w:numPr>
        <w:ind w:hanging="294"/>
      </w:pPr>
      <w:bookmarkStart w:id="1602" w:name="_Toc485645836"/>
      <w:r w:rsidRPr="00891B13">
        <w:t>Implementačný proces</w:t>
      </w:r>
      <w:bookmarkEnd w:id="1602"/>
    </w:p>
    <w:p w14:paraId="24D970EE" w14:textId="77777777" w:rsidR="00512FE8" w:rsidRPr="00891B13" w:rsidRDefault="00512FE8" w:rsidP="00E37887">
      <w:pPr>
        <w:pStyle w:val="Odsekzoznamu"/>
        <w:spacing w:after="0" w:line="360" w:lineRule="auto"/>
        <w:ind w:left="1224"/>
        <w:rPr>
          <w:rFonts w:ascii="Times New Roman" w:hAnsi="Times New Roman" w:cs="Times New Roman"/>
          <w:b/>
          <w:sz w:val="24"/>
          <w:szCs w:val="24"/>
        </w:rPr>
      </w:pPr>
    </w:p>
    <w:p w14:paraId="44CE2444"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BE750E">
        <w:rPr>
          <w:rFonts w:ascii="Times New Roman" w:hAnsi="Times New Roman" w:cs="Times New Roman"/>
          <w:color w:val="000000" w:themeColor="text1"/>
          <w:sz w:val="24"/>
          <w:szCs w:val="24"/>
        </w:rPr>
        <w:t xml:space="preserve">Implementačný proces predstavuje proces výberu, hodnotenia a schvaľovania žiadostí zahrňujúci vyhlásenie výzvy, príjem projektov, hodnotenie a výber na úrovni MAS, PPA resp. RO pre IROP a následné schválenie žiadosti. Tieto implementačné procesy majú svoje identické znaky ako aj svoje špecifiká a odlišnosti. Taktiež sa MAS ako konečný prijímateľ môže uchádzať o iné zdroje z národných podporných schém, ako aj z cezhraničných projektov spolupráce. </w:t>
      </w:r>
    </w:p>
    <w:p w14:paraId="33521B52"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r w:rsidRPr="009C7ED7">
        <w:rPr>
          <w:rFonts w:ascii="Times New Roman" w:hAnsi="Times New Roman" w:cs="Times New Roman"/>
          <w:b/>
          <w:color w:val="000000" w:themeColor="text1"/>
          <w:sz w:val="24"/>
          <w:szCs w:val="24"/>
        </w:rPr>
        <w:t>Implementačné procesy</w:t>
      </w:r>
      <w:r w:rsidRPr="00BE750E">
        <w:rPr>
          <w:rFonts w:ascii="Times New Roman" w:hAnsi="Times New Roman" w:cs="Times New Roman"/>
          <w:color w:val="000000" w:themeColor="text1"/>
          <w:sz w:val="24"/>
          <w:szCs w:val="24"/>
        </w:rPr>
        <w:t xml:space="preserve"> určené pre implementáciu stratégie CLLD sú podrobne opísané v nasledovných dokumentoch, vždy v aktuálne platnom znení: </w:t>
      </w:r>
    </w:p>
    <w:p w14:paraId="6FEEF1BA" w14:textId="77777777" w:rsidR="00254F77" w:rsidRPr="00BE750E" w:rsidRDefault="00254F77" w:rsidP="003301D6">
      <w:pPr>
        <w:numPr>
          <w:ilvl w:val="0"/>
          <w:numId w:val="47"/>
        </w:num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t>Systém riadenia CLLD (LEADER a komunitný rozvoj) pre programové obdobie 2014 – 2020</w:t>
      </w:r>
    </w:p>
    <w:p w14:paraId="3CBC5DB6" w14:textId="77777777" w:rsidR="00254F77" w:rsidRPr="00BE750E" w:rsidRDefault="00254F77" w:rsidP="003301D6">
      <w:pPr>
        <w:numPr>
          <w:ilvl w:val="0"/>
          <w:numId w:val="47"/>
        </w:num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t>Systém riadenia PRV SR 2014 – 202</w:t>
      </w:r>
    </w:p>
    <w:p w14:paraId="2163F3C0" w14:textId="77777777" w:rsidR="00254F77" w:rsidRPr="009C7ED7" w:rsidRDefault="00254F77" w:rsidP="003301D6">
      <w:pPr>
        <w:numPr>
          <w:ilvl w:val="0"/>
          <w:numId w:val="47"/>
        </w:num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lastRenderedPageBreak/>
        <w:t>Systém riadenia EŠIF a IROP</w:t>
      </w:r>
    </w:p>
    <w:p w14:paraId="128ABE0E"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t xml:space="preserve">Implementácia stratégie CLLD a činnosť MAS sa v programovom období 2014 – 2020 bude riadiť týmito </w:t>
      </w:r>
      <w:r w:rsidR="00E90E26" w:rsidRPr="00BE750E">
        <w:rPr>
          <w:rFonts w:ascii="Times New Roman" w:hAnsi="Times New Roman" w:cs="Times New Roman"/>
          <w:color w:val="000000" w:themeColor="text1"/>
          <w:sz w:val="24"/>
          <w:szCs w:val="24"/>
        </w:rPr>
        <w:t>dokumentmi</w:t>
      </w:r>
      <w:r w:rsidRPr="00BE750E">
        <w:rPr>
          <w:rFonts w:ascii="Times New Roman" w:hAnsi="Times New Roman" w:cs="Times New Roman"/>
          <w:color w:val="000000" w:themeColor="text1"/>
          <w:sz w:val="24"/>
          <w:szCs w:val="24"/>
        </w:rPr>
        <w:t>. V nasledovných podkapitolách budú popísané základné činnosti prevzaté z týchto dokumentov a regionálne špecifiká, ktoré odzrkadľujú skúsenosti s implementáciou stratégie CLLD.</w:t>
      </w:r>
    </w:p>
    <w:p w14:paraId="6FA9E67D"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p>
    <w:p w14:paraId="63FC4D95"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t>V rámci implementácie stratégie CLLD je potrebné rešpekto</w:t>
      </w:r>
      <w:r>
        <w:rPr>
          <w:rFonts w:ascii="Times New Roman" w:hAnsi="Times New Roman" w:cs="Times New Roman"/>
          <w:color w:val="000000" w:themeColor="text1"/>
          <w:sz w:val="24"/>
          <w:szCs w:val="24"/>
        </w:rPr>
        <w:t>vať § 46 zákona o príspevku z EŠ</w:t>
      </w:r>
      <w:r w:rsidRPr="00BE750E">
        <w:rPr>
          <w:rFonts w:ascii="Times New Roman" w:hAnsi="Times New Roman" w:cs="Times New Roman"/>
          <w:color w:val="000000" w:themeColor="text1"/>
          <w:sz w:val="24"/>
          <w:szCs w:val="24"/>
        </w:rPr>
        <w:t xml:space="preserve">IF (Zákon 292/2014 Z. z.), ktorý charakterizuje pravidlá posudzovania konfliktu záujmov v rámci celého procesu (prípravy výzvy, rozhodovania v konaní, príprave a realizácií projektu, alebo projektového zámeru). </w:t>
      </w:r>
      <w:r w:rsidRPr="00BE750E">
        <w:rPr>
          <w:rFonts w:ascii="Times New Roman" w:hAnsi="Times New Roman" w:cs="Times New Roman"/>
          <w:b/>
          <w:color w:val="000000" w:themeColor="text1"/>
          <w:sz w:val="24"/>
          <w:szCs w:val="24"/>
        </w:rPr>
        <w:t>Konflikt záujmov v rámci podpory z EŠIF prísne zakázaný</w:t>
      </w:r>
      <w:r w:rsidRPr="00BE750E">
        <w:rPr>
          <w:rFonts w:ascii="Times New Roman" w:hAnsi="Times New Roman" w:cs="Times New Roman"/>
          <w:color w:val="000000" w:themeColor="text1"/>
          <w:sz w:val="24"/>
          <w:szCs w:val="24"/>
        </w:rPr>
        <w:t xml:space="preserve">.  </w:t>
      </w:r>
    </w:p>
    <w:p w14:paraId="613936DA" w14:textId="77777777" w:rsidR="00254F77" w:rsidRPr="00BE750E" w:rsidRDefault="00254F77" w:rsidP="00254F77">
      <w:pPr>
        <w:spacing w:after="0" w:line="360" w:lineRule="auto"/>
        <w:jc w:val="both"/>
        <w:rPr>
          <w:rFonts w:ascii="Times New Roman" w:hAnsi="Times New Roman" w:cs="Times New Roman"/>
          <w:color w:val="000000" w:themeColor="text1"/>
          <w:sz w:val="24"/>
          <w:szCs w:val="24"/>
        </w:rPr>
      </w:pPr>
      <w:r w:rsidRPr="00BE750E">
        <w:rPr>
          <w:rFonts w:ascii="Times New Roman" w:hAnsi="Times New Roman" w:cs="Times New Roman"/>
          <w:color w:val="000000" w:themeColor="text1"/>
          <w:sz w:val="24"/>
          <w:szCs w:val="24"/>
        </w:rPr>
        <w:t>Kancelária MAS vypracuje v rámci stratégie CLLD indikatívny harmonogram vyhlasovania výziev, ktorý bude pravidelne aktualizovaný v zmysle ročného plánu o činnosti a bude uvádzať predbežnú finančnú alokáciu na výzvu. Indikatívny harmonogram výziev musí rešpektovať podmienky jeho včasného zverejnenia a schvaľovania v zmysle Systému riadenia CLLD v kapitole 9. Žiadosť o NFP (časť PRV 2014 – 2020) a v kapitole 11 (CLLD v rámci IROP 2014 – 2020).</w:t>
      </w:r>
    </w:p>
    <w:p w14:paraId="6AFA2E59" w14:textId="77777777" w:rsidR="00254F77" w:rsidRDefault="00254F77" w:rsidP="00387D99">
      <w:pPr>
        <w:spacing w:after="0" w:line="360" w:lineRule="auto"/>
        <w:jc w:val="both"/>
        <w:rPr>
          <w:rFonts w:ascii="Times New Roman" w:hAnsi="Times New Roman" w:cs="Times New Roman"/>
          <w:i/>
          <w:sz w:val="24"/>
          <w:szCs w:val="24"/>
          <w:u w:val="single"/>
        </w:rPr>
      </w:pPr>
    </w:p>
    <w:p w14:paraId="1AD0EE6A" w14:textId="77777777" w:rsidR="00387D99" w:rsidRPr="00AB5A5F" w:rsidRDefault="00387D99" w:rsidP="00387D99">
      <w:pPr>
        <w:spacing w:after="0" w:line="360" w:lineRule="auto"/>
        <w:jc w:val="both"/>
        <w:rPr>
          <w:rFonts w:ascii="Times New Roman" w:hAnsi="Times New Roman" w:cs="Times New Roman"/>
          <w:i/>
          <w:sz w:val="24"/>
          <w:szCs w:val="24"/>
          <w:u w:val="single"/>
        </w:rPr>
      </w:pPr>
      <w:r w:rsidRPr="00AB5A5F">
        <w:rPr>
          <w:rFonts w:ascii="Times New Roman" w:hAnsi="Times New Roman" w:cs="Times New Roman"/>
          <w:i/>
          <w:sz w:val="24"/>
          <w:szCs w:val="24"/>
          <w:u w:val="single"/>
        </w:rPr>
        <w:t>Žiadosti podporované v rámci PRV</w:t>
      </w:r>
    </w:p>
    <w:p w14:paraId="5C572981" w14:textId="77777777" w:rsidR="00162E25" w:rsidRDefault="00387D99" w:rsidP="00387D9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t>V</w:t>
      </w:r>
      <w:r w:rsidRPr="00520D93">
        <w:rPr>
          <w:rFonts w:ascii="Times New Roman" w:hAnsi="Times New Roman" w:cs="Times New Roman"/>
          <w:sz w:val="24"/>
          <w:szCs w:val="24"/>
        </w:rPr>
        <w:t>ýber projektov</w:t>
      </w:r>
      <w:r>
        <w:rPr>
          <w:rFonts w:ascii="Times New Roman" w:hAnsi="Times New Roman" w:cs="Times New Roman"/>
          <w:sz w:val="24"/>
          <w:szCs w:val="24"/>
        </w:rPr>
        <w:t xml:space="preserve"> bude jednokolový.</w:t>
      </w:r>
      <w:r w:rsidR="00162E25" w:rsidRPr="00162E25">
        <w:rPr>
          <w:rFonts w:ascii="Times New Roman" w:hAnsi="Times New Roman" w:cs="Times New Roman"/>
          <w:i/>
          <w:sz w:val="24"/>
          <w:szCs w:val="24"/>
        </w:rPr>
        <w:t xml:space="preserve"> </w:t>
      </w:r>
    </w:p>
    <w:p w14:paraId="16E02144" w14:textId="77777777" w:rsidR="00EC1DDF" w:rsidRDefault="00EC1DDF" w:rsidP="00387D99">
      <w:pPr>
        <w:spacing w:after="0" w:line="360" w:lineRule="auto"/>
        <w:jc w:val="both"/>
        <w:rPr>
          <w:rFonts w:ascii="Times New Roman" w:hAnsi="Times New Roman" w:cs="Times New Roman"/>
          <w:i/>
          <w:sz w:val="24"/>
          <w:szCs w:val="24"/>
        </w:rPr>
      </w:pPr>
    </w:p>
    <w:p w14:paraId="2F68FAA8" w14:textId="77777777" w:rsidR="00387D99" w:rsidRDefault="00162E25" w:rsidP="00387D99">
      <w:pPr>
        <w:spacing w:after="0" w:line="360" w:lineRule="auto"/>
        <w:jc w:val="both"/>
        <w:rPr>
          <w:rFonts w:ascii="Times New Roman" w:hAnsi="Times New Roman" w:cs="Times New Roman"/>
          <w:sz w:val="24"/>
          <w:szCs w:val="24"/>
        </w:rPr>
      </w:pPr>
      <w:r w:rsidRPr="00ED7549">
        <w:rPr>
          <w:rFonts w:ascii="Times New Roman" w:hAnsi="Times New Roman" w:cs="Times New Roman"/>
          <w:i/>
          <w:sz w:val="24"/>
          <w:szCs w:val="24"/>
        </w:rPr>
        <w:t>Postup vyhlásenia výzvy.</w:t>
      </w:r>
    </w:p>
    <w:p w14:paraId="29E710C8" w14:textId="5F05D926" w:rsidR="00387D99" w:rsidRDefault="00387D99" w:rsidP="00FF12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F126C" w:rsidRPr="00FF126C">
        <w:rPr>
          <w:rFonts w:ascii="Times New Roman" w:hAnsi="Times New Roman" w:cs="Times New Roman"/>
          <w:sz w:val="24"/>
          <w:szCs w:val="24"/>
        </w:rPr>
        <w:t xml:space="preserve">Žiadateľ podáva ŽoNFP do MAS na základe vyhlásenej výzvy zverejnenej v ITMS2014+. MAS vyhlasuje výzvy v súlade s indikatívnym harmonogramov výziev, ktorý zostaví na obdobie minimálne jedného kalendárneho roka vždy v termíne do 30. januára a zverejní na svojom webovom sídle (po jeho aktivovaní zo strany PPA). Po vypracovaní výzvy na predkladanie ŽoNFP zo strany MAS v ITMS2014+ pred jej oficiálnym zverejnením vykoná PPA kontrolu do 5 pracovných dní a aktivuje ju. MAS zverejní výzvu aj na svojom webovom sídle, ktoré má len informatívny charakter bez právnych účinkov a za oficiálne zverejnenie s právnymi účinkami sa považuje zverejnenie v ITMS2014+. Výzva môže mať formu uzavretej alebo otvorenej výzvy. </w:t>
      </w:r>
      <w:r w:rsidR="00FF126C">
        <w:rPr>
          <w:rFonts w:ascii="Times New Roman" w:hAnsi="Times New Roman" w:cs="Times New Roman"/>
          <w:sz w:val="24"/>
          <w:szCs w:val="24"/>
        </w:rPr>
        <w:t xml:space="preserve">KR - </w:t>
      </w:r>
      <w:r w:rsidR="00FF126C" w:rsidRPr="00FF126C">
        <w:rPr>
          <w:rFonts w:ascii="Times New Roman" w:hAnsi="Times New Roman" w:cs="Times New Roman"/>
          <w:sz w:val="24"/>
          <w:szCs w:val="24"/>
        </w:rPr>
        <w:t>MAS bude používať formu uzavretej výzvy, s dátumom uzavretia minimálne 30 pracovných dní.</w:t>
      </w:r>
    </w:p>
    <w:p w14:paraId="207B9A41" w14:textId="77777777" w:rsidR="00162E25" w:rsidRDefault="00162E25" w:rsidP="00162E25">
      <w:pPr>
        <w:spacing w:after="0" w:line="360" w:lineRule="auto"/>
        <w:jc w:val="both"/>
        <w:rPr>
          <w:rFonts w:ascii="Times New Roman" w:hAnsi="Times New Roman" w:cs="Times New Roman"/>
          <w:i/>
          <w:sz w:val="24"/>
          <w:szCs w:val="24"/>
        </w:rPr>
      </w:pPr>
    </w:p>
    <w:p w14:paraId="40D98209" w14:textId="77777777" w:rsidR="00162E25" w:rsidRPr="00ED7549" w:rsidRDefault="00162E25" w:rsidP="00162E25">
      <w:pPr>
        <w:spacing w:after="0" w:line="360" w:lineRule="auto"/>
        <w:jc w:val="both"/>
        <w:rPr>
          <w:rFonts w:ascii="Times New Roman" w:hAnsi="Times New Roman" w:cs="Times New Roman"/>
          <w:i/>
          <w:sz w:val="24"/>
          <w:szCs w:val="24"/>
        </w:rPr>
      </w:pPr>
      <w:r w:rsidRPr="00ED7549">
        <w:rPr>
          <w:rFonts w:ascii="Times New Roman" w:hAnsi="Times New Roman" w:cs="Times New Roman"/>
          <w:i/>
          <w:sz w:val="24"/>
          <w:szCs w:val="24"/>
        </w:rPr>
        <w:t>Postupy hodnotenia žiadostí o NFP.</w:t>
      </w:r>
    </w:p>
    <w:p w14:paraId="619CEDCF" w14:textId="2199C11E" w:rsidR="00387D99" w:rsidRDefault="00387D99" w:rsidP="00FF12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F126C" w:rsidRPr="00FF126C">
        <w:rPr>
          <w:rFonts w:ascii="Times New Roman" w:hAnsi="Times New Roman" w:cs="Times New Roman"/>
          <w:sz w:val="24"/>
          <w:szCs w:val="24"/>
        </w:rPr>
        <w:t>Žiadateľ doručuje ŽoNFP elektronicky prostredníctvom verejnej časti ITMS2014+ a v písomnej forme na adresu určenú v predmetnej výzve. Doručením ŽoNFP na MAS sa začína konanie o žiadosti. Tá musí byť podaná riadne, včas a vo forme určenej v zverejnenej výzve. Proces konania o ŽoNFP spočíva v administratívnom overením, odborným hodnotením a výberom ŽoNFP a opravnými prostriedkami. MAS je oprávnená pri vzájomnej komunikácií so žiadateľom/prijímateľom využívať elektronický spôsob komunikácie a to prostredníctvom e-mailu (napr. pri zasielaní výzvy na doplnenie), pričom elektronický systém musí byť nastavený tak, že MAS obdrží ,,Potvrdenie o prijatí a Potvrdenie o prečítaní“. V prípade ak ho MAS neobdrží je povinná predmetnú výzvu zaslať písomne (doporučene). MAS zabezpečí priradenie odborných hodnotiteľov k ŽoNFP, ktorí vykonajú odborné hodnotenie na základe kritérií na výber projektov CLLD zverejnených vo výzve na predkladanie ŽoNFP a zaznamenajú ho do hodnotiacich hárkov.</w:t>
      </w:r>
    </w:p>
    <w:p w14:paraId="4FDCE294" w14:textId="229258F8" w:rsidR="00867792" w:rsidRPr="00867792" w:rsidRDefault="00387D99" w:rsidP="008677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67792" w:rsidRPr="00867792">
        <w:rPr>
          <w:rFonts w:ascii="Times New Roman" w:hAnsi="Times New Roman" w:cs="Times New Roman"/>
          <w:sz w:val="24"/>
          <w:szCs w:val="24"/>
        </w:rPr>
        <w:t>Cieľom procesu  odborného hodnotenia ŽoNFP je vykonať také posúdenie súladu ŽoNFP s kritériami odborného hodnotenia, ktoré bude  objektívne, odborné, nezávislé a transparentné.</w:t>
      </w:r>
    </w:p>
    <w:p w14:paraId="67ED310A"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Za výber odborných hodnotiteľov, ktorí budú vykonávať posúdenie/odborné hodnotenie, zodpovedá MAS v rámci PRV SR 2014- 2020, v rámci IROP RO pre IROP. MAS resp. výber odborných hodnotiteľov sa vykoná , pričom vykoná výber na základe transparentných kritérií. Hodnotiteľ je povinný pred účasťou na odbornom hodnotení podpísať Čestné vyhlásenie o nestrannosti, zachovaní dôvernosti informácií a vylúčení konfliktu záujmov. Povinnosti, ktoré z tohto čestného vyhlásenia vyplývajú, trvajú aj po ukončení vzťahu s MAS.</w:t>
      </w:r>
    </w:p>
    <w:p w14:paraId="117F2E58" w14:textId="77777777" w:rsidR="00867792" w:rsidRPr="00867792" w:rsidRDefault="00867792" w:rsidP="00FE31AE">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 xml:space="preserve">Základné kritériá pre hodnotenie majú odborný hodnotitelia v rámci PRV SR 2014- 2020 definované v schválenej stratégii CLLD. </w:t>
      </w:r>
    </w:p>
    <w:p w14:paraId="5721940C"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MAS v rámci PRV SR 2014-2020 je povinná zabezpečiť prideľovanie ŽoNFP odborným hodnotiteľom náhodným výberom prostredníctvom funkcionalít v ITMS2014+ pričom platí pravidlo, že jedna ŽoNFP je pridelená dvom  odborným hodnotiteľom. V prípade nefunkčnosti ITMS2014+ MAS zabezpečí prideľovanie ŽoNFP odborným hodnotiteľom (napr. náhodné prideľovanie  žrebovaním, náhodný výber, využitire výpočtovej techniky a pod.). Postupy prideľovania ŽoNFP odborným hodnotiteľom sú pre MAS uvedené v príručke pre prijímateľa LEADER.</w:t>
      </w:r>
    </w:p>
    <w:p w14:paraId="3E398566" w14:textId="77777777" w:rsidR="00867792" w:rsidRPr="00867792" w:rsidRDefault="00867792" w:rsidP="00640CFA">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 xml:space="preserve">MAS si overí skutočnosť, či  odborný hodnotiteľ nie je zamestnancom niektorého so žiadateľov, ktorý pedkladá ŽoNFP. Nesmie byť tiež jeho blízkou alebo spriaznenou osobou či sa nachádzať v akomkoľvek konflikte záujmov ako je uvedené  Systému riadenia CLLD v </w:t>
      </w:r>
      <w:r w:rsidRPr="00867792">
        <w:rPr>
          <w:rFonts w:ascii="Times New Roman" w:hAnsi="Times New Roman" w:cs="Times New Roman"/>
          <w:sz w:val="24"/>
          <w:szCs w:val="24"/>
        </w:rPr>
        <w:lastRenderedPageBreak/>
        <w:t xml:space="preserve">platnom znení.  V prípade odhalenia konfliktu záujmov bude takýto odborný hodnotiteľ vylúčený z odborného hodnotenia príslušnej výzvy </w:t>
      </w:r>
    </w:p>
    <w:p w14:paraId="3FBF6941"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Odborného hodnotenia sa nesmie zúčastniť ani hodnotiteľ, ktorý sám upozorní na existenciu konfliktu záujmov či už pred alebo počas odborného hodnotenia ŽoNFP. V takom prípade bude táto skutočnosť zaznamenaná v dokumentácii odborného hodnotenia.</w:t>
      </w:r>
    </w:p>
    <w:p w14:paraId="2D35BC3B"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Odborní hodnotitelia  hodnotia ŽoNFP každý samostatne a hodnotia  ŽoNFP ako celok vrátane príloh.</w:t>
      </w:r>
    </w:p>
    <w:p w14:paraId="0182E034" w14:textId="77777777" w:rsidR="00867792" w:rsidRPr="00867792" w:rsidRDefault="00867792" w:rsidP="00FE31AE">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Odborní hodnotitelia zaznamenávajú hodnotenie ŽoNFP do hodnotiaceho hárku</w:t>
      </w:r>
      <w:r w:rsidR="00FE31AE">
        <w:rPr>
          <w:rFonts w:ascii="Times New Roman" w:hAnsi="Times New Roman" w:cs="Times New Roman"/>
          <w:sz w:val="24"/>
          <w:szCs w:val="24"/>
        </w:rPr>
        <w:t xml:space="preserve"> </w:t>
      </w:r>
      <w:r w:rsidRPr="00867792">
        <w:rPr>
          <w:rFonts w:ascii="Times New Roman" w:hAnsi="Times New Roman" w:cs="Times New Roman"/>
          <w:sz w:val="24"/>
          <w:szCs w:val="24"/>
        </w:rPr>
        <w:t xml:space="preserve">písomne, resp. elektronicky prostredníctvom ITMS2014+ </w:t>
      </w:r>
      <w:r w:rsidR="00FE31AE">
        <w:rPr>
          <w:rFonts w:ascii="Times New Roman" w:hAnsi="Times New Roman" w:cs="Times New Roman"/>
          <w:sz w:val="24"/>
          <w:szCs w:val="24"/>
        </w:rPr>
        <w:t xml:space="preserve"> </w:t>
      </w:r>
      <w:r w:rsidRPr="00867792">
        <w:rPr>
          <w:rFonts w:ascii="Times New Roman" w:hAnsi="Times New Roman" w:cs="Times New Roman"/>
          <w:sz w:val="24"/>
          <w:szCs w:val="24"/>
        </w:rPr>
        <w:t>hodnotenie ŽoNFP,</w:t>
      </w:r>
    </w:p>
    <w:p w14:paraId="14DFEA48"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 xml:space="preserve">Po ukončení hodnotenia odovzdajú kompletne vyplnený a podpísaný hodnotiaci hárok výberovej komisii. </w:t>
      </w:r>
    </w:p>
    <w:p w14:paraId="6D2B9942"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V prípade, ak je rozdiel medzi celkovým bodovým hodnotením prvého a druhého odborného hodnotiteľa vyšší ako 10 bodov, určí Výberová komisia náhodným výberom v zmysle  Systému  riadenia CLLD v platnom znení tretieho odborného hodnotiteľa (arbitra). Tretí odborný hodnotiteľ zaznamenáva hodnotenie ŽoNFP do hodnotiaceho hárku v zmysle postupov podľa  Systému riadenia CLLD v platnom znení . Z bodového hodnotenia tretieho hodnotiteľa Výberová komisia urobí aritmetický priemer s bodovým hodnotením jedného z dvojice odborných hodnotiteľov, ku ktorému je hodnotenie tretieho odborného hodnotiteľa bližšie. Toto výsledné bodové hodnotenie sa považuje za záväzné hodnotenie ŽoNFP.</w:t>
      </w:r>
    </w:p>
    <w:p w14:paraId="3CA35ACC" w14:textId="77777777" w:rsidR="00867792" w:rsidRPr="00867792" w:rsidRDefault="00867792" w:rsidP="00867792">
      <w:pPr>
        <w:spacing w:after="0" w:line="360" w:lineRule="auto"/>
        <w:jc w:val="both"/>
        <w:rPr>
          <w:rFonts w:ascii="Times New Roman" w:hAnsi="Times New Roman" w:cs="Times New Roman"/>
          <w:sz w:val="24"/>
          <w:szCs w:val="24"/>
        </w:rPr>
      </w:pPr>
    </w:p>
    <w:p w14:paraId="61DF0FDC" w14:textId="77777777" w:rsidR="00867792" w:rsidRPr="00867792"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 xml:space="preserve">MAS zodpovedá za  dodržanie princípov  transparentnosti, rovnakého zaobchádzania, nediskriminácie. Pri hodnotení ŽoNFP MAS dodržiava minimálne princíp štyroch očí, ak Systém riadenia CLLD v platnom znení nevyžaduje prísnejší kontrolný mechanizmus.  MAS je tiež povinná v prípade akéhokoľvek podozrenia nasvedčujúceho, že bol alebo by mohol byť spáchaný trestný čin toto bezodkladne  oznámiť orgánom činným v trestnom konaní. </w:t>
      </w:r>
    </w:p>
    <w:p w14:paraId="02B6B43A" w14:textId="3B3AC006" w:rsidR="00387D99" w:rsidRDefault="00867792" w:rsidP="00867792">
      <w:pPr>
        <w:spacing w:after="0" w:line="360" w:lineRule="auto"/>
        <w:jc w:val="both"/>
        <w:rPr>
          <w:rFonts w:ascii="Times New Roman" w:hAnsi="Times New Roman" w:cs="Times New Roman"/>
          <w:sz w:val="24"/>
          <w:szCs w:val="24"/>
        </w:rPr>
      </w:pPr>
      <w:r w:rsidRPr="00867792">
        <w:rPr>
          <w:rFonts w:ascii="Times New Roman" w:hAnsi="Times New Roman" w:cs="Times New Roman"/>
          <w:sz w:val="24"/>
          <w:szCs w:val="24"/>
        </w:rPr>
        <w:t>Činnosti, úlohy a zodpovednosti odborného hodnotiteľa sú v súlade so Systémom riadenia CLLD v platnom znení.</w:t>
      </w:r>
    </w:p>
    <w:p w14:paraId="362CC33A" w14:textId="77777777" w:rsidR="00EC1DDF" w:rsidRDefault="00EC1DDF" w:rsidP="00387D99">
      <w:pPr>
        <w:spacing w:after="0" w:line="360" w:lineRule="auto"/>
        <w:jc w:val="both"/>
        <w:rPr>
          <w:rFonts w:ascii="Times New Roman" w:hAnsi="Times New Roman" w:cs="Times New Roman"/>
          <w:sz w:val="24"/>
          <w:szCs w:val="24"/>
        </w:rPr>
      </w:pPr>
    </w:p>
    <w:p w14:paraId="6E4A5DB7" w14:textId="77777777" w:rsidR="008868AB" w:rsidRPr="006D5EF2" w:rsidRDefault="008868AB" w:rsidP="00EC1DDF">
      <w:pPr>
        <w:spacing w:after="0" w:line="360" w:lineRule="auto"/>
        <w:jc w:val="both"/>
        <w:rPr>
          <w:rFonts w:ascii="Times New Roman" w:hAnsi="Times New Roman" w:cs="Times New Roman"/>
          <w:i/>
          <w:sz w:val="24"/>
          <w:szCs w:val="24"/>
          <w:u w:val="single"/>
        </w:rPr>
      </w:pPr>
      <w:r w:rsidRPr="006D5EF2">
        <w:rPr>
          <w:rFonts w:ascii="Times New Roman" w:hAnsi="Times New Roman" w:cs="Times New Roman"/>
          <w:i/>
          <w:sz w:val="24"/>
          <w:szCs w:val="24"/>
          <w:u w:val="single"/>
        </w:rPr>
        <w:t>Postupy výberu žiadostí o NFP.</w:t>
      </w:r>
    </w:p>
    <w:p w14:paraId="35FA1790" w14:textId="77777777" w:rsidR="008868AB" w:rsidRDefault="008868AB" w:rsidP="008868AB">
      <w:pPr>
        <w:spacing w:after="0" w:line="360" w:lineRule="auto"/>
        <w:ind w:firstLine="709"/>
        <w:jc w:val="both"/>
        <w:rPr>
          <w:rFonts w:ascii="Times New Roman" w:hAnsi="Times New Roman" w:cs="Times New Roman"/>
          <w:sz w:val="24"/>
          <w:szCs w:val="24"/>
        </w:rPr>
      </w:pPr>
      <w:r w:rsidRPr="006D5EF2">
        <w:rPr>
          <w:rFonts w:ascii="Times New Roman" w:hAnsi="Times New Roman" w:cs="Times New Roman"/>
          <w:sz w:val="24"/>
          <w:szCs w:val="24"/>
        </w:rPr>
        <w:t xml:space="preserve">Po odbornom hodnotení ŽoNFP nasleduje zasadnutie Výberovej komisie. Výberovú komisiu zriadi </w:t>
      </w:r>
      <w:r>
        <w:rPr>
          <w:rFonts w:ascii="Times New Roman" w:hAnsi="Times New Roman" w:cs="Times New Roman"/>
          <w:sz w:val="24"/>
          <w:szCs w:val="24"/>
        </w:rPr>
        <w:t>Predsedníctvo</w:t>
      </w:r>
      <w:r w:rsidRPr="006D5EF2">
        <w:rPr>
          <w:rFonts w:ascii="Times New Roman" w:hAnsi="Times New Roman" w:cs="Times New Roman"/>
          <w:sz w:val="24"/>
          <w:szCs w:val="24"/>
        </w:rPr>
        <w:t xml:space="preserve"> </w:t>
      </w:r>
      <w:r>
        <w:rPr>
          <w:rFonts w:ascii="Times New Roman" w:hAnsi="Times New Roman" w:cs="Times New Roman"/>
          <w:sz w:val="24"/>
          <w:szCs w:val="24"/>
        </w:rPr>
        <w:t xml:space="preserve">KR – MAS </w:t>
      </w:r>
      <w:r w:rsidRPr="006D5EF2">
        <w:rPr>
          <w:rFonts w:ascii="Times New Roman" w:hAnsi="Times New Roman" w:cs="Times New Roman"/>
          <w:sz w:val="24"/>
          <w:szCs w:val="24"/>
        </w:rPr>
        <w:t>pre každú výzvu samostatne. Členovia výberovej komisie budú navrhnutí tak, aby ich vzdelanostné, odborné a praktické zručnosti zodpovedali konkrétnej výzve a aspoň 50% hlasov rozhodnutí o výbere patrilo partnerom, ktorí nie sú orgánmi verejnej správy.</w:t>
      </w:r>
    </w:p>
    <w:p w14:paraId="11AE7866" w14:textId="0BA75A09" w:rsidR="00387D99" w:rsidRPr="0086604F" w:rsidRDefault="00387D99" w:rsidP="008868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31546">
        <w:rPr>
          <w:rFonts w:ascii="Times New Roman" w:hAnsi="Times New Roman" w:cs="Times New Roman"/>
          <w:sz w:val="24"/>
          <w:szCs w:val="24"/>
        </w:rPr>
        <w:t>Aplikáciou rozlišovacích kritérií v ITMS2014+ výberová komisia stanoví poradie ŽoNFP a vypracuje záverečnú správu z výzvy, v ktorej navrhne PPA pre jednotlivé ŽoNFP vydanie konkrétneho rozhodnutia (rozhodnutie o schválení/neschválení ŽoNFP, rozhodnutie o zastavení konania). Záverečná správa z výzvy musí byť predložená PPA do 45 pracovných dní odo dňa ukončenia výzvy. PPA po kontrole buď vyzve na opravu zistených nedostatkov alebo ak nezistí žiadne nedostatky tak zašle zoznam schválených ŽoNFP príslušnej MAS, ktorá ho zasiela príslušnému samosprávnemu kraju za účelom predchádzania rizika dvojitého financovania. Na základe skutočností zistených v rámci konania o ŽoNFP vydá PPA: Rozhodnutie o schválení, rozhodnutie o neschválení alebo rozhodnutie o zastavení konania a to do 35 dní od predloženia záverečnej správy z výzvy (do lehoty sa nezapočítava doba potrebná na doplnenie). Právny nárok na poskytnutie príspevku vzniká nadobudnutím účinnosti zmluvy o poskytnutí NFP. Nie je však garantované reálne uhradenie zazmluvnenej výšky príspevku, pretože to je viazané na splnenie podmienok v zmluve po poskytnutí NFP.</w:t>
      </w:r>
      <w:r w:rsidR="008868AB">
        <w:rPr>
          <w:rFonts w:ascii="Times New Roman" w:hAnsi="Times New Roman" w:cs="Times New Roman"/>
          <w:sz w:val="24"/>
          <w:szCs w:val="24"/>
        </w:rPr>
        <w:t xml:space="preserve"> </w:t>
      </w:r>
    </w:p>
    <w:p w14:paraId="6D4DA96F"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5769F2FF" w14:textId="77777777" w:rsidR="00387D99" w:rsidRPr="00EC1DDF" w:rsidRDefault="00387D99" w:rsidP="00387D99">
      <w:pPr>
        <w:spacing w:after="0" w:line="360" w:lineRule="auto"/>
        <w:jc w:val="both"/>
        <w:rPr>
          <w:rFonts w:ascii="Times New Roman" w:hAnsi="Times New Roman" w:cs="Times New Roman"/>
          <w:b/>
          <w:i/>
          <w:sz w:val="24"/>
          <w:szCs w:val="24"/>
          <w:u w:val="single"/>
        </w:rPr>
      </w:pPr>
      <w:r w:rsidRPr="00EC1DDF">
        <w:rPr>
          <w:rFonts w:ascii="Times New Roman" w:hAnsi="Times New Roman" w:cs="Times New Roman"/>
          <w:b/>
          <w:i/>
          <w:sz w:val="24"/>
          <w:szCs w:val="24"/>
          <w:u w:val="single"/>
        </w:rPr>
        <w:t>Žiadosti podporované v rámci IROP</w:t>
      </w:r>
    </w:p>
    <w:p w14:paraId="169BFB3A" w14:textId="77777777" w:rsidR="00EC1DDF" w:rsidRDefault="00EC1DDF" w:rsidP="008868AB">
      <w:pPr>
        <w:spacing w:after="0" w:line="360" w:lineRule="auto"/>
        <w:jc w:val="both"/>
        <w:rPr>
          <w:rFonts w:ascii="Times New Roman" w:hAnsi="Times New Roman" w:cs="Times New Roman"/>
          <w:sz w:val="24"/>
          <w:szCs w:val="24"/>
        </w:rPr>
      </w:pPr>
    </w:p>
    <w:p w14:paraId="7901AAB2" w14:textId="77777777" w:rsidR="008868AB" w:rsidRPr="00736AD7" w:rsidRDefault="008868AB" w:rsidP="008868AB">
      <w:pPr>
        <w:spacing w:after="0" w:line="360" w:lineRule="auto"/>
        <w:jc w:val="both"/>
        <w:rPr>
          <w:rFonts w:ascii="Times New Roman" w:hAnsi="Times New Roman" w:cs="Times New Roman"/>
          <w:i/>
          <w:sz w:val="24"/>
          <w:szCs w:val="24"/>
        </w:rPr>
      </w:pPr>
      <w:r w:rsidRPr="00736AD7">
        <w:rPr>
          <w:rFonts w:ascii="Times New Roman" w:hAnsi="Times New Roman" w:cs="Times New Roman"/>
          <w:i/>
          <w:sz w:val="24"/>
          <w:szCs w:val="24"/>
        </w:rPr>
        <w:t>Postupy vyhlásenia výzvy MAS</w:t>
      </w:r>
    </w:p>
    <w:p w14:paraId="4FFE6B92" w14:textId="77777777" w:rsidR="00387D99" w:rsidRDefault="008868AB" w:rsidP="008868AB">
      <w:pPr>
        <w:spacing w:after="0" w:line="360" w:lineRule="auto"/>
        <w:ind w:firstLine="709"/>
        <w:jc w:val="both"/>
        <w:rPr>
          <w:rFonts w:ascii="Times New Roman" w:hAnsi="Times New Roman" w:cs="Times New Roman"/>
          <w:sz w:val="24"/>
          <w:szCs w:val="24"/>
        </w:rPr>
      </w:pPr>
      <w:r w:rsidRPr="00CF45CB">
        <w:rPr>
          <w:rFonts w:ascii="Times New Roman" w:hAnsi="Times New Roman" w:cs="Times New Roman"/>
          <w:sz w:val="24"/>
          <w:szCs w:val="24"/>
        </w:rPr>
        <w:t>MAS pri vyhlasovaní výzvy na predkladanie Žiadostí o príspevok (ďalej len „ŽoPr“) pre Realizátorov stratégie (ďalej len „ReS“) sa riadi usmerneniami systému riadenia CLLD (kap 11.2).</w:t>
      </w:r>
      <w:r w:rsidR="00387D99">
        <w:rPr>
          <w:rFonts w:ascii="Times New Roman" w:hAnsi="Times New Roman" w:cs="Times New Roman"/>
          <w:sz w:val="24"/>
          <w:szCs w:val="24"/>
        </w:rPr>
        <w:t xml:space="preserve"> </w:t>
      </w:r>
      <w:r w:rsidR="00387D99" w:rsidRPr="00890977">
        <w:rPr>
          <w:rFonts w:ascii="Times New Roman" w:hAnsi="Times New Roman" w:cs="Times New Roman"/>
          <w:sz w:val="24"/>
          <w:szCs w:val="24"/>
        </w:rPr>
        <w:t>MAS bude vyhlasovať výzvy v súlade s indikatívnym harmonogramom výziev</w:t>
      </w:r>
      <w:r w:rsidR="00387D99">
        <w:rPr>
          <w:rFonts w:ascii="Times New Roman" w:hAnsi="Times New Roman" w:cs="Times New Roman"/>
          <w:sz w:val="24"/>
          <w:szCs w:val="24"/>
        </w:rPr>
        <w:t xml:space="preserve">, ktorý </w:t>
      </w:r>
      <w:r w:rsidR="00387D99" w:rsidRPr="000E4092">
        <w:rPr>
          <w:rFonts w:ascii="Times New Roman" w:hAnsi="Times New Roman" w:cs="Times New Roman"/>
          <w:sz w:val="24"/>
          <w:szCs w:val="24"/>
        </w:rPr>
        <w:t>podlieha schváleniu zo strany RO pre</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IROP</w:t>
      </w:r>
      <w:r w:rsidR="00387D99">
        <w:rPr>
          <w:rFonts w:ascii="Times New Roman" w:hAnsi="Times New Roman" w:cs="Times New Roman"/>
          <w:sz w:val="24"/>
          <w:szCs w:val="24"/>
        </w:rPr>
        <w:t>.</w:t>
      </w:r>
    </w:p>
    <w:p w14:paraId="6E719215" w14:textId="77777777" w:rsidR="00387D99" w:rsidRDefault="00387D99"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E4092">
        <w:rPr>
          <w:rFonts w:ascii="Times New Roman" w:hAnsi="Times New Roman" w:cs="Times New Roman"/>
          <w:sz w:val="24"/>
          <w:szCs w:val="24"/>
        </w:rPr>
        <w:t>MAS</w:t>
      </w:r>
      <w:r>
        <w:rPr>
          <w:rFonts w:ascii="Times New Roman" w:hAnsi="Times New Roman" w:cs="Times New Roman"/>
          <w:sz w:val="24"/>
          <w:szCs w:val="24"/>
        </w:rPr>
        <w:t xml:space="preserve"> </w:t>
      </w:r>
      <w:r w:rsidRPr="000E4092">
        <w:rPr>
          <w:rFonts w:ascii="Times New Roman" w:hAnsi="Times New Roman" w:cs="Times New Roman"/>
          <w:sz w:val="24"/>
          <w:szCs w:val="24"/>
        </w:rPr>
        <w:t>pri príprave výziev a dokumentov, ktoré sú relevantné vo vzťahu k</w:t>
      </w:r>
      <w:r>
        <w:rPr>
          <w:rFonts w:ascii="Times New Roman" w:hAnsi="Times New Roman" w:cs="Times New Roman"/>
          <w:sz w:val="24"/>
          <w:szCs w:val="24"/>
        </w:rPr>
        <w:t> </w:t>
      </w:r>
      <w:r w:rsidRPr="000E4092">
        <w:rPr>
          <w:rFonts w:ascii="Times New Roman" w:hAnsi="Times New Roman" w:cs="Times New Roman"/>
          <w:sz w:val="24"/>
          <w:szCs w:val="24"/>
        </w:rPr>
        <w:t>výzve</w:t>
      </w:r>
      <w:r>
        <w:rPr>
          <w:rFonts w:ascii="Times New Roman" w:hAnsi="Times New Roman" w:cs="Times New Roman"/>
          <w:sz w:val="24"/>
          <w:szCs w:val="24"/>
        </w:rPr>
        <w:t xml:space="preserve"> </w:t>
      </w:r>
      <w:r w:rsidRPr="000E4092">
        <w:rPr>
          <w:rFonts w:ascii="Times New Roman" w:hAnsi="Times New Roman" w:cs="Times New Roman"/>
          <w:sz w:val="24"/>
          <w:szCs w:val="24"/>
        </w:rPr>
        <w:t xml:space="preserve">spolupracuje s RO pre IROP. MAS </w:t>
      </w:r>
      <w:r>
        <w:rPr>
          <w:rFonts w:ascii="Times New Roman" w:hAnsi="Times New Roman" w:cs="Times New Roman"/>
          <w:sz w:val="24"/>
          <w:szCs w:val="24"/>
        </w:rPr>
        <w:t xml:space="preserve">zasiela </w:t>
      </w:r>
      <w:r w:rsidRPr="000E4092">
        <w:rPr>
          <w:rFonts w:ascii="Times New Roman" w:hAnsi="Times New Roman" w:cs="Times New Roman"/>
          <w:sz w:val="24"/>
          <w:szCs w:val="24"/>
        </w:rPr>
        <w:t>pred zverejnením výzvy návrh</w:t>
      </w:r>
      <w:r>
        <w:rPr>
          <w:rFonts w:ascii="Times New Roman" w:hAnsi="Times New Roman" w:cs="Times New Roman"/>
          <w:sz w:val="24"/>
          <w:szCs w:val="24"/>
        </w:rPr>
        <w:t xml:space="preserve"> </w:t>
      </w:r>
      <w:r w:rsidRPr="000E4092">
        <w:rPr>
          <w:rFonts w:ascii="Times New Roman" w:hAnsi="Times New Roman" w:cs="Times New Roman"/>
          <w:sz w:val="24"/>
          <w:szCs w:val="24"/>
        </w:rPr>
        <w:t>znenia výzvy, vrátane relevantných dokumentov, prípadne s odkazom na zverejnenie</w:t>
      </w:r>
      <w:r>
        <w:rPr>
          <w:rFonts w:ascii="Times New Roman" w:hAnsi="Times New Roman" w:cs="Times New Roman"/>
          <w:sz w:val="24"/>
          <w:szCs w:val="24"/>
        </w:rPr>
        <w:t xml:space="preserve"> </w:t>
      </w:r>
      <w:r w:rsidRPr="000E4092">
        <w:rPr>
          <w:rFonts w:ascii="Times New Roman" w:hAnsi="Times New Roman" w:cs="Times New Roman"/>
          <w:sz w:val="24"/>
          <w:szCs w:val="24"/>
        </w:rPr>
        <w:t>týchto relevantných dokumentov na svojom webovom sídle, na odsúhlasenie RO pre</w:t>
      </w:r>
      <w:r>
        <w:rPr>
          <w:rFonts w:ascii="Times New Roman" w:hAnsi="Times New Roman" w:cs="Times New Roman"/>
          <w:sz w:val="24"/>
          <w:szCs w:val="24"/>
        </w:rPr>
        <w:t xml:space="preserve"> </w:t>
      </w:r>
      <w:r w:rsidRPr="000E4092">
        <w:rPr>
          <w:rFonts w:ascii="Times New Roman" w:hAnsi="Times New Roman" w:cs="Times New Roman"/>
          <w:sz w:val="24"/>
          <w:szCs w:val="24"/>
        </w:rPr>
        <w:t>IROP.</w:t>
      </w:r>
    </w:p>
    <w:p w14:paraId="15FE2BDD" w14:textId="77777777" w:rsidR="00387D99" w:rsidRDefault="009830E8"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7D99" w:rsidRPr="000E4092">
        <w:rPr>
          <w:rFonts w:ascii="Times New Roman" w:hAnsi="Times New Roman" w:cs="Times New Roman"/>
          <w:sz w:val="24"/>
          <w:szCs w:val="24"/>
        </w:rPr>
        <w:t>MAS vyhlási výzvu jej zverejnením na svojom webovom sídle.</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RO pre IROP zabezpečí</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zadanie informácie o vyhlásení výzvy a jej aktivovanie v ITMS2014+</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a zverejní výzvu</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 xml:space="preserve">na svojom webovom sídle. MAS </w:t>
      </w:r>
      <w:r w:rsidR="00387D99">
        <w:rPr>
          <w:rFonts w:ascii="Times New Roman" w:hAnsi="Times New Roman" w:cs="Times New Roman"/>
          <w:sz w:val="24"/>
          <w:szCs w:val="24"/>
        </w:rPr>
        <w:t xml:space="preserve">zverejní </w:t>
      </w:r>
      <w:r w:rsidR="00387D99" w:rsidRPr="000E4092">
        <w:rPr>
          <w:rFonts w:ascii="Times New Roman" w:hAnsi="Times New Roman" w:cs="Times New Roman"/>
          <w:sz w:val="24"/>
          <w:szCs w:val="24"/>
        </w:rPr>
        <w:t>informáciu o zverejnenej výzve za</w:t>
      </w:r>
      <w:r w:rsidR="00387D99">
        <w:rPr>
          <w:rFonts w:ascii="Times New Roman" w:hAnsi="Times New Roman" w:cs="Times New Roman"/>
          <w:sz w:val="24"/>
          <w:szCs w:val="24"/>
        </w:rPr>
        <w:t xml:space="preserve"> </w:t>
      </w:r>
      <w:r w:rsidR="00387D99" w:rsidRPr="000E4092">
        <w:rPr>
          <w:rFonts w:ascii="Times New Roman" w:hAnsi="Times New Roman" w:cs="Times New Roman"/>
          <w:sz w:val="24"/>
          <w:szCs w:val="24"/>
        </w:rPr>
        <w:t xml:space="preserve">účelom lepšej informovanosti následne aj </w:t>
      </w:r>
      <w:r w:rsidR="00387D99">
        <w:rPr>
          <w:rFonts w:ascii="Times New Roman" w:hAnsi="Times New Roman" w:cs="Times New Roman"/>
          <w:sz w:val="24"/>
          <w:szCs w:val="24"/>
        </w:rPr>
        <w:t>v miestnom </w:t>
      </w:r>
      <w:r w:rsidR="00387D99" w:rsidRPr="000E4092">
        <w:rPr>
          <w:rFonts w:ascii="Times New Roman" w:hAnsi="Times New Roman" w:cs="Times New Roman"/>
          <w:sz w:val="24"/>
          <w:szCs w:val="24"/>
        </w:rPr>
        <w:t>tlač</w:t>
      </w:r>
      <w:r w:rsidR="00387D99">
        <w:rPr>
          <w:rFonts w:ascii="Times New Roman" w:hAnsi="Times New Roman" w:cs="Times New Roman"/>
          <w:sz w:val="24"/>
          <w:szCs w:val="24"/>
        </w:rPr>
        <w:t>i či médiách.</w:t>
      </w:r>
    </w:p>
    <w:p w14:paraId="52E5770E" w14:textId="77777777" w:rsidR="00387D99" w:rsidRDefault="009830E8"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7D99" w:rsidRPr="00D64DB8">
        <w:rPr>
          <w:rFonts w:ascii="Times New Roman" w:hAnsi="Times New Roman" w:cs="Times New Roman"/>
          <w:sz w:val="24"/>
          <w:szCs w:val="24"/>
        </w:rPr>
        <w:t xml:space="preserve">Výzva </w:t>
      </w:r>
      <w:r w:rsidR="00387D99">
        <w:rPr>
          <w:rFonts w:ascii="Times New Roman" w:hAnsi="Times New Roman" w:cs="Times New Roman"/>
          <w:sz w:val="24"/>
          <w:szCs w:val="24"/>
        </w:rPr>
        <w:t>bude</w:t>
      </w:r>
      <w:r w:rsidR="00387D99" w:rsidRPr="00D64DB8">
        <w:rPr>
          <w:rFonts w:ascii="Times New Roman" w:hAnsi="Times New Roman" w:cs="Times New Roman"/>
          <w:sz w:val="24"/>
          <w:szCs w:val="24"/>
        </w:rPr>
        <w:t xml:space="preserve"> mať iba formu otvorenej výzvy</w:t>
      </w:r>
      <w:r w:rsidR="00EC1DDF">
        <w:rPr>
          <w:rFonts w:ascii="Times New Roman" w:hAnsi="Times New Roman" w:cs="Times New Roman"/>
          <w:sz w:val="24"/>
          <w:szCs w:val="24"/>
        </w:rPr>
        <w:t xml:space="preserve"> </w:t>
      </w:r>
      <w:r w:rsidR="008868AB" w:rsidRPr="001F5B9A">
        <w:rPr>
          <w:rFonts w:ascii="Times New Roman" w:hAnsi="Times New Roman" w:cs="Times New Roman"/>
          <w:sz w:val="24"/>
          <w:szCs w:val="24"/>
        </w:rPr>
        <w:t xml:space="preserve">– jej ukončenie je závislé na vyčerpaní disponibilných finančných prostriedkoch pre danú výzvu. MAS a RO pre IROP potencionálnym žiadateľom oznámi plán ukončenia výzvy min. 1 mesiac pred jej predpokladaným uzavretím na svojom webovom sídle. Výber ŽoPr predložených na základe </w:t>
      </w:r>
      <w:r w:rsidR="008868AB" w:rsidRPr="001F5B9A">
        <w:rPr>
          <w:rFonts w:ascii="Times New Roman" w:hAnsi="Times New Roman" w:cs="Times New Roman"/>
          <w:sz w:val="24"/>
          <w:szCs w:val="24"/>
        </w:rPr>
        <w:lastRenderedPageBreak/>
        <w:t>otvorenej výzvy bude prebiehať v termínoch (kolách) stanovených vo výzve</w:t>
      </w:r>
      <w:r w:rsidR="00387D99">
        <w:rPr>
          <w:rFonts w:ascii="Times New Roman" w:hAnsi="Times New Roman" w:cs="Times New Roman"/>
          <w:sz w:val="24"/>
          <w:szCs w:val="24"/>
        </w:rPr>
        <w:t>.</w:t>
      </w:r>
      <w:r>
        <w:rPr>
          <w:rFonts w:ascii="Times New Roman" w:hAnsi="Times New Roman" w:cs="Times New Roman"/>
          <w:sz w:val="24"/>
          <w:szCs w:val="24"/>
        </w:rPr>
        <w:t xml:space="preserve"> </w:t>
      </w:r>
      <w:r w:rsidR="00387D99">
        <w:rPr>
          <w:rFonts w:ascii="Times New Roman" w:hAnsi="Times New Roman" w:cs="Times New Roman"/>
          <w:sz w:val="24"/>
          <w:szCs w:val="24"/>
        </w:rPr>
        <w:t xml:space="preserve">Výzva obsahuje časti podľa </w:t>
      </w:r>
      <w:r w:rsidR="00387D99" w:rsidRPr="00520D93">
        <w:rPr>
          <w:rFonts w:ascii="Times New Roman" w:hAnsi="Times New Roman" w:cs="Times New Roman"/>
          <w:sz w:val="24"/>
          <w:szCs w:val="24"/>
        </w:rPr>
        <w:t xml:space="preserve">odseku </w:t>
      </w:r>
      <w:r w:rsidR="00387D99">
        <w:rPr>
          <w:rFonts w:ascii="Times New Roman" w:hAnsi="Times New Roman" w:cs="Times New Roman"/>
          <w:sz w:val="24"/>
          <w:szCs w:val="24"/>
        </w:rPr>
        <w:t>9</w:t>
      </w:r>
      <w:r w:rsidR="00387D99" w:rsidRPr="00520D93">
        <w:rPr>
          <w:rFonts w:ascii="Times New Roman" w:hAnsi="Times New Roman" w:cs="Times New Roman"/>
          <w:sz w:val="24"/>
          <w:szCs w:val="24"/>
        </w:rPr>
        <w:t xml:space="preserve"> bodu </w:t>
      </w:r>
      <w:r w:rsidR="00387D99">
        <w:rPr>
          <w:rFonts w:ascii="Times New Roman" w:hAnsi="Times New Roman" w:cs="Times New Roman"/>
          <w:sz w:val="24"/>
          <w:szCs w:val="24"/>
        </w:rPr>
        <w:t>11</w:t>
      </w:r>
      <w:r w:rsidR="00387D99" w:rsidRPr="00520D93">
        <w:rPr>
          <w:rFonts w:ascii="Times New Roman" w:hAnsi="Times New Roman" w:cs="Times New Roman"/>
          <w:sz w:val="24"/>
          <w:szCs w:val="24"/>
        </w:rPr>
        <w:t>.1</w:t>
      </w:r>
      <w:r w:rsidR="00387D99">
        <w:rPr>
          <w:rFonts w:ascii="Times New Roman" w:hAnsi="Times New Roman" w:cs="Times New Roman"/>
          <w:sz w:val="24"/>
          <w:szCs w:val="24"/>
        </w:rPr>
        <w:t xml:space="preserve"> </w:t>
      </w:r>
      <w:r w:rsidR="00387D99" w:rsidRPr="00520D93">
        <w:rPr>
          <w:rFonts w:ascii="Times New Roman" w:hAnsi="Times New Roman" w:cs="Times New Roman"/>
          <w:sz w:val="24"/>
          <w:szCs w:val="24"/>
        </w:rPr>
        <w:t>Systém</w:t>
      </w:r>
      <w:r w:rsidR="00387D99">
        <w:rPr>
          <w:rFonts w:ascii="Times New Roman" w:hAnsi="Times New Roman" w:cs="Times New Roman"/>
          <w:sz w:val="24"/>
          <w:szCs w:val="24"/>
        </w:rPr>
        <w:t>u</w:t>
      </w:r>
      <w:r w:rsidR="00387D99" w:rsidRPr="00520D93">
        <w:rPr>
          <w:rFonts w:ascii="Times New Roman" w:hAnsi="Times New Roman" w:cs="Times New Roman"/>
          <w:sz w:val="24"/>
          <w:szCs w:val="24"/>
        </w:rPr>
        <w:t xml:space="preserve"> riadenia CLLD 2014 </w:t>
      </w:r>
      <w:r w:rsidR="00387D99">
        <w:rPr>
          <w:rFonts w:ascii="Times New Roman" w:hAnsi="Times New Roman" w:cs="Times New Roman"/>
          <w:sz w:val="24"/>
          <w:szCs w:val="24"/>
        </w:rPr>
        <w:t>–</w:t>
      </w:r>
      <w:r w:rsidR="00387D99" w:rsidRPr="00520D93">
        <w:rPr>
          <w:rFonts w:ascii="Times New Roman" w:hAnsi="Times New Roman" w:cs="Times New Roman"/>
          <w:sz w:val="24"/>
          <w:szCs w:val="24"/>
        </w:rPr>
        <w:t xml:space="preserve"> 2020</w:t>
      </w:r>
      <w:r w:rsidR="00387D99">
        <w:rPr>
          <w:rFonts w:ascii="Times New Roman" w:hAnsi="Times New Roman" w:cs="Times New Roman"/>
          <w:sz w:val="24"/>
          <w:szCs w:val="24"/>
        </w:rPr>
        <w:t>.</w:t>
      </w:r>
    </w:p>
    <w:p w14:paraId="48152FA6" w14:textId="77777777" w:rsidR="00387D99" w:rsidRDefault="009830E8"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7D99" w:rsidRPr="00D64DB8">
        <w:rPr>
          <w:rFonts w:ascii="Times New Roman" w:hAnsi="Times New Roman" w:cs="Times New Roman"/>
          <w:sz w:val="24"/>
          <w:szCs w:val="24"/>
        </w:rPr>
        <w:t>MAS</w:t>
      </w:r>
      <w:r w:rsidR="00387D99">
        <w:rPr>
          <w:rFonts w:ascii="Times New Roman" w:hAnsi="Times New Roman" w:cs="Times New Roman"/>
          <w:sz w:val="24"/>
          <w:szCs w:val="24"/>
        </w:rPr>
        <w:t xml:space="preserve"> je</w:t>
      </w:r>
      <w:r w:rsidR="00387D99" w:rsidRPr="00D64DB8">
        <w:rPr>
          <w:rFonts w:ascii="Times New Roman" w:hAnsi="Times New Roman" w:cs="Times New Roman"/>
          <w:sz w:val="24"/>
          <w:szCs w:val="24"/>
        </w:rPr>
        <w:t xml:space="preserve"> oprávnená za podmienok stanovených v</w:t>
      </w:r>
      <w:r w:rsidR="00387D99">
        <w:rPr>
          <w:rFonts w:ascii="Times New Roman" w:hAnsi="Times New Roman" w:cs="Times New Roman"/>
          <w:sz w:val="24"/>
          <w:szCs w:val="24"/>
        </w:rPr>
        <w:t> </w:t>
      </w:r>
      <w:r w:rsidR="00387D99" w:rsidRPr="00D64DB8">
        <w:rPr>
          <w:rFonts w:ascii="Times New Roman" w:hAnsi="Times New Roman" w:cs="Times New Roman"/>
          <w:sz w:val="24"/>
          <w:szCs w:val="24"/>
        </w:rPr>
        <w:t>zákone</w:t>
      </w:r>
      <w:r w:rsidR="00387D99">
        <w:rPr>
          <w:rFonts w:ascii="Times New Roman" w:hAnsi="Times New Roman" w:cs="Times New Roman"/>
          <w:sz w:val="24"/>
          <w:szCs w:val="24"/>
        </w:rPr>
        <w:t xml:space="preserve"> </w:t>
      </w:r>
      <w:r w:rsidR="00387D99" w:rsidRPr="00D64DB8">
        <w:rPr>
          <w:rFonts w:ascii="Times New Roman" w:hAnsi="Times New Roman" w:cs="Times New Roman"/>
          <w:sz w:val="24"/>
          <w:szCs w:val="24"/>
        </w:rPr>
        <w:t>292/2014 Z.z. a upravených v tejto kapitole výzvu zmeniť alebo zrušiť</w:t>
      </w:r>
      <w:r w:rsidR="00387D99">
        <w:rPr>
          <w:rFonts w:ascii="Times New Roman" w:hAnsi="Times New Roman" w:cs="Times New Roman"/>
          <w:sz w:val="24"/>
          <w:szCs w:val="24"/>
        </w:rPr>
        <w:t xml:space="preserve">. Postupuje pri tom podľa </w:t>
      </w:r>
      <w:r w:rsidR="00387D99" w:rsidRPr="00520D93">
        <w:rPr>
          <w:rFonts w:ascii="Times New Roman" w:hAnsi="Times New Roman" w:cs="Times New Roman"/>
          <w:sz w:val="24"/>
          <w:szCs w:val="24"/>
        </w:rPr>
        <w:t xml:space="preserve">odseku </w:t>
      </w:r>
      <w:r w:rsidR="00387D99">
        <w:rPr>
          <w:rFonts w:ascii="Times New Roman" w:hAnsi="Times New Roman" w:cs="Times New Roman"/>
          <w:sz w:val="24"/>
          <w:szCs w:val="24"/>
        </w:rPr>
        <w:t>11</w:t>
      </w:r>
      <w:r w:rsidR="00387D99" w:rsidRPr="00520D93">
        <w:rPr>
          <w:rFonts w:ascii="Times New Roman" w:hAnsi="Times New Roman" w:cs="Times New Roman"/>
          <w:sz w:val="24"/>
          <w:szCs w:val="24"/>
        </w:rPr>
        <w:t>.</w:t>
      </w:r>
      <w:r w:rsidR="00387D99">
        <w:rPr>
          <w:rFonts w:ascii="Times New Roman" w:hAnsi="Times New Roman" w:cs="Times New Roman"/>
          <w:sz w:val="24"/>
          <w:szCs w:val="24"/>
        </w:rPr>
        <w:t xml:space="preserve">2 </w:t>
      </w:r>
      <w:r w:rsidR="00387D99" w:rsidRPr="00463F56">
        <w:rPr>
          <w:rFonts w:ascii="Times New Roman" w:hAnsi="Times New Roman" w:cs="Times New Roman"/>
          <w:sz w:val="24"/>
          <w:szCs w:val="24"/>
        </w:rPr>
        <w:t>Zmena a zrušenie výzvy</w:t>
      </w:r>
      <w:r w:rsidR="00387D99">
        <w:rPr>
          <w:rFonts w:ascii="Times New Roman" w:hAnsi="Times New Roman" w:cs="Times New Roman"/>
          <w:sz w:val="24"/>
          <w:szCs w:val="24"/>
        </w:rPr>
        <w:t xml:space="preserve"> </w:t>
      </w:r>
      <w:r w:rsidR="00387D99" w:rsidRPr="00520D93">
        <w:rPr>
          <w:rFonts w:ascii="Times New Roman" w:hAnsi="Times New Roman" w:cs="Times New Roman"/>
          <w:sz w:val="24"/>
          <w:szCs w:val="24"/>
        </w:rPr>
        <w:t>Systém</w:t>
      </w:r>
      <w:r w:rsidR="00387D99">
        <w:rPr>
          <w:rFonts w:ascii="Times New Roman" w:hAnsi="Times New Roman" w:cs="Times New Roman"/>
          <w:sz w:val="24"/>
          <w:szCs w:val="24"/>
        </w:rPr>
        <w:t>u</w:t>
      </w:r>
      <w:r w:rsidR="00387D99" w:rsidRPr="00520D93">
        <w:rPr>
          <w:rFonts w:ascii="Times New Roman" w:hAnsi="Times New Roman" w:cs="Times New Roman"/>
          <w:sz w:val="24"/>
          <w:szCs w:val="24"/>
        </w:rPr>
        <w:t xml:space="preserve"> riadenia CLLD 2014 </w:t>
      </w:r>
      <w:r w:rsidR="00387D99">
        <w:rPr>
          <w:rFonts w:ascii="Times New Roman" w:hAnsi="Times New Roman" w:cs="Times New Roman"/>
          <w:sz w:val="24"/>
          <w:szCs w:val="24"/>
        </w:rPr>
        <w:t>–</w:t>
      </w:r>
      <w:r w:rsidR="00387D99" w:rsidRPr="00520D93">
        <w:rPr>
          <w:rFonts w:ascii="Times New Roman" w:hAnsi="Times New Roman" w:cs="Times New Roman"/>
          <w:sz w:val="24"/>
          <w:szCs w:val="24"/>
        </w:rPr>
        <w:t xml:space="preserve"> 2020</w:t>
      </w:r>
      <w:r w:rsidR="00387D99">
        <w:rPr>
          <w:rFonts w:ascii="Times New Roman" w:hAnsi="Times New Roman" w:cs="Times New Roman"/>
          <w:sz w:val="24"/>
          <w:szCs w:val="24"/>
        </w:rPr>
        <w:t>.</w:t>
      </w:r>
    </w:p>
    <w:p w14:paraId="6FD1CBCB" w14:textId="77777777" w:rsidR="00387D99" w:rsidRDefault="00387D99" w:rsidP="00387D99">
      <w:pPr>
        <w:spacing w:after="0" w:line="360" w:lineRule="auto"/>
        <w:jc w:val="both"/>
        <w:rPr>
          <w:rFonts w:ascii="Times New Roman" w:hAnsi="Times New Roman" w:cs="Times New Roman"/>
          <w:sz w:val="24"/>
          <w:szCs w:val="24"/>
        </w:rPr>
      </w:pPr>
    </w:p>
    <w:p w14:paraId="5E841871" w14:textId="77777777" w:rsidR="008868AB" w:rsidRPr="001F5B9A" w:rsidRDefault="008868AB" w:rsidP="008868AB">
      <w:pPr>
        <w:spacing w:after="0" w:line="360" w:lineRule="auto"/>
        <w:jc w:val="both"/>
        <w:rPr>
          <w:rFonts w:ascii="Times New Roman" w:hAnsi="Times New Roman" w:cs="Times New Roman"/>
          <w:i/>
          <w:sz w:val="24"/>
          <w:szCs w:val="24"/>
        </w:rPr>
      </w:pPr>
      <w:r w:rsidRPr="001F5B9A">
        <w:rPr>
          <w:rFonts w:ascii="Times New Roman" w:hAnsi="Times New Roman" w:cs="Times New Roman"/>
          <w:i/>
          <w:sz w:val="24"/>
          <w:szCs w:val="24"/>
        </w:rPr>
        <w:t>Postupy hodnotenia žiadostí o príspevo</w:t>
      </w:r>
      <w:r w:rsidR="000D7F51">
        <w:rPr>
          <w:rFonts w:ascii="Times New Roman" w:hAnsi="Times New Roman" w:cs="Times New Roman"/>
          <w:i/>
          <w:sz w:val="24"/>
          <w:szCs w:val="24"/>
        </w:rPr>
        <w:t>k</w:t>
      </w:r>
      <w:r w:rsidRPr="001F5B9A">
        <w:rPr>
          <w:rFonts w:ascii="Times New Roman" w:hAnsi="Times New Roman" w:cs="Times New Roman"/>
          <w:i/>
          <w:sz w:val="24"/>
          <w:szCs w:val="24"/>
        </w:rPr>
        <w:t xml:space="preserve"> </w:t>
      </w:r>
    </w:p>
    <w:p w14:paraId="0CAA7DE5" w14:textId="77777777" w:rsidR="008868AB" w:rsidRPr="001F5B9A" w:rsidRDefault="008868AB" w:rsidP="008868AB">
      <w:pPr>
        <w:spacing w:after="0" w:line="360" w:lineRule="auto"/>
        <w:ind w:firstLine="709"/>
        <w:jc w:val="both"/>
        <w:rPr>
          <w:rFonts w:ascii="Times New Roman" w:hAnsi="Times New Roman" w:cs="Times New Roman"/>
          <w:sz w:val="24"/>
          <w:szCs w:val="24"/>
        </w:rPr>
      </w:pPr>
      <w:r w:rsidRPr="001F5B9A">
        <w:rPr>
          <w:rFonts w:ascii="Times New Roman" w:hAnsi="Times New Roman" w:cs="Times New Roman"/>
          <w:sz w:val="24"/>
          <w:szCs w:val="24"/>
        </w:rPr>
        <w:t xml:space="preserve">Príjem ŽoPr zabezpečuje MAS v rámci činnosti Kancelárie. Doručením ŽoPr na adresu sídla MAS osobne písomnú formu a elektronicky začína konanie o ŽoPr. MAS o prijatí ŽoPr vystaví žiadateľovi potvrdenie s vyznačeným dátumom prijatia. </w:t>
      </w:r>
    </w:p>
    <w:p w14:paraId="0BF78844" w14:textId="2E35CCD5" w:rsidR="00387D99" w:rsidRDefault="008868AB" w:rsidP="005B7F33">
      <w:pPr>
        <w:spacing w:after="0" w:line="360" w:lineRule="auto"/>
        <w:ind w:firstLine="709"/>
        <w:jc w:val="both"/>
        <w:rPr>
          <w:rFonts w:ascii="Times New Roman" w:hAnsi="Times New Roman" w:cs="Times New Roman"/>
          <w:sz w:val="24"/>
          <w:szCs w:val="24"/>
        </w:rPr>
      </w:pPr>
      <w:r w:rsidRPr="001F5B9A">
        <w:rPr>
          <w:rFonts w:ascii="Times New Roman" w:hAnsi="Times New Roman" w:cs="Times New Roman"/>
          <w:sz w:val="24"/>
          <w:szCs w:val="24"/>
        </w:rPr>
        <w:t>MAS v rámci konania o ŽoPr zabezpečí administratívne overenie splnenia podmienok pre poskytnutie NFP a zodpovedá za kontrolu oprávnenosti výdavkov ŽoPr.</w:t>
      </w:r>
      <w:r w:rsidR="005B7F33">
        <w:rPr>
          <w:rFonts w:ascii="Times New Roman" w:hAnsi="Times New Roman" w:cs="Times New Roman"/>
          <w:sz w:val="24"/>
          <w:szCs w:val="24"/>
        </w:rPr>
        <w:t xml:space="preserve"> </w:t>
      </w:r>
      <w:r w:rsidRPr="001F5B9A">
        <w:rPr>
          <w:rFonts w:ascii="Times New Roman" w:hAnsi="Times New Roman" w:cs="Times New Roman"/>
          <w:sz w:val="24"/>
          <w:szCs w:val="24"/>
        </w:rPr>
        <w:t>MAS zabezpečí administratívne overenie tých ŽoPr, ktoré splnili podmienky doručenia. Závery z administratívneho overenia MAS zaznamenáva v kontrolnom zozname. V prípade nejasností MAS vyzve ReS na doplnenie neúplných údajov, vysvetlenie nejasností alebo nápravu nepravdivých údajov zaslaním výzvy na doplnenie ŽoPr. Postupy administratívnej kontroly sa realizujú v súlade s kap. 11.6.2. Systému riadenia CLLD.</w:t>
      </w:r>
      <w:r>
        <w:rPr>
          <w:rFonts w:ascii="Times New Roman" w:hAnsi="Times New Roman" w:cs="Times New Roman"/>
          <w:sz w:val="24"/>
          <w:szCs w:val="24"/>
        </w:rPr>
        <w:t xml:space="preserve"> </w:t>
      </w:r>
    </w:p>
    <w:p w14:paraId="323357F2" w14:textId="77777777" w:rsidR="005B7F33" w:rsidRPr="005B7F33" w:rsidRDefault="009830E8" w:rsidP="005B7F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7D99" w:rsidRPr="002A6611">
        <w:rPr>
          <w:rFonts w:ascii="Times New Roman" w:hAnsi="Times New Roman" w:cs="Times New Roman"/>
          <w:sz w:val="24"/>
          <w:szCs w:val="24"/>
        </w:rPr>
        <w:t>MAS v rámci odborného hodnotenia ŽoNFP zabezpečí posúdenie ŽoNFP minimálne</w:t>
      </w:r>
      <w:r w:rsidR="00387D99">
        <w:rPr>
          <w:rFonts w:ascii="Times New Roman" w:hAnsi="Times New Roman" w:cs="Times New Roman"/>
          <w:sz w:val="24"/>
          <w:szCs w:val="24"/>
        </w:rPr>
        <w:t xml:space="preserve"> </w:t>
      </w:r>
      <w:r w:rsidR="00387D99" w:rsidRPr="002A6611">
        <w:rPr>
          <w:rFonts w:ascii="Times New Roman" w:hAnsi="Times New Roman" w:cs="Times New Roman"/>
          <w:sz w:val="24"/>
          <w:szCs w:val="24"/>
        </w:rPr>
        <w:t>dvoma odbornými hodnotiteľmi, ktorí vyhodnotia predložené ŽoNFP na základe</w:t>
      </w:r>
      <w:r w:rsidR="00387D99">
        <w:rPr>
          <w:rFonts w:ascii="Times New Roman" w:hAnsi="Times New Roman" w:cs="Times New Roman"/>
          <w:sz w:val="24"/>
          <w:szCs w:val="24"/>
        </w:rPr>
        <w:t xml:space="preserve"> </w:t>
      </w:r>
      <w:r w:rsidR="00387D99" w:rsidRPr="002A6611">
        <w:rPr>
          <w:rFonts w:ascii="Times New Roman" w:hAnsi="Times New Roman" w:cs="Times New Roman"/>
          <w:sz w:val="24"/>
          <w:szCs w:val="24"/>
        </w:rPr>
        <w:t>hodnotiacich kritérií zverejnených vo výzve a v stratégii CLLD.</w:t>
      </w:r>
      <w:r w:rsidR="00387D99" w:rsidRPr="002A6611">
        <w:t xml:space="preserve"> </w:t>
      </w:r>
    </w:p>
    <w:p w14:paraId="76C19E13" w14:textId="77777777" w:rsidR="005B7F33" w:rsidRPr="005B7F33" w:rsidRDefault="005B7F33" w:rsidP="005B7F33">
      <w:pPr>
        <w:spacing w:after="0" w:line="360" w:lineRule="auto"/>
        <w:jc w:val="both"/>
        <w:rPr>
          <w:rFonts w:ascii="Times New Roman" w:hAnsi="Times New Roman" w:cs="Times New Roman"/>
          <w:sz w:val="24"/>
          <w:szCs w:val="24"/>
        </w:rPr>
      </w:pPr>
      <w:r w:rsidRPr="005B7F33">
        <w:rPr>
          <w:rFonts w:ascii="Times New Roman" w:hAnsi="Times New Roman" w:cs="Times New Roman"/>
          <w:sz w:val="24"/>
          <w:szCs w:val="24"/>
        </w:rPr>
        <w:t xml:space="preserve">Odborný hodnotitelia v rámci IROP budú mať základné kritéria pre hodnotenie definované MAS v ŽoNFP predloženej na základe výzvy RO IROP v súlade s kapitolou  4.2 ods. 3 písm. b) v Systéme riadenia CLLD v platnom znení. </w:t>
      </w:r>
    </w:p>
    <w:p w14:paraId="7CDA43D2" w14:textId="241ED2FA" w:rsidR="006444F2" w:rsidRDefault="005B7F33" w:rsidP="006444F2">
      <w:pPr>
        <w:spacing w:after="0" w:line="360" w:lineRule="auto"/>
        <w:jc w:val="both"/>
        <w:rPr>
          <w:rFonts w:ascii="Times New Roman" w:hAnsi="Times New Roman" w:cs="Times New Roman"/>
          <w:color w:val="000000" w:themeColor="text1"/>
          <w:sz w:val="24"/>
          <w:szCs w:val="24"/>
        </w:rPr>
      </w:pPr>
      <w:r w:rsidRPr="005B7F33">
        <w:rPr>
          <w:rFonts w:ascii="Times New Roman" w:hAnsi="Times New Roman" w:cs="Times New Roman"/>
          <w:sz w:val="24"/>
          <w:szCs w:val="24"/>
        </w:rPr>
        <w:t>Odborní hodnotitelia sú  prideľovaný k ŽoPr náhodným spôsobom, čo  povinne zabezpečí MAS (využitie PC techniky, náhodný výber, žrebovanie, atď).  Zároveň platí pravidlo, že na jednu ŽoPr sú  pridelení dvaja hodnotitelia.</w:t>
      </w:r>
      <w:r>
        <w:rPr>
          <w:rFonts w:ascii="Times New Roman" w:hAnsi="Times New Roman" w:cs="Times New Roman"/>
          <w:sz w:val="24"/>
          <w:szCs w:val="24"/>
        </w:rPr>
        <w:t xml:space="preserve"> </w:t>
      </w:r>
      <w:r w:rsidRPr="005B7F33">
        <w:rPr>
          <w:rFonts w:ascii="Times New Roman" w:hAnsi="Times New Roman" w:cs="Times New Roman"/>
          <w:sz w:val="24"/>
          <w:szCs w:val="24"/>
        </w:rPr>
        <w:t>MAS si overí skutočnosť, či  odborný hodnotiteľ nie je zamestnancom niektorého so žiadateľov, ktorý pedkladá ŽoPr. Nesmie byť tiež jeho blízkou alebo spriaznenou osobou či sa nachádzať v akomkoľvek konflikte záujmov ako je uvedené  Systému riadenia CLLD v platnom znení.  V prípade odhalenia konfliktu záujmov bude takýto odborný hodnotiteľ vylúčený z hodnotenia konkrétnej ŽoPr</w:t>
      </w:r>
      <w:r>
        <w:rPr>
          <w:rFonts w:ascii="Times New Roman" w:hAnsi="Times New Roman" w:cs="Times New Roman"/>
          <w:sz w:val="24"/>
          <w:szCs w:val="24"/>
        </w:rPr>
        <w:t>,</w:t>
      </w:r>
      <w:r w:rsidRPr="005B7F33">
        <w:rPr>
          <w:rFonts w:ascii="Times New Roman" w:hAnsi="Times New Roman" w:cs="Times New Roman"/>
          <w:sz w:val="24"/>
          <w:szCs w:val="24"/>
        </w:rPr>
        <w:t xml:space="preserve"> s ktorou existuje podozrenie na konflikt záujmov.</w:t>
      </w:r>
      <w:r>
        <w:rPr>
          <w:rFonts w:ascii="Times New Roman" w:hAnsi="Times New Roman" w:cs="Times New Roman"/>
          <w:sz w:val="24"/>
          <w:szCs w:val="24"/>
        </w:rPr>
        <w:t xml:space="preserve"> </w:t>
      </w:r>
      <w:r w:rsidR="006444F2">
        <w:rPr>
          <w:rFonts w:ascii="Times New Roman" w:hAnsi="Times New Roman" w:cs="Times New Roman"/>
          <w:color w:val="000000" w:themeColor="text1"/>
          <w:sz w:val="24"/>
          <w:szCs w:val="24"/>
        </w:rPr>
        <w:t>Odborného hodnotenia sa nesmie zúčastniť ani hodnotiteľ, ktorý sám upozorní na existenciu konfliktu záujmov či už pred alebo počas odborného hodnotenia ŽoPr. V takom prípade bude táto skutočnosť zaznamenaná v dokumentácii odborného hodnotenia.</w:t>
      </w:r>
    </w:p>
    <w:p w14:paraId="5C68D87B" w14:textId="77777777" w:rsidR="006444F2" w:rsidRPr="00364CA6" w:rsidRDefault="006444F2" w:rsidP="006444F2">
      <w:pPr>
        <w:spacing w:after="0" w:line="360" w:lineRule="auto"/>
        <w:jc w:val="both"/>
        <w:rPr>
          <w:rFonts w:ascii="Times New Roman" w:hAnsi="Times New Roman" w:cs="Times New Roman"/>
          <w:color w:val="00B050"/>
          <w:sz w:val="24"/>
          <w:szCs w:val="24"/>
        </w:rPr>
      </w:pPr>
      <w:r>
        <w:rPr>
          <w:rFonts w:ascii="Times New Roman" w:hAnsi="Times New Roman" w:cs="Times New Roman"/>
          <w:color w:val="000000" w:themeColor="text1"/>
          <w:sz w:val="24"/>
          <w:szCs w:val="24"/>
        </w:rPr>
        <w:lastRenderedPageBreak/>
        <w:t xml:space="preserve">Odborní hodnotitelia  hodnotia ŽoPr  každý samostatne a hodnotia  ŽoPr ako celok vrátane príloh. </w:t>
      </w:r>
      <w:r w:rsidRPr="00364CA6">
        <w:rPr>
          <w:rFonts w:ascii="Times New Roman" w:hAnsi="Times New Roman" w:cs="Times New Roman"/>
          <w:color w:val="000000" w:themeColor="text1"/>
          <w:sz w:val="24"/>
          <w:szCs w:val="24"/>
        </w:rPr>
        <w:t>Odborní hodnotitelia zaznamenávajú do hodnotiaceho hárku</w:t>
      </w:r>
      <w:r>
        <w:rPr>
          <w:rFonts w:ascii="Times New Roman" w:hAnsi="Times New Roman" w:cs="Times New Roman"/>
          <w:color w:val="000000" w:themeColor="text1"/>
          <w:sz w:val="24"/>
          <w:szCs w:val="24"/>
        </w:rPr>
        <w:t xml:space="preserve"> </w:t>
      </w:r>
      <w:r w:rsidRPr="00364CA6">
        <w:rPr>
          <w:rFonts w:ascii="Times New Roman" w:hAnsi="Times New Roman" w:cs="Times New Roman"/>
          <w:color w:val="00B050"/>
          <w:sz w:val="24"/>
          <w:szCs w:val="24"/>
        </w:rPr>
        <w:t>písomne pri ŽoPr</w:t>
      </w:r>
    </w:p>
    <w:p w14:paraId="3D45D700" w14:textId="77777777" w:rsidR="006444F2" w:rsidRDefault="006444F2" w:rsidP="006444F2">
      <w:pPr>
        <w:spacing w:after="0" w:line="360" w:lineRule="auto"/>
        <w:jc w:val="both"/>
        <w:rPr>
          <w:rFonts w:ascii="Times New Roman" w:hAnsi="Times New Roman" w:cs="Times New Roman"/>
          <w:color w:val="000000" w:themeColor="text1"/>
          <w:sz w:val="24"/>
          <w:szCs w:val="24"/>
        </w:rPr>
      </w:pPr>
      <w:r w:rsidRPr="00F649C1">
        <w:rPr>
          <w:rFonts w:ascii="Times New Roman" w:hAnsi="Times New Roman" w:cs="Times New Roman"/>
          <w:color w:val="000000" w:themeColor="text1"/>
          <w:sz w:val="24"/>
          <w:szCs w:val="24"/>
        </w:rPr>
        <w:t xml:space="preserve">Po ukončení hodnotenia odovzdajú kompletne vyplnený a podpísaný hodnotiaci hárok výberovej komisii. </w:t>
      </w:r>
      <w:r w:rsidRPr="00CE0A19">
        <w:rPr>
          <w:rFonts w:ascii="Times New Roman" w:hAnsi="Times New Roman" w:cs="Times New Roman"/>
          <w:color w:val="000000" w:themeColor="text1"/>
          <w:sz w:val="24"/>
          <w:szCs w:val="24"/>
        </w:rPr>
        <w:t xml:space="preserve">V prípade, ak je rozdiel medzi celkovým bodovým hodnotením prvého a druhého odborného hodnotiteľa vyšší ako 10 bodov, určí </w:t>
      </w:r>
      <w:r>
        <w:rPr>
          <w:rFonts w:ascii="Times New Roman" w:hAnsi="Times New Roman" w:cs="Times New Roman"/>
          <w:color w:val="000000" w:themeColor="text1"/>
          <w:sz w:val="24"/>
          <w:szCs w:val="24"/>
        </w:rPr>
        <w:t>projektový manažér</w:t>
      </w:r>
      <w:r w:rsidRPr="00CE0A19">
        <w:rPr>
          <w:rFonts w:ascii="Times New Roman" w:hAnsi="Times New Roman" w:cs="Times New Roman"/>
          <w:color w:val="000000" w:themeColor="text1"/>
          <w:sz w:val="24"/>
          <w:szCs w:val="24"/>
        </w:rPr>
        <w:t xml:space="preserve"> výberom</w:t>
      </w:r>
      <w:r>
        <w:rPr>
          <w:rFonts w:ascii="Times New Roman" w:hAnsi="Times New Roman" w:cs="Times New Roman"/>
          <w:color w:val="000000" w:themeColor="text1"/>
          <w:sz w:val="24"/>
          <w:szCs w:val="24"/>
        </w:rPr>
        <w:t xml:space="preserve"> v zmysle  Systému  riadenia CLLD v platnom znení</w:t>
      </w:r>
      <w:r w:rsidRPr="00CE0A19">
        <w:rPr>
          <w:rFonts w:ascii="Times New Roman" w:hAnsi="Times New Roman" w:cs="Times New Roman"/>
          <w:color w:val="000000" w:themeColor="text1"/>
          <w:sz w:val="24"/>
          <w:szCs w:val="24"/>
        </w:rPr>
        <w:t xml:space="preserve"> tretieho odborného hodnotiteľa (arbitra). Tretí odborný hodnotiteľ zaznamenáva hodnotenie ŽoNFP/ŽoPr do hodnotiaceho hárku</w:t>
      </w:r>
      <w:r>
        <w:rPr>
          <w:rFonts w:ascii="Times New Roman" w:hAnsi="Times New Roman" w:cs="Times New Roman"/>
          <w:color w:val="000000" w:themeColor="text1"/>
          <w:sz w:val="24"/>
          <w:szCs w:val="24"/>
        </w:rPr>
        <w:t xml:space="preserve"> v zmysle postupov podľa  Systému riadenia CLLD v platnom znení</w:t>
      </w:r>
      <w:r w:rsidRPr="00CE0A19">
        <w:rPr>
          <w:rFonts w:ascii="Times New Roman" w:hAnsi="Times New Roman" w:cs="Times New Roman"/>
          <w:color w:val="000000" w:themeColor="text1"/>
          <w:sz w:val="24"/>
          <w:szCs w:val="24"/>
        </w:rPr>
        <w:t>. Z bodového hodnotenia tretieho hodnotiteľa Výberová komisia urobí aritmetický priemer s bodovým hodnotením jedného z dvojice odborných hodnotiteľov, ku ktorému je hodnotenie tretieho odborného hodnotiteľa bližšie. Toto výsledné bodové hodnotenie sa považuje za záväzné hodnotenie ŽoPr.</w:t>
      </w:r>
    </w:p>
    <w:p w14:paraId="5AD2AB0C" w14:textId="77777777" w:rsidR="00EC1DDF" w:rsidRDefault="00EC1DDF" w:rsidP="00387D99">
      <w:pPr>
        <w:spacing w:after="0" w:line="360" w:lineRule="auto"/>
        <w:jc w:val="both"/>
        <w:rPr>
          <w:rFonts w:ascii="Times New Roman" w:hAnsi="Times New Roman" w:cs="Times New Roman"/>
          <w:sz w:val="24"/>
          <w:szCs w:val="24"/>
        </w:rPr>
      </w:pPr>
    </w:p>
    <w:p w14:paraId="5EF8C8CB" w14:textId="77777777" w:rsidR="00387D99" w:rsidRPr="000D7F51" w:rsidRDefault="00387D99" w:rsidP="00387D99">
      <w:pPr>
        <w:spacing w:after="0" w:line="360" w:lineRule="auto"/>
        <w:jc w:val="both"/>
        <w:rPr>
          <w:rFonts w:ascii="Times New Roman" w:hAnsi="Times New Roman" w:cs="Times New Roman"/>
          <w:i/>
          <w:sz w:val="24"/>
          <w:szCs w:val="24"/>
        </w:rPr>
      </w:pPr>
      <w:r w:rsidRPr="000D7F51">
        <w:rPr>
          <w:rFonts w:ascii="Times New Roman" w:hAnsi="Times New Roman" w:cs="Times New Roman"/>
          <w:i/>
          <w:sz w:val="24"/>
          <w:szCs w:val="24"/>
        </w:rPr>
        <w:t>Výber Žiadosti o príspevok</w:t>
      </w:r>
    </w:p>
    <w:p w14:paraId="093C00FF" w14:textId="671C74AA" w:rsidR="00387D99" w:rsidRDefault="009830E8" w:rsidP="00387D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7D99">
        <w:rPr>
          <w:rFonts w:ascii="Times New Roman" w:hAnsi="Times New Roman" w:cs="Times New Roman"/>
          <w:sz w:val="24"/>
          <w:szCs w:val="24"/>
        </w:rPr>
        <w:t xml:space="preserve">Vykonáva </w:t>
      </w:r>
      <w:r w:rsidR="008868AB">
        <w:rPr>
          <w:rFonts w:ascii="Times New Roman" w:hAnsi="Times New Roman" w:cs="Times New Roman"/>
          <w:sz w:val="24"/>
          <w:szCs w:val="24"/>
        </w:rPr>
        <w:t xml:space="preserve">ho </w:t>
      </w:r>
      <w:r w:rsidR="00387D99">
        <w:rPr>
          <w:rFonts w:ascii="Times New Roman" w:hAnsi="Times New Roman" w:cs="Times New Roman"/>
          <w:sz w:val="24"/>
          <w:szCs w:val="24"/>
        </w:rPr>
        <w:t>výberová komisia, ktorá</w:t>
      </w:r>
      <w:r w:rsidR="008868AB" w:rsidRPr="008868AB">
        <w:rPr>
          <w:rFonts w:ascii="Times New Roman" w:hAnsi="Times New Roman" w:cs="Times New Roman"/>
          <w:sz w:val="24"/>
          <w:szCs w:val="24"/>
        </w:rPr>
        <w:t xml:space="preserve"> </w:t>
      </w:r>
      <w:r w:rsidR="008868AB">
        <w:rPr>
          <w:rFonts w:ascii="Times New Roman" w:hAnsi="Times New Roman" w:cs="Times New Roman"/>
          <w:sz w:val="24"/>
          <w:szCs w:val="24"/>
        </w:rPr>
        <w:t xml:space="preserve">je zriadená Predsedníctvom. </w:t>
      </w:r>
      <w:r w:rsidR="008868AB" w:rsidRPr="0042623A">
        <w:rPr>
          <w:rFonts w:ascii="Times New Roman" w:hAnsi="Times New Roman" w:cs="Times New Roman"/>
          <w:sz w:val="24"/>
          <w:szCs w:val="24"/>
        </w:rPr>
        <w:t>Členovia výberovej komisie budú navrhnutí tak, aby ich vzdelanostné, odborné a praktické zručnosti zodpovedali konkrétnej výzve a aspoň 50% hlasov rozhodnutí o výbere patrilo partnerom, ktorí nie sú orgánmi verejnej správy. Výberová komisia stanoví konečné poradie ŽoPr na základe administratívneho overenia správnosti ŽoPr, hodnotenia odborných hodnotiteľov a aplikácie výberových a rozlišovacích kritérií. Výsledkom zasadnutia výberovej komisie je Protokol o výbere ŽoPr, kde je uvedený návrh na schválenie / neschválenie / zastavenie konania ŽoPr.</w:t>
      </w:r>
      <w:r w:rsidR="00387D99">
        <w:rPr>
          <w:rFonts w:ascii="Times New Roman" w:hAnsi="Times New Roman" w:cs="Times New Roman"/>
          <w:sz w:val="24"/>
          <w:szCs w:val="24"/>
        </w:rPr>
        <w:t xml:space="preserve"> </w:t>
      </w:r>
      <w:r w:rsidR="00387D99" w:rsidRPr="000E3B75">
        <w:rPr>
          <w:rFonts w:ascii="Times New Roman" w:hAnsi="Times New Roman" w:cs="Times New Roman"/>
          <w:sz w:val="24"/>
          <w:szCs w:val="24"/>
        </w:rPr>
        <w:t xml:space="preserve">Protokol o výbere </w:t>
      </w:r>
      <w:r w:rsidR="006778B1" w:rsidRPr="0042623A">
        <w:rPr>
          <w:rFonts w:ascii="Times New Roman" w:hAnsi="Times New Roman" w:cs="Times New Roman"/>
          <w:sz w:val="24"/>
          <w:szCs w:val="24"/>
        </w:rPr>
        <w:t>ŽoPr</w:t>
      </w:r>
      <w:r w:rsidR="006778B1" w:rsidRPr="000E3B75" w:rsidDel="006778B1">
        <w:rPr>
          <w:rFonts w:ascii="Times New Roman" w:hAnsi="Times New Roman" w:cs="Times New Roman"/>
          <w:sz w:val="24"/>
          <w:szCs w:val="24"/>
        </w:rPr>
        <w:t xml:space="preserve"> </w:t>
      </w:r>
      <w:r w:rsidR="00387D99" w:rsidRPr="000E3B75">
        <w:rPr>
          <w:rFonts w:ascii="Times New Roman" w:hAnsi="Times New Roman" w:cs="Times New Roman"/>
          <w:sz w:val="24"/>
          <w:szCs w:val="24"/>
        </w:rPr>
        <w:t xml:space="preserve">spolu so všetkými predloženými </w:t>
      </w:r>
      <w:r w:rsidR="006778B1" w:rsidRPr="0042623A">
        <w:rPr>
          <w:rFonts w:ascii="Times New Roman" w:hAnsi="Times New Roman" w:cs="Times New Roman"/>
          <w:sz w:val="24"/>
          <w:szCs w:val="24"/>
        </w:rPr>
        <w:t>ŽoPr</w:t>
      </w:r>
      <w:r w:rsidR="006778B1" w:rsidRPr="000E3B75" w:rsidDel="006778B1">
        <w:rPr>
          <w:rFonts w:ascii="Times New Roman" w:hAnsi="Times New Roman" w:cs="Times New Roman"/>
          <w:sz w:val="24"/>
          <w:szCs w:val="24"/>
        </w:rPr>
        <w:t xml:space="preserve"> </w:t>
      </w:r>
      <w:r w:rsidR="00387D99" w:rsidRPr="000E3B75">
        <w:rPr>
          <w:rFonts w:ascii="Times New Roman" w:hAnsi="Times New Roman" w:cs="Times New Roman"/>
          <w:sz w:val="24"/>
          <w:szCs w:val="24"/>
        </w:rPr>
        <w:t xml:space="preserve">MAS </w:t>
      </w:r>
      <w:r w:rsidR="00387D99">
        <w:rPr>
          <w:rFonts w:ascii="Times New Roman" w:hAnsi="Times New Roman" w:cs="Times New Roman"/>
          <w:sz w:val="24"/>
          <w:szCs w:val="24"/>
        </w:rPr>
        <w:t>predloží</w:t>
      </w:r>
      <w:r w:rsidR="00387D99" w:rsidRPr="000E3B75">
        <w:rPr>
          <w:rFonts w:ascii="Times New Roman" w:hAnsi="Times New Roman" w:cs="Times New Roman"/>
          <w:sz w:val="24"/>
          <w:szCs w:val="24"/>
        </w:rPr>
        <w:t xml:space="preserve"> na RO pre IROP do </w:t>
      </w:r>
      <w:r w:rsidR="008868AB">
        <w:rPr>
          <w:rFonts w:ascii="Times New Roman" w:hAnsi="Times New Roman" w:cs="Times New Roman"/>
          <w:sz w:val="24"/>
          <w:szCs w:val="24"/>
        </w:rPr>
        <w:t xml:space="preserve">45 </w:t>
      </w:r>
      <w:r w:rsidR="00387D99" w:rsidRPr="000E3B75">
        <w:rPr>
          <w:rFonts w:ascii="Times New Roman" w:hAnsi="Times New Roman" w:cs="Times New Roman"/>
          <w:sz w:val="24"/>
          <w:szCs w:val="24"/>
        </w:rPr>
        <w:t>pracovných dní od termínu uvedeného vo výzve.</w:t>
      </w:r>
      <w:r w:rsidR="00387D99">
        <w:rPr>
          <w:rFonts w:ascii="Times New Roman" w:hAnsi="Times New Roman" w:cs="Times New Roman"/>
          <w:sz w:val="24"/>
          <w:szCs w:val="24"/>
        </w:rPr>
        <w:t xml:space="preserve"> </w:t>
      </w:r>
      <w:r w:rsidR="008868AB" w:rsidRPr="0042623A">
        <w:rPr>
          <w:rFonts w:ascii="Times New Roman" w:hAnsi="Times New Roman" w:cs="Times New Roman"/>
          <w:sz w:val="24"/>
          <w:szCs w:val="24"/>
        </w:rPr>
        <w:t>ŽoPr, ktoré splnili podmienky poskytnutia príspevku v prípade nedostatku alokovaných finančných prostriedkov pre danú výzvu Výberová komisia zaradí do zásobníka projektov pre prípad vyhlásenia ďalšej výzvy daného opatrenia.</w:t>
      </w:r>
      <w:r w:rsidR="0094237D">
        <w:rPr>
          <w:rFonts w:ascii="Times New Roman" w:hAnsi="Times New Roman" w:cs="Times New Roman"/>
          <w:sz w:val="24"/>
          <w:szCs w:val="24"/>
        </w:rPr>
        <w:t xml:space="preserve"> </w:t>
      </w:r>
    </w:p>
    <w:p w14:paraId="5DFEE3AB" w14:textId="77777777" w:rsidR="0094237D" w:rsidRPr="00325187" w:rsidRDefault="009830E8" w:rsidP="009423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4237D" w:rsidRPr="00325187">
        <w:rPr>
          <w:rFonts w:ascii="Times New Roman" w:hAnsi="Times New Roman" w:cs="Times New Roman"/>
          <w:sz w:val="24"/>
          <w:szCs w:val="24"/>
        </w:rPr>
        <w:t>RO pre IROP posúdi v súlade so svojimi internými usmerneniami splnenie podmienok administratívneho overenia, odborného hodnotenia a výberu ŽoPr MAS na základe predloženého Protokolu o výbere ŽoPr a samotných ŽoPr. Ro pre IROP vydáva písomný súhlas so zaslaním Oznámenia o schválení ŽoP</w:t>
      </w:r>
      <w:r w:rsidR="002A0E09">
        <w:rPr>
          <w:rFonts w:ascii="Times New Roman" w:hAnsi="Times New Roman" w:cs="Times New Roman"/>
          <w:sz w:val="24"/>
          <w:szCs w:val="24"/>
        </w:rPr>
        <w:t>r</w:t>
      </w:r>
      <w:r w:rsidR="0094237D" w:rsidRPr="00325187">
        <w:rPr>
          <w:rFonts w:ascii="Times New Roman" w:hAnsi="Times New Roman" w:cs="Times New Roman"/>
          <w:sz w:val="24"/>
          <w:szCs w:val="24"/>
        </w:rPr>
        <w:t xml:space="preserve"> príslušným ReS. Výber žiadostí o príspevok sa riadi usmerneniami kap. 11.7 a 11.8 Systému riadenia CLLD.</w:t>
      </w:r>
    </w:p>
    <w:p w14:paraId="1670F755" w14:textId="77777777" w:rsidR="00387D99" w:rsidRPr="000E3B75" w:rsidRDefault="0094237D" w:rsidP="0094237D">
      <w:pPr>
        <w:spacing w:after="0" w:line="360" w:lineRule="auto"/>
        <w:jc w:val="both"/>
        <w:rPr>
          <w:rFonts w:ascii="Times New Roman" w:hAnsi="Times New Roman" w:cs="Times New Roman"/>
          <w:sz w:val="24"/>
          <w:szCs w:val="24"/>
        </w:rPr>
      </w:pPr>
      <w:r w:rsidRPr="00325187">
        <w:rPr>
          <w:rFonts w:ascii="Times New Roman" w:hAnsi="Times New Roman" w:cs="Times New Roman"/>
          <w:sz w:val="24"/>
          <w:szCs w:val="24"/>
        </w:rPr>
        <w:t xml:space="preserve">Po odoslaní oznámení o </w:t>
      </w:r>
      <w:r w:rsidR="002A0E09" w:rsidRPr="00325187">
        <w:rPr>
          <w:rFonts w:ascii="Times New Roman" w:hAnsi="Times New Roman" w:cs="Times New Roman"/>
          <w:sz w:val="24"/>
          <w:szCs w:val="24"/>
        </w:rPr>
        <w:t>schválení</w:t>
      </w:r>
      <w:r w:rsidRPr="00325187">
        <w:rPr>
          <w:rFonts w:ascii="Times New Roman" w:hAnsi="Times New Roman" w:cs="Times New Roman"/>
          <w:sz w:val="24"/>
          <w:szCs w:val="24"/>
        </w:rPr>
        <w:t xml:space="preserve"> ŽoPr MAS (v súlade s podmienkami uvedenými v zmluve o poskytnutí NFP uzatvorenej medzi RO pre IROP a MAS) zabezpečí uzatvorenie zmluvy s užívateľom (ReS), ktorá upraví práva a povinnosti medzi MAS a ReS. </w:t>
      </w:r>
      <w:r w:rsidRPr="00736AD7">
        <w:rPr>
          <w:rFonts w:ascii="Times New Roman" w:hAnsi="Times New Roman" w:cs="Times New Roman"/>
          <w:sz w:val="24"/>
          <w:szCs w:val="24"/>
        </w:rPr>
        <w:t xml:space="preserve">MAS zabezpečí </w:t>
      </w:r>
      <w:r w:rsidRPr="00736AD7">
        <w:rPr>
          <w:rFonts w:ascii="Times New Roman" w:hAnsi="Times New Roman" w:cs="Times New Roman"/>
          <w:sz w:val="24"/>
          <w:szCs w:val="24"/>
        </w:rPr>
        <w:lastRenderedPageBreak/>
        <w:t>zverejnenie zmluvy s užívateľom v centrálnom registri zmlúv.</w:t>
      </w:r>
      <w:r>
        <w:rPr>
          <w:rFonts w:ascii="Times New Roman" w:hAnsi="Times New Roman" w:cs="Times New Roman"/>
          <w:sz w:val="24"/>
          <w:szCs w:val="24"/>
        </w:rPr>
        <w:t xml:space="preserve"> </w:t>
      </w:r>
      <w:r w:rsidRPr="00325187">
        <w:rPr>
          <w:rFonts w:ascii="Times New Roman" w:hAnsi="Times New Roman" w:cs="Times New Roman"/>
          <w:sz w:val="24"/>
          <w:szCs w:val="24"/>
        </w:rPr>
        <w:t>Procesy uzatvorenia zmluvy s ReS sa riadia postupmi a podmienkami kap. 11.9. Systému riadenia CLLD</w:t>
      </w:r>
      <w:r>
        <w:rPr>
          <w:rFonts w:ascii="Times New Roman" w:hAnsi="Times New Roman" w:cs="Times New Roman"/>
          <w:sz w:val="24"/>
          <w:szCs w:val="24"/>
        </w:rPr>
        <w:t xml:space="preserve">. </w:t>
      </w:r>
    </w:p>
    <w:p w14:paraId="06CD340D" w14:textId="77777777" w:rsidR="00F8126B" w:rsidRDefault="00F8126B" w:rsidP="00E37887">
      <w:pPr>
        <w:spacing w:after="0" w:line="360" w:lineRule="auto"/>
        <w:jc w:val="both"/>
        <w:rPr>
          <w:rFonts w:ascii="Times New Roman" w:hAnsi="Times New Roman" w:cs="Times New Roman"/>
          <w:sz w:val="24"/>
          <w:szCs w:val="24"/>
        </w:rPr>
      </w:pPr>
    </w:p>
    <w:p w14:paraId="095284BB" w14:textId="77777777" w:rsidR="00E90E26" w:rsidRPr="000D7F51" w:rsidRDefault="00E90E26" w:rsidP="00E90E26">
      <w:pPr>
        <w:spacing w:after="0" w:line="360" w:lineRule="auto"/>
        <w:jc w:val="both"/>
        <w:rPr>
          <w:rFonts w:ascii="Times New Roman" w:hAnsi="Times New Roman" w:cs="Times New Roman"/>
          <w:i/>
          <w:color w:val="000000" w:themeColor="text1"/>
          <w:sz w:val="24"/>
          <w:szCs w:val="24"/>
          <w:u w:val="single"/>
        </w:rPr>
      </w:pPr>
      <w:r w:rsidRPr="000D7F51">
        <w:rPr>
          <w:rFonts w:ascii="Times New Roman" w:hAnsi="Times New Roman" w:cs="Times New Roman"/>
          <w:i/>
          <w:color w:val="000000" w:themeColor="text1"/>
          <w:sz w:val="24"/>
          <w:szCs w:val="24"/>
          <w:u w:val="single"/>
        </w:rPr>
        <w:t>ŽoNFP z iných zdrojov</w:t>
      </w:r>
    </w:p>
    <w:p w14:paraId="3DBAC1A4" w14:textId="77777777" w:rsidR="00E90E26" w:rsidRPr="00BE750E" w:rsidRDefault="00E90E26" w:rsidP="00E90E26">
      <w:pPr>
        <w:spacing w:after="0"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ab/>
        <w:t>Kopaničiarsky región – miestna akčná skupina</w:t>
      </w:r>
      <w:r w:rsidRPr="00BE750E">
        <w:rPr>
          <w:rFonts w:ascii="Times New Roman" w:hAnsi="Times New Roman" w:cs="Times New Roman"/>
          <w:color w:val="000000" w:themeColor="text1"/>
          <w:sz w:val="24"/>
          <w:szCs w:val="24"/>
        </w:rPr>
        <w:t xml:space="preserve"> nebude rozhodovať o pridelení finančných prostriedkov z iných podporných programov EÚ a SR. </w:t>
      </w:r>
      <w:r>
        <w:rPr>
          <w:rFonts w:ascii="Times New Roman" w:hAnsi="Times New Roman" w:cs="Times New Roman"/>
          <w:color w:val="000000" w:themeColor="text1"/>
          <w:sz w:val="24"/>
          <w:szCs w:val="24"/>
        </w:rPr>
        <w:t>Máme zavedený v</w:t>
      </w:r>
      <w:r w:rsidRPr="00BE750E">
        <w:rPr>
          <w:rFonts w:ascii="Times New Roman" w:hAnsi="Times New Roman" w:cs="Times New Roman"/>
          <w:color w:val="000000" w:themeColor="text1"/>
          <w:sz w:val="24"/>
          <w:szCs w:val="24"/>
        </w:rPr>
        <w:t>lastný grantový systém</w:t>
      </w:r>
      <w:r>
        <w:rPr>
          <w:rFonts w:ascii="Times New Roman" w:hAnsi="Times New Roman" w:cs="Times New Roman"/>
          <w:color w:val="000000" w:themeColor="text1"/>
          <w:sz w:val="24"/>
          <w:szCs w:val="24"/>
        </w:rPr>
        <w:t>, kde podmienka na získanie dotácie sú rozpracované</w:t>
      </w:r>
      <w:r w:rsidRPr="00BE75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už v samotnej výzve  o grant z vlastných zdrojov KR -MAS</w:t>
      </w:r>
      <w:r w:rsidRPr="00BE750E">
        <w:rPr>
          <w:rFonts w:ascii="Times New Roman" w:hAnsi="Times New Roman" w:cs="Times New Roman"/>
          <w:color w:val="000000" w:themeColor="text1"/>
          <w:sz w:val="24"/>
          <w:szCs w:val="24"/>
        </w:rPr>
        <w:t>.</w:t>
      </w:r>
    </w:p>
    <w:p w14:paraId="40A383E6" w14:textId="77777777" w:rsidR="00E90E26" w:rsidRDefault="00E90E26" w:rsidP="00E37887">
      <w:pPr>
        <w:spacing w:after="0" w:line="360" w:lineRule="auto"/>
        <w:jc w:val="both"/>
        <w:rPr>
          <w:rFonts w:ascii="Times New Roman" w:hAnsi="Times New Roman" w:cs="Times New Roman"/>
          <w:sz w:val="24"/>
          <w:szCs w:val="24"/>
        </w:rPr>
      </w:pPr>
    </w:p>
    <w:p w14:paraId="5C07E7CB" w14:textId="77777777" w:rsidR="00D0587E" w:rsidRDefault="00D0587E" w:rsidP="00E37887">
      <w:pPr>
        <w:spacing w:after="0" w:line="360" w:lineRule="auto"/>
        <w:jc w:val="both"/>
        <w:rPr>
          <w:rFonts w:ascii="Times New Roman" w:hAnsi="Times New Roman" w:cs="Times New Roman"/>
          <w:sz w:val="24"/>
          <w:szCs w:val="24"/>
        </w:rPr>
      </w:pPr>
    </w:p>
    <w:p w14:paraId="36543D66" w14:textId="77777777" w:rsidR="00D0587E" w:rsidRDefault="00D0587E" w:rsidP="00E37887">
      <w:pPr>
        <w:spacing w:after="0" w:line="360" w:lineRule="auto"/>
        <w:jc w:val="both"/>
        <w:rPr>
          <w:rFonts w:ascii="Times New Roman" w:hAnsi="Times New Roman" w:cs="Times New Roman"/>
          <w:sz w:val="24"/>
          <w:szCs w:val="24"/>
        </w:rPr>
      </w:pPr>
    </w:p>
    <w:p w14:paraId="58C4460C" w14:textId="77777777" w:rsidR="00EC1DDF" w:rsidRDefault="00EC1DDF" w:rsidP="00E37887">
      <w:pPr>
        <w:spacing w:after="0" w:line="360" w:lineRule="auto"/>
        <w:jc w:val="both"/>
        <w:rPr>
          <w:rFonts w:ascii="Times New Roman" w:hAnsi="Times New Roman" w:cs="Times New Roman"/>
          <w:sz w:val="24"/>
          <w:szCs w:val="24"/>
        </w:rPr>
      </w:pPr>
    </w:p>
    <w:p w14:paraId="7CC02BF3" w14:textId="77777777" w:rsidR="00EC1DDF" w:rsidRDefault="00EC1DDF" w:rsidP="00E37887">
      <w:pPr>
        <w:spacing w:after="0" w:line="360" w:lineRule="auto"/>
        <w:jc w:val="both"/>
        <w:rPr>
          <w:rFonts w:ascii="Times New Roman" w:hAnsi="Times New Roman" w:cs="Times New Roman"/>
          <w:sz w:val="24"/>
          <w:szCs w:val="24"/>
        </w:rPr>
      </w:pPr>
    </w:p>
    <w:p w14:paraId="7362F133" w14:textId="77777777" w:rsidR="00EC1DDF" w:rsidRDefault="00EC1DDF" w:rsidP="00E37887">
      <w:pPr>
        <w:spacing w:after="0" w:line="360" w:lineRule="auto"/>
        <w:jc w:val="both"/>
        <w:rPr>
          <w:rFonts w:ascii="Times New Roman" w:hAnsi="Times New Roman" w:cs="Times New Roman"/>
          <w:sz w:val="24"/>
          <w:szCs w:val="24"/>
        </w:rPr>
      </w:pPr>
    </w:p>
    <w:p w14:paraId="35CC2F55" w14:textId="77777777" w:rsidR="00EC1DDF" w:rsidRDefault="00EC1DDF" w:rsidP="00E37887">
      <w:pPr>
        <w:spacing w:after="0" w:line="360" w:lineRule="auto"/>
        <w:jc w:val="both"/>
        <w:rPr>
          <w:rFonts w:ascii="Times New Roman" w:hAnsi="Times New Roman" w:cs="Times New Roman"/>
          <w:sz w:val="24"/>
          <w:szCs w:val="24"/>
        </w:rPr>
      </w:pPr>
    </w:p>
    <w:p w14:paraId="7540A8D1" w14:textId="77777777" w:rsidR="00EC1DDF" w:rsidRDefault="00EC1DDF" w:rsidP="00E37887">
      <w:pPr>
        <w:spacing w:after="0" w:line="360" w:lineRule="auto"/>
        <w:jc w:val="both"/>
        <w:rPr>
          <w:rFonts w:ascii="Times New Roman" w:hAnsi="Times New Roman" w:cs="Times New Roman"/>
          <w:sz w:val="24"/>
          <w:szCs w:val="24"/>
        </w:rPr>
      </w:pPr>
    </w:p>
    <w:p w14:paraId="4C994B11" w14:textId="77777777" w:rsidR="00EC1DDF" w:rsidRDefault="00EC1DDF" w:rsidP="00E37887">
      <w:pPr>
        <w:spacing w:after="0" w:line="360" w:lineRule="auto"/>
        <w:jc w:val="both"/>
        <w:rPr>
          <w:rFonts w:ascii="Times New Roman" w:hAnsi="Times New Roman" w:cs="Times New Roman"/>
          <w:sz w:val="24"/>
          <w:szCs w:val="24"/>
        </w:rPr>
      </w:pPr>
    </w:p>
    <w:p w14:paraId="2FE1AFCE" w14:textId="77777777" w:rsidR="000D7F51" w:rsidRDefault="000D7F51" w:rsidP="00E37887">
      <w:pPr>
        <w:spacing w:after="0" w:line="360" w:lineRule="auto"/>
        <w:jc w:val="both"/>
        <w:rPr>
          <w:rFonts w:ascii="Times New Roman" w:hAnsi="Times New Roman" w:cs="Times New Roman"/>
          <w:sz w:val="24"/>
          <w:szCs w:val="24"/>
        </w:rPr>
      </w:pPr>
    </w:p>
    <w:p w14:paraId="00224982" w14:textId="77777777" w:rsidR="00D0587E" w:rsidRDefault="00D0587E" w:rsidP="00E37887">
      <w:pPr>
        <w:spacing w:after="0" w:line="360" w:lineRule="auto"/>
        <w:jc w:val="both"/>
        <w:rPr>
          <w:rFonts w:ascii="Times New Roman" w:hAnsi="Times New Roman" w:cs="Times New Roman"/>
          <w:sz w:val="24"/>
          <w:szCs w:val="24"/>
        </w:rPr>
      </w:pPr>
    </w:p>
    <w:p w14:paraId="3E6AA145" w14:textId="77777777" w:rsidR="005202AC" w:rsidRPr="005202AC" w:rsidRDefault="005202AC" w:rsidP="003301D6">
      <w:pPr>
        <w:pStyle w:val="Odsekzoznamu"/>
        <w:keepNext/>
        <w:keepLines/>
        <w:numPr>
          <w:ilvl w:val="0"/>
          <w:numId w:val="19"/>
        </w:numPr>
        <w:spacing w:after="0" w:line="360" w:lineRule="auto"/>
        <w:ind w:left="709"/>
        <w:contextualSpacing w:val="0"/>
        <w:outlineLvl w:val="1"/>
        <w:rPr>
          <w:rFonts w:ascii="Times New Roman" w:eastAsiaTheme="majorEastAsia" w:hAnsi="Times New Roman" w:cstheme="majorBidi"/>
          <w:b/>
          <w:vanish/>
          <w:sz w:val="24"/>
          <w:szCs w:val="26"/>
        </w:rPr>
      </w:pPr>
      <w:bookmarkStart w:id="1603" w:name="_Toc437862872"/>
      <w:bookmarkStart w:id="1604" w:name="_Toc437877458"/>
      <w:bookmarkStart w:id="1605" w:name="_Toc437877656"/>
      <w:bookmarkStart w:id="1606" w:name="_Toc437877856"/>
      <w:bookmarkStart w:id="1607" w:name="_Toc437878056"/>
      <w:bookmarkStart w:id="1608" w:name="_Toc437878259"/>
      <w:bookmarkStart w:id="1609" w:name="_Toc437878463"/>
      <w:bookmarkStart w:id="1610" w:name="_Toc437878667"/>
      <w:bookmarkStart w:id="1611" w:name="_Toc437878871"/>
      <w:bookmarkStart w:id="1612" w:name="_Toc439150033"/>
      <w:bookmarkStart w:id="1613" w:name="_Toc439150389"/>
      <w:bookmarkStart w:id="1614" w:name="_Toc439150588"/>
      <w:bookmarkStart w:id="1615" w:name="_Toc485645678"/>
      <w:bookmarkStart w:id="1616" w:name="_Toc485645837"/>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1BB9B1E1" w14:textId="77777777" w:rsidR="005202AC" w:rsidRPr="005202AC" w:rsidRDefault="005202AC" w:rsidP="003301D6">
      <w:pPr>
        <w:pStyle w:val="Odsekzoznamu"/>
        <w:keepNext/>
        <w:keepLines/>
        <w:numPr>
          <w:ilvl w:val="0"/>
          <w:numId w:val="19"/>
        </w:numPr>
        <w:spacing w:after="0" w:line="360" w:lineRule="auto"/>
        <w:contextualSpacing w:val="0"/>
        <w:outlineLvl w:val="1"/>
        <w:rPr>
          <w:rFonts w:ascii="Times New Roman" w:eastAsiaTheme="majorEastAsia" w:hAnsi="Times New Roman" w:cstheme="majorBidi"/>
          <w:b/>
          <w:vanish/>
          <w:sz w:val="24"/>
          <w:szCs w:val="26"/>
        </w:rPr>
      </w:pPr>
      <w:bookmarkStart w:id="1617" w:name="_Toc437862873"/>
      <w:bookmarkStart w:id="1618" w:name="_Toc437877459"/>
      <w:bookmarkStart w:id="1619" w:name="_Toc437877657"/>
      <w:bookmarkStart w:id="1620" w:name="_Toc437877857"/>
      <w:bookmarkStart w:id="1621" w:name="_Toc437878057"/>
      <w:bookmarkStart w:id="1622" w:name="_Toc437878260"/>
      <w:bookmarkStart w:id="1623" w:name="_Toc437878464"/>
      <w:bookmarkStart w:id="1624" w:name="_Toc437878668"/>
      <w:bookmarkStart w:id="1625" w:name="_Toc437878872"/>
      <w:bookmarkStart w:id="1626" w:name="_Toc439150034"/>
      <w:bookmarkStart w:id="1627" w:name="_Toc439150390"/>
      <w:bookmarkStart w:id="1628" w:name="_Toc439150589"/>
      <w:bookmarkStart w:id="1629" w:name="_Toc485645679"/>
      <w:bookmarkStart w:id="1630" w:name="_Toc485645838"/>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3DE9D67C" w14:textId="77777777" w:rsidR="005202AC" w:rsidRPr="005202AC" w:rsidRDefault="005202AC" w:rsidP="003301D6">
      <w:pPr>
        <w:pStyle w:val="Odsekzoznamu"/>
        <w:keepNext/>
        <w:keepLines/>
        <w:numPr>
          <w:ilvl w:val="0"/>
          <w:numId w:val="19"/>
        </w:numPr>
        <w:spacing w:after="0" w:line="360" w:lineRule="auto"/>
        <w:contextualSpacing w:val="0"/>
        <w:outlineLvl w:val="1"/>
        <w:rPr>
          <w:rFonts w:ascii="Times New Roman" w:eastAsiaTheme="majorEastAsia" w:hAnsi="Times New Roman" w:cstheme="majorBidi"/>
          <w:b/>
          <w:vanish/>
          <w:sz w:val="24"/>
          <w:szCs w:val="26"/>
        </w:rPr>
      </w:pPr>
      <w:bookmarkStart w:id="1631" w:name="_Toc437862874"/>
      <w:bookmarkStart w:id="1632" w:name="_Toc437877460"/>
      <w:bookmarkStart w:id="1633" w:name="_Toc437877658"/>
      <w:bookmarkStart w:id="1634" w:name="_Toc437877858"/>
      <w:bookmarkStart w:id="1635" w:name="_Toc437878058"/>
      <w:bookmarkStart w:id="1636" w:name="_Toc437878261"/>
      <w:bookmarkStart w:id="1637" w:name="_Toc437878465"/>
      <w:bookmarkStart w:id="1638" w:name="_Toc437878669"/>
      <w:bookmarkStart w:id="1639" w:name="_Toc437878873"/>
      <w:bookmarkStart w:id="1640" w:name="_Toc439150035"/>
      <w:bookmarkStart w:id="1641" w:name="_Toc439150391"/>
      <w:bookmarkStart w:id="1642" w:name="_Toc439150590"/>
      <w:bookmarkStart w:id="1643" w:name="_Toc485645680"/>
      <w:bookmarkStart w:id="1644" w:name="_Toc485645839"/>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4ED63367" w14:textId="77777777" w:rsidR="005202AC" w:rsidRPr="005202AC" w:rsidRDefault="005202AC" w:rsidP="003301D6">
      <w:pPr>
        <w:pStyle w:val="Odsekzoznamu"/>
        <w:keepNext/>
        <w:keepLines/>
        <w:numPr>
          <w:ilvl w:val="0"/>
          <w:numId w:val="19"/>
        </w:numPr>
        <w:spacing w:after="0" w:line="360" w:lineRule="auto"/>
        <w:contextualSpacing w:val="0"/>
        <w:outlineLvl w:val="1"/>
        <w:rPr>
          <w:rFonts w:ascii="Times New Roman" w:eastAsiaTheme="majorEastAsia" w:hAnsi="Times New Roman" w:cstheme="majorBidi"/>
          <w:b/>
          <w:vanish/>
          <w:sz w:val="24"/>
          <w:szCs w:val="26"/>
        </w:rPr>
      </w:pPr>
      <w:bookmarkStart w:id="1645" w:name="_Toc437862875"/>
      <w:bookmarkStart w:id="1646" w:name="_Toc437877461"/>
      <w:bookmarkStart w:id="1647" w:name="_Toc437877659"/>
      <w:bookmarkStart w:id="1648" w:name="_Toc437877859"/>
      <w:bookmarkStart w:id="1649" w:name="_Toc437878059"/>
      <w:bookmarkStart w:id="1650" w:name="_Toc437878262"/>
      <w:bookmarkStart w:id="1651" w:name="_Toc437878466"/>
      <w:bookmarkStart w:id="1652" w:name="_Toc437878670"/>
      <w:bookmarkStart w:id="1653" w:name="_Toc437878874"/>
      <w:bookmarkStart w:id="1654" w:name="_Toc439150036"/>
      <w:bookmarkStart w:id="1655" w:name="_Toc439150392"/>
      <w:bookmarkStart w:id="1656" w:name="_Toc439150591"/>
      <w:bookmarkStart w:id="1657" w:name="_Toc485645681"/>
      <w:bookmarkStart w:id="1658" w:name="_Toc485645840"/>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0A7EE6E4" w14:textId="77777777" w:rsidR="005202AC" w:rsidRPr="005202AC" w:rsidRDefault="005202AC" w:rsidP="003301D6">
      <w:pPr>
        <w:pStyle w:val="Odsekzoznamu"/>
        <w:keepNext/>
        <w:keepLines/>
        <w:numPr>
          <w:ilvl w:val="0"/>
          <w:numId w:val="19"/>
        </w:numPr>
        <w:spacing w:after="0" w:line="360" w:lineRule="auto"/>
        <w:contextualSpacing w:val="0"/>
        <w:outlineLvl w:val="1"/>
        <w:rPr>
          <w:rFonts w:ascii="Times New Roman" w:eastAsiaTheme="majorEastAsia" w:hAnsi="Times New Roman" w:cstheme="majorBidi"/>
          <w:b/>
          <w:vanish/>
          <w:sz w:val="24"/>
          <w:szCs w:val="26"/>
        </w:rPr>
      </w:pPr>
      <w:bookmarkStart w:id="1659" w:name="_Toc437862876"/>
      <w:bookmarkStart w:id="1660" w:name="_Toc437877462"/>
      <w:bookmarkStart w:id="1661" w:name="_Toc437877660"/>
      <w:bookmarkStart w:id="1662" w:name="_Toc437877860"/>
      <w:bookmarkStart w:id="1663" w:name="_Toc437878060"/>
      <w:bookmarkStart w:id="1664" w:name="_Toc437878263"/>
      <w:bookmarkStart w:id="1665" w:name="_Toc437878467"/>
      <w:bookmarkStart w:id="1666" w:name="_Toc437878671"/>
      <w:bookmarkStart w:id="1667" w:name="_Toc437878875"/>
      <w:bookmarkStart w:id="1668" w:name="_Toc439150037"/>
      <w:bookmarkStart w:id="1669" w:name="_Toc439150393"/>
      <w:bookmarkStart w:id="1670" w:name="_Toc439150592"/>
      <w:bookmarkStart w:id="1671" w:name="_Toc485645682"/>
      <w:bookmarkStart w:id="1672" w:name="_Toc485645841"/>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416C5E98" w14:textId="77777777" w:rsidR="005202AC" w:rsidRPr="005202AC" w:rsidRDefault="005202AC" w:rsidP="003301D6">
      <w:pPr>
        <w:pStyle w:val="Odsekzoznamu"/>
        <w:keepNext/>
        <w:keepLines/>
        <w:numPr>
          <w:ilvl w:val="1"/>
          <w:numId w:val="19"/>
        </w:numPr>
        <w:spacing w:after="0" w:line="360" w:lineRule="auto"/>
        <w:contextualSpacing w:val="0"/>
        <w:outlineLvl w:val="1"/>
        <w:rPr>
          <w:rFonts w:ascii="Times New Roman" w:eastAsiaTheme="majorEastAsia" w:hAnsi="Times New Roman" w:cstheme="majorBidi"/>
          <w:b/>
          <w:vanish/>
          <w:sz w:val="24"/>
          <w:szCs w:val="26"/>
        </w:rPr>
      </w:pPr>
      <w:bookmarkStart w:id="1673" w:name="_Toc437862877"/>
      <w:bookmarkStart w:id="1674" w:name="_Toc437877463"/>
      <w:bookmarkStart w:id="1675" w:name="_Toc437877661"/>
      <w:bookmarkStart w:id="1676" w:name="_Toc437877861"/>
      <w:bookmarkStart w:id="1677" w:name="_Toc437878061"/>
      <w:bookmarkStart w:id="1678" w:name="_Toc437878264"/>
      <w:bookmarkStart w:id="1679" w:name="_Toc437878468"/>
      <w:bookmarkStart w:id="1680" w:name="_Toc437878672"/>
      <w:bookmarkStart w:id="1681" w:name="_Toc437878876"/>
      <w:bookmarkStart w:id="1682" w:name="_Toc439150038"/>
      <w:bookmarkStart w:id="1683" w:name="_Toc439150394"/>
      <w:bookmarkStart w:id="1684" w:name="_Toc439150593"/>
      <w:bookmarkStart w:id="1685" w:name="_Toc485645683"/>
      <w:bookmarkStart w:id="1686" w:name="_Toc48564584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7575B5AC" w14:textId="77777777" w:rsidR="00AE4F12" w:rsidRPr="00891B13" w:rsidRDefault="00653C95" w:rsidP="003301D6">
      <w:pPr>
        <w:pStyle w:val="Nadpis2"/>
        <w:numPr>
          <w:ilvl w:val="1"/>
          <w:numId w:val="19"/>
        </w:numPr>
      </w:pPr>
      <w:bookmarkStart w:id="1687" w:name="_Toc485645843"/>
      <w:r w:rsidRPr="00891B13">
        <w:t>Akčný plán</w:t>
      </w:r>
      <w:bookmarkEnd w:id="1687"/>
    </w:p>
    <w:p w14:paraId="3FC77A20" w14:textId="77777777" w:rsidR="00512FE8" w:rsidRDefault="00512FE8" w:rsidP="000C1ED9">
      <w:pPr>
        <w:spacing w:after="0" w:line="360" w:lineRule="auto"/>
        <w:rPr>
          <w:rFonts w:ascii="Times New Roman" w:hAnsi="Times New Roman" w:cs="Times New Roman"/>
          <w:b/>
          <w:sz w:val="24"/>
          <w:szCs w:val="24"/>
        </w:rPr>
      </w:pPr>
    </w:p>
    <w:p w14:paraId="62A4F42A" w14:textId="77777777" w:rsidR="000C1ED9" w:rsidRPr="000C1ED9" w:rsidRDefault="000C1ED9" w:rsidP="000C1ED9">
      <w:pPr>
        <w:spacing w:after="0" w:line="360" w:lineRule="auto"/>
        <w:rPr>
          <w:rFonts w:ascii="Times New Roman" w:hAnsi="Times New Roman" w:cs="Times New Roman"/>
          <w:b/>
          <w:sz w:val="24"/>
          <w:szCs w:val="24"/>
        </w:rPr>
      </w:pPr>
      <w:r>
        <w:rPr>
          <w:rFonts w:ascii="Times New Roman" w:hAnsi="Times New Roman" w:cs="Times New Roman"/>
          <w:b/>
          <w:sz w:val="24"/>
          <w:szCs w:val="24"/>
        </w:rPr>
        <w:t>Časť A.) Akčný plán pre základnú alokáciu MAS</w:t>
      </w:r>
    </w:p>
    <w:p w14:paraId="6D37E797" w14:textId="77777777" w:rsidR="00D2349E" w:rsidRDefault="00D2349E" w:rsidP="00362E8C">
      <w:pPr>
        <w:spacing w:after="120" w:line="312" w:lineRule="auto"/>
        <w:rPr>
          <w:rFonts w:ascii="Times New Roman" w:hAnsi="Times New Roman" w:cs="Times New Roman"/>
          <w:b/>
          <w:sz w:val="24"/>
          <w:szCs w:val="24"/>
        </w:rPr>
      </w:pPr>
      <w:r w:rsidRPr="003C0D7F">
        <w:rPr>
          <w:rFonts w:ascii="Times New Roman" w:hAnsi="Times New Roman" w:cs="Times New Roman"/>
          <w:b/>
          <w:sz w:val="24"/>
          <w:szCs w:val="24"/>
        </w:rPr>
        <w:t>Priorita č. 1:</w:t>
      </w:r>
      <w:r>
        <w:rPr>
          <w:rFonts w:ascii="Times New Roman" w:hAnsi="Times New Roman" w:cs="Times New Roman"/>
          <w:b/>
          <w:sz w:val="24"/>
          <w:szCs w:val="24"/>
        </w:rPr>
        <w:t xml:space="preserve"> Kvalitné</w:t>
      </w:r>
      <w:r w:rsidRPr="003C0D7F">
        <w:rPr>
          <w:rFonts w:ascii="Times New Roman" w:hAnsi="Times New Roman" w:cs="Times New Roman"/>
          <w:b/>
          <w:sz w:val="24"/>
          <w:szCs w:val="24"/>
        </w:rPr>
        <w:t xml:space="preserve"> </w:t>
      </w:r>
      <w:r>
        <w:rPr>
          <w:rFonts w:ascii="Times New Roman" w:hAnsi="Times New Roman" w:cs="Times New Roman"/>
          <w:b/>
          <w:sz w:val="24"/>
          <w:szCs w:val="24"/>
        </w:rPr>
        <w:t>verejné s</w:t>
      </w:r>
      <w:r w:rsidRPr="003C0D7F">
        <w:rPr>
          <w:rFonts w:ascii="Times New Roman" w:hAnsi="Times New Roman" w:cs="Times New Roman"/>
          <w:b/>
          <w:sz w:val="24"/>
          <w:szCs w:val="24"/>
        </w:rPr>
        <w:t>lužby</w:t>
      </w:r>
      <w:r>
        <w:rPr>
          <w:rFonts w:ascii="Times New Roman" w:hAnsi="Times New Roman" w:cs="Times New Roman"/>
          <w:b/>
          <w:sz w:val="24"/>
          <w:szCs w:val="24"/>
        </w:rPr>
        <w:t xml:space="preserve"> a občianska vybavenosť</w:t>
      </w:r>
      <w:r w:rsidRPr="003C0D7F">
        <w:rPr>
          <w:rFonts w:ascii="Times New Roman" w:hAnsi="Times New Roman" w:cs="Times New Roman"/>
          <w:b/>
          <w:sz w:val="24"/>
          <w:szCs w:val="24"/>
        </w:rPr>
        <w:t xml:space="preserve"> pre vidiecke obyvateľstvo</w:t>
      </w:r>
    </w:p>
    <w:p w14:paraId="14BC811F"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5.2.A Opatrenie stratégie CLLD 1.1</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0C1ED9" w:rsidRPr="00A1636E" w14:paraId="3C655C2E" w14:textId="77777777" w:rsidTr="00A73B7E">
        <w:trPr>
          <w:trHeight w:val="624"/>
        </w:trPr>
        <w:tc>
          <w:tcPr>
            <w:tcW w:w="2127" w:type="dxa"/>
            <w:vAlign w:val="center"/>
          </w:tcPr>
          <w:p w14:paraId="1EB24014" w14:textId="77777777" w:rsidR="000C1ED9" w:rsidRPr="00A1636E" w:rsidRDefault="000C1ED9" w:rsidP="000C1ED9">
            <w:pPr>
              <w:rPr>
                <w:rFonts w:ascii="Times New Roman" w:hAnsi="Times New Roman" w:cs="Times New Roman"/>
              </w:rPr>
            </w:pPr>
            <w:r w:rsidRPr="00A1636E">
              <w:rPr>
                <w:rFonts w:ascii="Times New Roman" w:hAnsi="Times New Roman" w:cs="Times New Roman"/>
              </w:rPr>
              <w:t xml:space="preserve">Názov opatrenia </w:t>
            </w:r>
          </w:p>
        </w:tc>
        <w:tc>
          <w:tcPr>
            <w:tcW w:w="7393" w:type="dxa"/>
            <w:gridSpan w:val="9"/>
          </w:tcPr>
          <w:p w14:paraId="3751137C" w14:textId="77777777" w:rsidR="000C1ED9" w:rsidRPr="00606CE5" w:rsidRDefault="00606CE5" w:rsidP="000C1ED9">
            <w:pPr>
              <w:rPr>
                <w:rFonts w:ascii="Times New Roman" w:hAnsi="Times New Roman" w:cs="Times New Roman"/>
                <w:b/>
              </w:rPr>
            </w:pPr>
            <w:r w:rsidRPr="00606CE5">
              <w:rPr>
                <w:rFonts w:ascii="Times New Roman" w:hAnsi="Times New Roman" w:cs="Times New Roman"/>
                <w:b/>
              </w:rPr>
              <w:t>1.1 Podpora na investície do vytvárania, zlepšovania alebo rozširovania miestnych základných služieb pre vidiecke obyvateľstvo vrátane voľného času a kultúry a súvisiacej infraštruktúry</w:t>
            </w:r>
          </w:p>
        </w:tc>
      </w:tr>
      <w:tr w:rsidR="000C1ED9" w:rsidRPr="00A1636E" w14:paraId="32649211" w14:textId="77777777" w:rsidTr="00A73B7E">
        <w:trPr>
          <w:trHeight w:val="624"/>
        </w:trPr>
        <w:tc>
          <w:tcPr>
            <w:tcW w:w="2127" w:type="dxa"/>
            <w:vAlign w:val="center"/>
          </w:tcPr>
          <w:p w14:paraId="178E2C47" w14:textId="77777777" w:rsidR="000C1ED9" w:rsidRPr="00A1636E" w:rsidRDefault="000C1ED9" w:rsidP="000C1ED9">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1"/>
            </w:r>
            <w:r w:rsidRPr="00A1636E">
              <w:rPr>
                <w:rFonts w:ascii="Times New Roman" w:hAnsi="Times New Roman" w:cs="Times New Roman"/>
              </w:rPr>
              <w:t xml:space="preserve"> </w:t>
            </w:r>
          </w:p>
        </w:tc>
        <w:tc>
          <w:tcPr>
            <w:tcW w:w="7393" w:type="dxa"/>
            <w:gridSpan w:val="9"/>
          </w:tcPr>
          <w:p w14:paraId="444551EC" w14:textId="77777777" w:rsidR="000C1ED9" w:rsidRPr="009707A1" w:rsidRDefault="00606CE5" w:rsidP="000C1ED9">
            <w:pPr>
              <w:rPr>
                <w:rFonts w:ascii="Times New Roman" w:hAnsi="Times New Roman" w:cs="Times New Roman"/>
              </w:rPr>
            </w:pPr>
            <w:r>
              <w:rPr>
                <w:rFonts w:ascii="Times New Roman" w:hAnsi="Times New Roman" w:cs="Times New Roman"/>
              </w:rPr>
              <w:t>7.4</w:t>
            </w:r>
          </w:p>
        </w:tc>
      </w:tr>
      <w:tr w:rsidR="000C1ED9" w:rsidRPr="00320E60" w14:paraId="41A69713" w14:textId="77777777" w:rsidTr="00A73B7E">
        <w:trPr>
          <w:trHeight w:val="624"/>
        </w:trPr>
        <w:tc>
          <w:tcPr>
            <w:tcW w:w="2127" w:type="dxa"/>
            <w:vAlign w:val="center"/>
          </w:tcPr>
          <w:p w14:paraId="57446D04"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Priradenie k fokusovej oblasti PRV/ŠC IROP</w:t>
            </w:r>
          </w:p>
        </w:tc>
        <w:tc>
          <w:tcPr>
            <w:tcW w:w="7393" w:type="dxa"/>
            <w:gridSpan w:val="9"/>
          </w:tcPr>
          <w:p w14:paraId="4D3EE863" w14:textId="77777777" w:rsidR="008647FF" w:rsidRPr="008647FF" w:rsidRDefault="008647FF" w:rsidP="008647FF">
            <w:pPr>
              <w:rPr>
                <w:rFonts w:ascii="Times New Roman" w:hAnsi="Times New Roman" w:cs="Times New Roman"/>
                <w:color w:val="000000" w:themeColor="text1"/>
              </w:rPr>
            </w:pPr>
            <w:r w:rsidRPr="008647FF">
              <w:rPr>
                <w:rFonts w:ascii="Times New Roman" w:hAnsi="Times New Roman" w:cs="Times New Roman"/>
                <w:color w:val="000000" w:themeColor="text1"/>
              </w:rPr>
              <w:t>Sekundárna FO predominantná – 6B</w:t>
            </w:r>
          </w:p>
          <w:p w14:paraId="016603A6" w14:textId="17AF3CD6" w:rsidR="00606CE5" w:rsidRPr="00320E60" w:rsidRDefault="008647FF" w:rsidP="008647FF">
            <w:pPr>
              <w:rPr>
                <w:rFonts w:ascii="Times New Roman" w:hAnsi="Times New Roman" w:cs="Times New Roman"/>
                <w:color w:val="000000" w:themeColor="text1"/>
              </w:rPr>
            </w:pPr>
            <w:r w:rsidRPr="008647FF">
              <w:rPr>
                <w:rFonts w:ascii="Times New Roman" w:hAnsi="Times New Roman" w:cs="Times New Roman"/>
                <w:color w:val="000000" w:themeColor="text1"/>
              </w:rPr>
              <w:t>Sekundárna FO doplnková – 6A</w:t>
            </w:r>
          </w:p>
        </w:tc>
      </w:tr>
      <w:tr w:rsidR="000C1ED9" w:rsidRPr="00320E60" w14:paraId="15043865" w14:textId="77777777" w:rsidTr="00A73B7E">
        <w:trPr>
          <w:trHeight w:val="624"/>
        </w:trPr>
        <w:tc>
          <w:tcPr>
            <w:tcW w:w="2127" w:type="dxa"/>
            <w:vAlign w:val="center"/>
          </w:tcPr>
          <w:p w14:paraId="2EFE8E58"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393" w:type="dxa"/>
            <w:gridSpan w:val="9"/>
            <w:vAlign w:val="center"/>
          </w:tcPr>
          <w:p w14:paraId="76A78E1F" w14:textId="77777777" w:rsidR="000C1ED9" w:rsidRPr="00D0587E" w:rsidRDefault="003C458C" w:rsidP="000C1ED9">
            <w:pPr>
              <w:jc w:val="both"/>
              <w:rPr>
                <w:rFonts w:ascii="Times New Roman" w:hAnsi="Times New Roman" w:cs="Times New Roman"/>
                <w:i/>
                <w:sz w:val="18"/>
                <w:szCs w:val="18"/>
              </w:rPr>
            </w:pPr>
            <w:r w:rsidRPr="00D0587E">
              <w:rPr>
                <w:rFonts w:ascii="Times New Roman" w:hAnsi="Times New Roman" w:cs="Times New Roman"/>
                <w:i/>
              </w:rPr>
              <w:t>Opatrenie bude sekundárne prispievať k FO 5C prostredníctvom investícií do OZE a úspor energie, ktoré budú môcť byť súčasťou iných investícií v rámci opatrenia (napr. súčasťou rekonštrukcie kultúrneho domu bude výstavba kotolne na OZE a pod.). Opatrenie prispieva k naplneniu Špecifického cieľa: Zvýšenie kvality infraštruktúry a verejných služieb.</w:t>
            </w:r>
          </w:p>
        </w:tc>
      </w:tr>
      <w:tr w:rsidR="000C1ED9" w:rsidRPr="00320E60" w14:paraId="45EBDE34" w14:textId="77777777" w:rsidTr="00A73B7E">
        <w:trPr>
          <w:trHeight w:val="624"/>
        </w:trPr>
        <w:tc>
          <w:tcPr>
            <w:tcW w:w="2127" w:type="dxa"/>
            <w:vAlign w:val="center"/>
          </w:tcPr>
          <w:p w14:paraId="5DF43B5A"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Zdôvodnenie výberu</w:t>
            </w:r>
          </w:p>
        </w:tc>
        <w:tc>
          <w:tcPr>
            <w:tcW w:w="7393" w:type="dxa"/>
            <w:gridSpan w:val="9"/>
            <w:vAlign w:val="center"/>
          </w:tcPr>
          <w:p w14:paraId="7D95E287" w14:textId="77777777" w:rsidR="003C458C" w:rsidRPr="00D0587E" w:rsidRDefault="00162E25" w:rsidP="003C458C">
            <w:pPr>
              <w:jc w:val="both"/>
              <w:rPr>
                <w:rFonts w:ascii="Times New Roman" w:hAnsi="Times New Roman" w:cs="Times New Roman"/>
                <w:i/>
              </w:rPr>
            </w:pPr>
            <w:r w:rsidRPr="00D0587E">
              <w:rPr>
                <w:rFonts w:ascii="Times New Roman" w:hAnsi="Times New Roman" w:cs="Times New Roman"/>
                <w:i/>
              </w:rPr>
              <w:t xml:space="preserve">Cieľom je dosiahnuť lepší stav infraštruktúry verejných služieb a občianskej vybavenosti. </w:t>
            </w:r>
            <w:r w:rsidR="003C458C" w:rsidRPr="00D0587E">
              <w:rPr>
                <w:rFonts w:ascii="Times New Roman" w:hAnsi="Times New Roman" w:cs="Times New Roman"/>
                <w:i/>
              </w:rPr>
              <w:t>Opatrenie reflektuje na potreby identifikované v oblasti Občianska vybavenosť a sekundárne aj Životné prostredie v rámci Identifikácie potrieb</w:t>
            </w:r>
          </w:p>
          <w:p w14:paraId="7A205864" w14:textId="77777777" w:rsidR="000C1ED9" w:rsidRPr="00D0587E" w:rsidRDefault="003C458C" w:rsidP="003C458C">
            <w:pPr>
              <w:jc w:val="both"/>
              <w:rPr>
                <w:rFonts w:ascii="Times New Roman" w:hAnsi="Times New Roman" w:cs="Times New Roman"/>
                <w:i/>
              </w:rPr>
            </w:pPr>
            <w:r w:rsidRPr="00D0587E">
              <w:rPr>
                <w:rFonts w:ascii="Times New Roman" w:hAnsi="Times New Roman" w:cs="Times New Roman"/>
                <w:i/>
              </w:rPr>
              <w:t>Kvalita života úzko súvisí s miestnym ekonomickým rozvojom, ako aj so zastavením odlivu obyvateľstva z vidieka. Pre jej zvýšenie je potrebná kvalitná infraštruktúra a dostupnosť miestnych služieb pre obyvateľov, kvalitné verejné priestory pre obyvateľov vrátane využívania nevyužitých objektov pre podnikateľskú a komunitnú činnosť.</w:t>
            </w:r>
          </w:p>
        </w:tc>
      </w:tr>
      <w:tr w:rsidR="000C1ED9" w:rsidRPr="00320E60" w14:paraId="2372FE68" w14:textId="77777777" w:rsidTr="00A73B7E">
        <w:trPr>
          <w:trHeight w:val="624"/>
        </w:trPr>
        <w:tc>
          <w:tcPr>
            <w:tcW w:w="2127" w:type="dxa"/>
            <w:vAlign w:val="center"/>
          </w:tcPr>
          <w:p w14:paraId="04B83DB2"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393" w:type="dxa"/>
            <w:gridSpan w:val="9"/>
            <w:vAlign w:val="center"/>
          </w:tcPr>
          <w:p w14:paraId="2B23901C" w14:textId="77777777" w:rsidR="003C458C" w:rsidRPr="00D0587E" w:rsidRDefault="003C458C" w:rsidP="003C458C">
            <w:pPr>
              <w:jc w:val="both"/>
              <w:rPr>
                <w:rFonts w:ascii="Times New Roman" w:hAnsi="Times New Roman" w:cs="Times New Roman"/>
                <w:i/>
              </w:rPr>
            </w:pPr>
            <w:r w:rsidRPr="00D0587E">
              <w:rPr>
                <w:rFonts w:ascii="Times New Roman" w:hAnsi="Times New Roman" w:cs="Times New Roman"/>
                <w:i/>
              </w:rPr>
              <w:t>Podporované budú nasledovné aktivity:</w:t>
            </w:r>
          </w:p>
          <w:p w14:paraId="0E5C4FBA" w14:textId="77777777" w:rsidR="003C458C" w:rsidRPr="00D0587E" w:rsidRDefault="003C458C" w:rsidP="003C458C">
            <w:pPr>
              <w:jc w:val="both"/>
              <w:rPr>
                <w:rFonts w:ascii="Times New Roman" w:hAnsi="Times New Roman" w:cs="Times New Roman"/>
                <w:i/>
              </w:rPr>
            </w:pPr>
            <w:r w:rsidRPr="00D0587E">
              <w:rPr>
                <w:rFonts w:ascii="Times New Roman" w:hAnsi="Times New Roman" w:cs="Times New Roman"/>
                <w:i/>
              </w:rPr>
              <w:t>•  investície súvisiace s vytváraním podmienok pre trávenie voľného času vrátane príslušnej infraštruktúry – napr. výstavba/rekonštrukcia/modernizácia športovísk a detských ihrísk, amfiteátrov, investície do rekonštrukcie nevyužívaných objektov v obci pre komunitnú/spolkovú činnosť vrátane rekonštrukcie existujúcich kultúrnych domov;</w:t>
            </w:r>
          </w:p>
          <w:p w14:paraId="066B45FA" w14:textId="77777777" w:rsidR="003C458C" w:rsidRPr="00D0587E" w:rsidRDefault="003C458C" w:rsidP="003C458C">
            <w:pPr>
              <w:jc w:val="both"/>
              <w:rPr>
                <w:rFonts w:ascii="Times New Roman" w:hAnsi="Times New Roman" w:cs="Times New Roman"/>
                <w:i/>
              </w:rPr>
            </w:pPr>
            <w:r w:rsidRPr="00D0587E">
              <w:rPr>
                <w:rFonts w:ascii="Times New Roman" w:hAnsi="Times New Roman" w:cs="Times New Roman"/>
                <w:i/>
              </w:rPr>
              <w:t xml:space="preserve">•  investície súvisiace s vytváraním podmienok pre rozvoj podnikania – rekonštrukcie nevyužívaných objektov v obci pre podnikateľskú činnosť, výstavba/rekonštrukcia tržníc pre podporu predaja miestnych produktov a pod. </w:t>
            </w:r>
          </w:p>
          <w:p w14:paraId="5C682C29" w14:textId="77777777" w:rsidR="000C1ED9" w:rsidRPr="00D0587E" w:rsidRDefault="003C458C" w:rsidP="003C458C">
            <w:pPr>
              <w:jc w:val="both"/>
              <w:rPr>
                <w:rFonts w:ascii="Times New Roman" w:hAnsi="Times New Roman" w:cs="Times New Roman"/>
                <w:i/>
              </w:rPr>
            </w:pPr>
            <w:r w:rsidRPr="00D0587E">
              <w:rPr>
                <w:rFonts w:ascii="Times New Roman" w:hAnsi="Times New Roman" w:cs="Times New Roman"/>
                <w:i/>
              </w:rPr>
              <w:t>•  investície do využívania OZE vrátane investícií spojenými s úsporou energie – len ako súčasť investícií do miestnych služieb.</w:t>
            </w:r>
          </w:p>
        </w:tc>
      </w:tr>
      <w:tr w:rsidR="000C1ED9" w:rsidRPr="00320E60" w14:paraId="224AF378" w14:textId="77777777" w:rsidTr="00A73B7E">
        <w:trPr>
          <w:trHeight w:val="624"/>
        </w:trPr>
        <w:tc>
          <w:tcPr>
            <w:tcW w:w="2127" w:type="dxa"/>
            <w:vAlign w:val="center"/>
          </w:tcPr>
          <w:p w14:paraId="0D96A9A3"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Oprávnení prijímatelia</w:t>
            </w:r>
          </w:p>
        </w:tc>
        <w:tc>
          <w:tcPr>
            <w:tcW w:w="7393" w:type="dxa"/>
            <w:gridSpan w:val="9"/>
            <w:vAlign w:val="center"/>
          </w:tcPr>
          <w:p w14:paraId="67F67B20" w14:textId="77777777" w:rsidR="000C1ED9" w:rsidRDefault="00606CE5" w:rsidP="00606CE5">
            <w:pPr>
              <w:pStyle w:val="Odsekzoznamu"/>
              <w:numPr>
                <w:ilvl w:val="0"/>
                <w:numId w:val="51"/>
              </w:numPr>
              <w:ind w:left="459" w:hanging="426"/>
              <w:jc w:val="both"/>
              <w:rPr>
                <w:rFonts w:ascii="Times New Roman" w:hAnsi="Times New Roman" w:cs="Times New Roman"/>
                <w:color w:val="000000" w:themeColor="text1"/>
              </w:rPr>
            </w:pPr>
            <w:r>
              <w:rPr>
                <w:rFonts w:ascii="Times New Roman" w:hAnsi="Times New Roman" w:cs="Times New Roman"/>
                <w:color w:val="000000" w:themeColor="text1"/>
              </w:rPr>
              <w:t>Obce vo vidieckych oblastiach (zvýhodnené budú obce do 1 000 obyvateľov)</w:t>
            </w:r>
          </w:p>
          <w:p w14:paraId="75DE5B34" w14:textId="77777777" w:rsidR="00606CE5" w:rsidRDefault="00606CE5" w:rsidP="00606CE5">
            <w:pPr>
              <w:pStyle w:val="Odsekzoznamu"/>
              <w:numPr>
                <w:ilvl w:val="0"/>
                <w:numId w:val="51"/>
              </w:numPr>
              <w:ind w:left="459" w:hanging="426"/>
              <w:jc w:val="both"/>
              <w:rPr>
                <w:rFonts w:ascii="Times New Roman" w:hAnsi="Times New Roman" w:cs="Times New Roman"/>
                <w:color w:val="000000" w:themeColor="text1"/>
              </w:rPr>
            </w:pPr>
            <w:r>
              <w:rPr>
                <w:rFonts w:ascii="Times New Roman" w:hAnsi="Times New Roman" w:cs="Times New Roman"/>
                <w:color w:val="000000" w:themeColor="text1"/>
              </w:rPr>
              <w:t>Združenie obcí s právnou subjektivitou</w:t>
            </w:r>
          </w:p>
          <w:p w14:paraId="6E5DDF43" w14:textId="77777777" w:rsidR="00606CE5" w:rsidRPr="00606CE5" w:rsidRDefault="00606CE5" w:rsidP="00606CE5">
            <w:pPr>
              <w:pStyle w:val="Odsekzoznamu"/>
              <w:numPr>
                <w:ilvl w:val="0"/>
                <w:numId w:val="51"/>
              </w:numPr>
              <w:ind w:left="459" w:hanging="426"/>
              <w:jc w:val="both"/>
              <w:rPr>
                <w:rFonts w:ascii="Times New Roman" w:hAnsi="Times New Roman" w:cs="Times New Roman"/>
                <w:color w:val="000000" w:themeColor="text1"/>
              </w:rPr>
            </w:pPr>
            <w:r>
              <w:rPr>
                <w:rFonts w:ascii="Times New Roman" w:hAnsi="Times New Roman" w:cs="Times New Roman"/>
                <w:color w:val="000000" w:themeColor="text1"/>
              </w:rPr>
              <w:t>Občianske združenie v zmysle zákona č. 83/1990 Z.z. o združovaní občanov</w:t>
            </w:r>
          </w:p>
        </w:tc>
      </w:tr>
      <w:tr w:rsidR="000C1ED9" w:rsidRPr="00320E60" w14:paraId="44537AA5" w14:textId="77777777" w:rsidTr="00A73B7E">
        <w:trPr>
          <w:trHeight w:val="624"/>
        </w:trPr>
        <w:tc>
          <w:tcPr>
            <w:tcW w:w="2127" w:type="dxa"/>
            <w:vAlign w:val="center"/>
          </w:tcPr>
          <w:p w14:paraId="306B0C40"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2"/>
            </w:r>
          </w:p>
        </w:tc>
        <w:tc>
          <w:tcPr>
            <w:tcW w:w="7393" w:type="dxa"/>
            <w:gridSpan w:val="9"/>
            <w:vAlign w:val="center"/>
          </w:tcPr>
          <w:p w14:paraId="15C1BBEF" w14:textId="77777777" w:rsidR="000C1ED9" w:rsidRPr="00320E60" w:rsidRDefault="00606CE5" w:rsidP="00A73B7E">
            <w:pPr>
              <w:jc w:val="both"/>
              <w:rPr>
                <w:rFonts w:ascii="Times New Roman" w:hAnsi="Times New Roman" w:cs="Times New Roman"/>
                <w:color w:val="000000" w:themeColor="text1"/>
              </w:rPr>
            </w:pPr>
            <w:r>
              <w:rPr>
                <w:rFonts w:ascii="Times New Roman" w:hAnsi="Times New Roman" w:cs="Times New Roman"/>
                <w:i/>
                <w:color w:val="000000" w:themeColor="text1"/>
              </w:rPr>
              <w:t>9</w:t>
            </w:r>
            <w:r w:rsidR="00A73B7E">
              <w:rPr>
                <w:rFonts w:ascii="Times New Roman" w:hAnsi="Times New Roman" w:cs="Times New Roman"/>
                <w:i/>
                <w:color w:val="000000" w:themeColor="text1"/>
              </w:rPr>
              <w:t xml:space="preserve">5 </w:t>
            </w:r>
            <w:r>
              <w:rPr>
                <w:rFonts w:ascii="Times New Roman" w:hAnsi="Times New Roman" w:cs="Times New Roman"/>
                <w:i/>
                <w:color w:val="000000" w:themeColor="text1"/>
              </w:rPr>
              <w:t>%</w:t>
            </w:r>
          </w:p>
        </w:tc>
      </w:tr>
      <w:tr w:rsidR="000C1ED9" w:rsidRPr="00320E60" w14:paraId="09C5DC20" w14:textId="77777777" w:rsidTr="00A73B7E">
        <w:trPr>
          <w:trHeight w:val="624"/>
        </w:trPr>
        <w:tc>
          <w:tcPr>
            <w:tcW w:w="2127" w:type="dxa"/>
            <w:vAlign w:val="center"/>
          </w:tcPr>
          <w:p w14:paraId="5194D5F8" w14:textId="77777777" w:rsidR="000C1ED9" w:rsidRPr="00320E60" w:rsidRDefault="000C1ED9"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393" w:type="dxa"/>
            <w:gridSpan w:val="9"/>
            <w:vAlign w:val="center"/>
          </w:tcPr>
          <w:p w14:paraId="55E1769D" w14:textId="77777777" w:rsidR="000C1ED9" w:rsidRDefault="00A73B7E" w:rsidP="000C1ED9">
            <w:pPr>
              <w:jc w:val="both"/>
              <w:rPr>
                <w:rFonts w:ascii="Times New Roman" w:hAnsi="Times New Roman" w:cs="Times New Roman"/>
                <w:i/>
                <w:color w:val="000000" w:themeColor="text1"/>
              </w:rPr>
            </w:pPr>
            <w:r>
              <w:rPr>
                <w:rFonts w:ascii="Times New Roman" w:hAnsi="Times New Roman" w:cs="Times New Roman"/>
                <w:i/>
                <w:color w:val="000000" w:themeColor="text1"/>
              </w:rPr>
              <w:t>v</w:t>
            </w:r>
            <w:r w:rsidR="007C2A57">
              <w:rPr>
                <w:rFonts w:ascii="Times New Roman" w:hAnsi="Times New Roman" w:cs="Times New Roman"/>
                <w:i/>
                <w:color w:val="000000" w:themeColor="text1"/>
              </w:rPr>
              <w:t xml:space="preserve"> súlade s PRV (resp. s nariadením EÚ (č.1305/2013)):</w:t>
            </w:r>
          </w:p>
          <w:p w14:paraId="459057FA" w14:textId="77777777" w:rsidR="007C2A57" w:rsidRDefault="007C2A57" w:rsidP="007C2A57">
            <w:pPr>
              <w:pStyle w:val="Odsekzoznamu"/>
              <w:numPr>
                <w:ilvl w:val="0"/>
                <w:numId w:val="52"/>
              </w:numPr>
              <w:ind w:left="317" w:hanging="284"/>
              <w:jc w:val="both"/>
              <w:rPr>
                <w:rFonts w:ascii="Times New Roman" w:hAnsi="Times New Roman" w:cs="Times New Roman"/>
                <w:color w:val="000000" w:themeColor="text1"/>
              </w:rPr>
            </w:pPr>
            <w:r>
              <w:rPr>
                <w:rFonts w:ascii="Times New Roman" w:hAnsi="Times New Roman" w:cs="Times New Roman"/>
                <w:color w:val="000000" w:themeColor="text1"/>
              </w:rPr>
              <w:t>Výdavky na hmotné a</w:t>
            </w:r>
            <w:r w:rsidR="003C458C">
              <w:rPr>
                <w:rFonts w:ascii="Times New Roman" w:hAnsi="Times New Roman" w:cs="Times New Roman"/>
                <w:color w:val="000000" w:themeColor="text1"/>
              </w:rPr>
              <w:t xml:space="preserve"> </w:t>
            </w:r>
            <w:r>
              <w:rPr>
                <w:rFonts w:ascii="Times New Roman" w:hAnsi="Times New Roman" w:cs="Times New Roman"/>
                <w:color w:val="000000" w:themeColor="text1"/>
              </w:rPr>
              <w:t>nehmotné investície, ktoré sú v súlade s podporovanými činnosťami v rámci tohto opatrenia a </w:t>
            </w:r>
            <w:r w:rsidR="003C458C">
              <w:rPr>
                <w:rFonts w:ascii="Times New Roman" w:hAnsi="Times New Roman" w:cs="Times New Roman"/>
                <w:color w:val="000000" w:themeColor="text1"/>
              </w:rPr>
              <w:t>špecifikáciou</w:t>
            </w:r>
            <w:r>
              <w:rPr>
                <w:rFonts w:ascii="Times New Roman" w:hAnsi="Times New Roman" w:cs="Times New Roman"/>
                <w:color w:val="000000" w:themeColor="text1"/>
              </w:rPr>
              <w:t xml:space="preserve"> výdavkov v podkapitole 8.1.3, vrátane výdavkov na začlenenie prvkov zelenej infraštruktúry – náklady na následné „ozelenenie“ objektov a ich začlenenie do zelenej infraštruktúry obce a vrátane nákladov v súvisiacich s investíciami do využívania OZE a do úspor energie, pokiaľ sú tieto investície súčasťou iných investícií v rámci operácie;</w:t>
            </w:r>
          </w:p>
          <w:p w14:paraId="4D8BDDB9" w14:textId="77777777" w:rsidR="007C2A57" w:rsidRPr="007C2A57" w:rsidRDefault="007C2A57" w:rsidP="007C2A57">
            <w:pPr>
              <w:pStyle w:val="Odsekzoznamu"/>
              <w:numPr>
                <w:ilvl w:val="0"/>
                <w:numId w:val="52"/>
              </w:numPr>
              <w:ind w:left="317" w:hanging="284"/>
              <w:jc w:val="both"/>
              <w:rPr>
                <w:rFonts w:ascii="Times New Roman" w:hAnsi="Times New Roman" w:cs="Times New Roman"/>
                <w:color w:val="000000" w:themeColor="text1"/>
              </w:rPr>
            </w:pPr>
            <w:r>
              <w:rPr>
                <w:rFonts w:ascii="Times New Roman" w:hAnsi="Times New Roman" w:cs="Times New Roman"/>
                <w:color w:val="000000" w:themeColor="text1"/>
              </w:rPr>
              <w:t xml:space="preserve">Všeobecné </w:t>
            </w:r>
            <w:r w:rsidR="003C458C">
              <w:rPr>
                <w:rFonts w:ascii="Times New Roman" w:hAnsi="Times New Roman" w:cs="Times New Roman"/>
                <w:color w:val="000000" w:themeColor="text1"/>
              </w:rPr>
              <w:t>náklady</w:t>
            </w:r>
            <w:r>
              <w:rPr>
                <w:rFonts w:ascii="Times New Roman" w:hAnsi="Times New Roman" w:cs="Times New Roman"/>
                <w:color w:val="000000" w:themeColor="text1"/>
              </w:rPr>
              <w:t xml:space="preserve"> súvisiace s bodom 1, špecifikovaného v podkapitole 8.1.3</w:t>
            </w:r>
          </w:p>
        </w:tc>
      </w:tr>
      <w:tr w:rsidR="003C458C" w:rsidRPr="00320E60" w14:paraId="0C24380A" w14:textId="77777777" w:rsidTr="00A73B7E">
        <w:trPr>
          <w:trHeight w:val="624"/>
        </w:trPr>
        <w:tc>
          <w:tcPr>
            <w:tcW w:w="2127" w:type="dxa"/>
            <w:vAlign w:val="center"/>
          </w:tcPr>
          <w:p w14:paraId="069A69E8" w14:textId="77777777" w:rsidR="003C458C" w:rsidRPr="00320E60" w:rsidRDefault="003C458C"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393" w:type="dxa"/>
            <w:gridSpan w:val="9"/>
            <w:vAlign w:val="center"/>
          </w:tcPr>
          <w:p w14:paraId="6CDD982F" w14:textId="77777777" w:rsidR="003C458C" w:rsidRPr="00D0587E" w:rsidRDefault="003C458C" w:rsidP="000C1ED9">
            <w:pPr>
              <w:jc w:val="both"/>
              <w:rPr>
                <w:rFonts w:ascii="Times New Roman" w:hAnsi="Times New Roman" w:cs="Times New Roman"/>
              </w:rPr>
            </w:pPr>
            <w:r w:rsidRPr="00D0587E">
              <w:rPr>
                <w:rFonts w:ascii="Times New Roman" w:hAnsi="Times New Roman" w:cs="Times New Roman"/>
                <w:i/>
              </w:rPr>
              <w:t>5 000 – 25 000 EUR</w:t>
            </w:r>
          </w:p>
        </w:tc>
      </w:tr>
      <w:tr w:rsidR="003C458C" w:rsidRPr="00320E60" w14:paraId="19336D38" w14:textId="77777777" w:rsidTr="00A73B7E">
        <w:trPr>
          <w:trHeight w:val="624"/>
        </w:trPr>
        <w:tc>
          <w:tcPr>
            <w:tcW w:w="2127" w:type="dxa"/>
            <w:vMerge w:val="restart"/>
            <w:vAlign w:val="center"/>
          </w:tcPr>
          <w:p w14:paraId="64869FF0" w14:textId="77777777" w:rsidR="003C458C" w:rsidRPr="00320E60" w:rsidRDefault="003C458C" w:rsidP="000C1ED9">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14:paraId="1BB29EE5" w14:textId="77777777" w:rsidR="003C458C" w:rsidRPr="00320E60" w:rsidDel="00D14904"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3"/>
            </w:r>
          </w:p>
        </w:tc>
        <w:tc>
          <w:tcPr>
            <w:tcW w:w="1417" w:type="dxa"/>
            <w:vAlign w:val="center"/>
          </w:tcPr>
          <w:p w14:paraId="2E866F77" w14:textId="77777777" w:rsidR="003C458C" w:rsidRPr="00320E60"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14:paraId="766EEB83" w14:textId="77777777" w:rsidR="003C458C" w:rsidRPr="00320E60"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14:paraId="184E0524" w14:textId="77777777" w:rsidR="003C458C" w:rsidRPr="00320E60"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14:paraId="0427F5FF" w14:textId="77777777" w:rsidR="003C458C" w:rsidRPr="00320E60"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937" w:type="dxa"/>
            <w:vAlign w:val="center"/>
          </w:tcPr>
          <w:p w14:paraId="0C14E8CB" w14:textId="77777777" w:rsidR="003C458C" w:rsidRPr="00320E60"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3C458C" w:rsidRPr="00320E60" w14:paraId="0D4F971A" w14:textId="77777777" w:rsidTr="00A73B7E">
        <w:trPr>
          <w:trHeight w:val="624"/>
        </w:trPr>
        <w:tc>
          <w:tcPr>
            <w:tcW w:w="2127" w:type="dxa"/>
            <w:vMerge/>
            <w:vAlign w:val="center"/>
          </w:tcPr>
          <w:p w14:paraId="64F1BD08" w14:textId="77777777" w:rsidR="003C458C" w:rsidRPr="00320E60" w:rsidRDefault="003C458C" w:rsidP="000C1ED9">
            <w:pPr>
              <w:rPr>
                <w:rFonts w:ascii="Times New Roman" w:hAnsi="Times New Roman" w:cs="Times New Roman"/>
                <w:color w:val="000000" w:themeColor="text1"/>
              </w:rPr>
            </w:pPr>
          </w:p>
        </w:tc>
        <w:tc>
          <w:tcPr>
            <w:tcW w:w="992" w:type="dxa"/>
            <w:vAlign w:val="center"/>
          </w:tcPr>
          <w:p w14:paraId="28EDC4E2" w14:textId="77777777" w:rsidR="003C458C" w:rsidRPr="00320E60" w:rsidDel="00D14904"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vAlign w:val="center"/>
          </w:tcPr>
          <w:p w14:paraId="44A6D7EF"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244 800,00</w:t>
            </w:r>
          </w:p>
        </w:tc>
        <w:tc>
          <w:tcPr>
            <w:tcW w:w="1276" w:type="dxa"/>
            <w:vAlign w:val="center"/>
          </w:tcPr>
          <w:p w14:paraId="4FB6D0C1"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174 420,00</w:t>
            </w:r>
          </w:p>
        </w:tc>
        <w:tc>
          <w:tcPr>
            <w:tcW w:w="1276" w:type="dxa"/>
            <w:gridSpan w:val="2"/>
            <w:vAlign w:val="center"/>
          </w:tcPr>
          <w:p w14:paraId="3373494A"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58 140,00</w:t>
            </w:r>
          </w:p>
        </w:tc>
        <w:tc>
          <w:tcPr>
            <w:tcW w:w="1495" w:type="dxa"/>
            <w:gridSpan w:val="3"/>
            <w:vAlign w:val="center"/>
          </w:tcPr>
          <w:p w14:paraId="68CF792B"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12 240,00</w:t>
            </w:r>
          </w:p>
        </w:tc>
        <w:tc>
          <w:tcPr>
            <w:tcW w:w="937" w:type="dxa"/>
            <w:vAlign w:val="center"/>
          </w:tcPr>
          <w:p w14:paraId="7A6845ED"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3C458C" w:rsidRPr="00320E60" w14:paraId="41A099AA" w14:textId="77777777" w:rsidTr="00A73B7E">
        <w:trPr>
          <w:trHeight w:val="624"/>
        </w:trPr>
        <w:tc>
          <w:tcPr>
            <w:tcW w:w="2127" w:type="dxa"/>
            <w:vMerge/>
            <w:vAlign w:val="center"/>
          </w:tcPr>
          <w:p w14:paraId="4164799E" w14:textId="77777777" w:rsidR="003C458C" w:rsidRPr="00320E60" w:rsidRDefault="003C458C" w:rsidP="000C1ED9">
            <w:pPr>
              <w:rPr>
                <w:rFonts w:ascii="Times New Roman" w:hAnsi="Times New Roman" w:cs="Times New Roman"/>
                <w:color w:val="000000" w:themeColor="text1"/>
              </w:rPr>
            </w:pPr>
          </w:p>
        </w:tc>
        <w:tc>
          <w:tcPr>
            <w:tcW w:w="992" w:type="dxa"/>
            <w:vAlign w:val="center"/>
          </w:tcPr>
          <w:p w14:paraId="469A6C94" w14:textId="77777777" w:rsidR="003C458C" w:rsidRPr="00320E60" w:rsidDel="00D14904"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vAlign w:val="center"/>
          </w:tcPr>
          <w:p w14:paraId="2D443CDD"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14:paraId="2DDFAE9F"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gridSpan w:val="2"/>
            <w:vAlign w:val="center"/>
          </w:tcPr>
          <w:p w14:paraId="793AD669"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495" w:type="dxa"/>
            <w:gridSpan w:val="3"/>
            <w:vAlign w:val="center"/>
          </w:tcPr>
          <w:p w14:paraId="61407360"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37" w:type="dxa"/>
            <w:vAlign w:val="center"/>
          </w:tcPr>
          <w:p w14:paraId="0097262F"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3C458C" w:rsidRPr="00320E60" w14:paraId="51870F5A" w14:textId="77777777" w:rsidTr="00A73B7E">
        <w:trPr>
          <w:trHeight w:val="624"/>
        </w:trPr>
        <w:tc>
          <w:tcPr>
            <w:tcW w:w="2127" w:type="dxa"/>
            <w:vMerge/>
            <w:vAlign w:val="center"/>
          </w:tcPr>
          <w:p w14:paraId="4933D843" w14:textId="77777777" w:rsidR="003C458C" w:rsidRPr="00320E60" w:rsidRDefault="003C458C" w:rsidP="000C1ED9">
            <w:pPr>
              <w:rPr>
                <w:rFonts w:ascii="Times New Roman" w:hAnsi="Times New Roman" w:cs="Times New Roman"/>
                <w:color w:val="000000" w:themeColor="text1"/>
              </w:rPr>
            </w:pPr>
          </w:p>
        </w:tc>
        <w:tc>
          <w:tcPr>
            <w:tcW w:w="992" w:type="dxa"/>
            <w:vAlign w:val="center"/>
          </w:tcPr>
          <w:p w14:paraId="64FC6EE9" w14:textId="77777777" w:rsidR="003C458C" w:rsidRPr="00320E60" w:rsidDel="00D14904" w:rsidRDefault="003C458C" w:rsidP="000C1ED9">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vAlign w:val="center"/>
          </w:tcPr>
          <w:p w14:paraId="4337C20D"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244 800,00</w:t>
            </w:r>
          </w:p>
        </w:tc>
        <w:tc>
          <w:tcPr>
            <w:tcW w:w="1276" w:type="dxa"/>
            <w:vAlign w:val="center"/>
          </w:tcPr>
          <w:p w14:paraId="4D1C4BA8"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174 420,00</w:t>
            </w:r>
          </w:p>
        </w:tc>
        <w:tc>
          <w:tcPr>
            <w:tcW w:w="1276" w:type="dxa"/>
            <w:gridSpan w:val="2"/>
            <w:vAlign w:val="center"/>
          </w:tcPr>
          <w:p w14:paraId="518F4B30"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58 140,00</w:t>
            </w:r>
          </w:p>
        </w:tc>
        <w:tc>
          <w:tcPr>
            <w:tcW w:w="1495" w:type="dxa"/>
            <w:gridSpan w:val="3"/>
            <w:vAlign w:val="center"/>
          </w:tcPr>
          <w:p w14:paraId="01446481" w14:textId="77777777" w:rsidR="003C458C" w:rsidRPr="00320E60" w:rsidRDefault="000540E5" w:rsidP="000C1ED9">
            <w:pPr>
              <w:jc w:val="right"/>
              <w:rPr>
                <w:rFonts w:ascii="Times New Roman" w:hAnsi="Times New Roman" w:cs="Times New Roman"/>
                <w:color w:val="000000" w:themeColor="text1"/>
              </w:rPr>
            </w:pPr>
            <w:r>
              <w:rPr>
                <w:rFonts w:ascii="Times New Roman" w:hAnsi="Times New Roman" w:cs="Times New Roman"/>
                <w:color w:val="000000" w:themeColor="text1"/>
              </w:rPr>
              <w:t>12 240,00</w:t>
            </w:r>
          </w:p>
        </w:tc>
        <w:tc>
          <w:tcPr>
            <w:tcW w:w="937" w:type="dxa"/>
            <w:vAlign w:val="center"/>
          </w:tcPr>
          <w:p w14:paraId="37D06A34" w14:textId="77777777" w:rsidR="003C458C" w:rsidRPr="00320E60" w:rsidRDefault="003C458C" w:rsidP="000C1ED9">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3C458C" w:rsidRPr="00A1636E" w14:paraId="0D24B47C" w14:textId="77777777" w:rsidTr="00A73B7E">
        <w:trPr>
          <w:trHeight w:val="624"/>
        </w:trPr>
        <w:tc>
          <w:tcPr>
            <w:tcW w:w="2127" w:type="dxa"/>
            <w:vAlign w:val="center"/>
          </w:tcPr>
          <w:p w14:paraId="4564D96B" w14:textId="77777777" w:rsidR="003C458C" w:rsidRPr="00A1636E" w:rsidRDefault="003C458C" w:rsidP="000C1ED9">
            <w:pPr>
              <w:rPr>
                <w:rFonts w:ascii="Times New Roman" w:hAnsi="Times New Roman" w:cs="Times New Roman"/>
              </w:rPr>
            </w:pPr>
            <w:r w:rsidRPr="00A1636E">
              <w:rPr>
                <w:rFonts w:ascii="Times New Roman" w:hAnsi="Times New Roman" w:cs="Times New Roman"/>
              </w:rPr>
              <w:t xml:space="preserve">Princípy pre stanovenie </w:t>
            </w:r>
            <w:r w:rsidRPr="00A1636E">
              <w:rPr>
                <w:rFonts w:ascii="Times New Roman" w:hAnsi="Times New Roman" w:cs="Times New Roman"/>
              </w:rPr>
              <w:lastRenderedPageBreak/>
              <w:t>výberových a </w:t>
            </w:r>
          </w:p>
          <w:p w14:paraId="48F5C306" w14:textId="77777777" w:rsidR="003C458C" w:rsidRPr="00A1636E" w:rsidRDefault="003C458C" w:rsidP="000C1ED9">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4"/>
            </w:r>
          </w:p>
        </w:tc>
        <w:tc>
          <w:tcPr>
            <w:tcW w:w="7393" w:type="dxa"/>
            <w:gridSpan w:val="9"/>
            <w:vAlign w:val="center"/>
          </w:tcPr>
          <w:p w14:paraId="17479F43" w14:textId="77777777" w:rsidR="003C458C" w:rsidRDefault="003C458C" w:rsidP="000C1ED9">
            <w:pPr>
              <w:rPr>
                <w:rFonts w:ascii="Times New Roman" w:hAnsi="Times New Roman" w:cs="Times New Roman"/>
                <w:i/>
              </w:rPr>
            </w:pPr>
            <w:r>
              <w:rPr>
                <w:rFonts w:ascii="Times New Roman" w:hAnsi="Times New Roman" w:cs="Times New Roman"/>
                <w:i/>
              </w:rPr>
              <w:lastRenderedPageBreak/>
              <w:t>v súlade s PRV</w:t>
            </w:r>
            <w:r w:rsidRPr="009707A1">
              <w:rPr>
                <w:rFonts w:ascii="Times New Roman" w:hAnsi="Times New Roman" w:cs="Times New Roman"/>
                <w:i/>
              </w:rPr>
              <w:t xml:space="preserve">, vlastné </w:t>
            </w:r>
          </w:p>
          <w:p w14:paraId="31B59E43" w14:textId="77777777" w:rsidR="003C458C" w:rsidRPr="006554AE" w:rsidRDefault="003C458C" w:rsidP="00A73B7E">
            <w:pPr>
              <w:spacing w:after="60"/>
              <w:rPr>
                <w:rFonts w:ascii="Times New Roman" w:hAnsi="Times New Roman" w:cs="Times New Roman"/>
                <w:b/>
                <w:i/>
                <w:sz w:val="24"/>
                <w:szCs w:val="24"/>
              </w:rPr>
            </w:pPr>
            <w:r w:rsidRPr="006554AE">
              <w:rPr>
                <w:rFonts w:ascii="Times New Roman" w:hAnsi="Times New Roman" w:cs="Times New Roman"/>
                <w:b/>
                <w:i/>
                <w:sz w:val="24"/>
                <w:szCs w:val="24"/>
              </w:rPr>
              <w:t>Zvýhodňované budú nasledovné projekty:</w:t>
            </w:r>
          </w:p>
          <w:p w14:paraId="1F8550C6" w14:textId="77777777" w:rsidR="003C458C" w:rsidRPr="006554AE" w:rsidRDefault="003C458C" w:rsidP="00A73B7E">
            <w:pPr>
              <w:spacing w:after="60"/>
              <w:rPr>
                <w:rFonts w:ascii="Times New Roman" w:hAnsi="Times New Roman" w:cs="Times New Roman"/>
                <w:i/>
                <w:sz w:val="24"/>
                <w:szCs w:val="24"/>
              </w:rPr>
            </w:pPr>
            <w:r w:rsidRPr="006554AE">
              <w:rPr>
                <w:rFonts w:ascii="Times New Roman" w:hAnsi="Times New Roman" w:cs="Times New Roman"/>
                <w:i/>
                <w:sz w:val="24"/>
                <w:szCs w:val="24"/>
              </w:rPr>
              <w:lastRenderedPageBreak/>
              <w:t>- súvisiace s ekonomickým rozvojom alebo kombinujúce viacero akcií vytvárajúcich konkrétne podmienky pre ekonomický rozvoj vidieckych obcí</w:t>
            </w:r>
          </w:p>
          <w:p w14:paraId="58788D00" w14:textId="77777777" w:rsidR="003C458C" w:rsidRPr="006554AE" w:rsidRDefault="003C458C" w:rsidP="00A73B7E">
            <w:pPr>
              <w:spacing w:after="60"/>
              <w:rPr>
                <w:rFonts w:ascii="Times New Roman" w:hAnsi="Times New Roman" w:cs="Times New Roman"/>
                <w:i/>
                <w:sz w:val="24"/>
                <w:szCs w:val="24"/>
              </w:rPr>
            </w:pPr>
            <w:r w:rsidRPr="006554AE">
              <w:rPr>
                <w:rFonts w:ascii="Times New Roman" w:hAnsi="Times New Roman" w:cs="Times New Roman"/>
                <w:i/>
                <w:sz w:val="24"/>
                <w:szCs w:val="24"/>
              </w:rPr>
              <w:t>- riešiace začleňovanie marginalizovaných skupín</w:t>
            </w:r>
          </w:p>
          <w:p w14:paraId="23C6275F" w14:textId="77777777" w:rsidR="003C458C" w:rsidRPr="006554AE" w:rsidRDefault="003C458C" w:rsidP="00A73B7E">
            <w:pPr>
              <w:jc w:val="both"/>
              <w:rPr>
                <w:rFonts w:ascii="Times New Roman" w:eastAsia="SimSun" w:hAnsi="Times New Roman" w:cs="Mangal"/>
                <w:i/>
                <w:kern w:val="3"/>
                <w:sz w:val="24"/>
                <w:szCs w:val="24"/>
                <w:lang w:eastAsia="zh-CN" w:bidi="hi-IN"/>
              </w:rPr>
            </w:pPr>
            <w:r w:rsidRPr="006554AE">
              <w:rPr>
                <w:rFonts w:ascii="Times New Roman" w:eastAsia="SimSun" w:hAnsi="Times New Roman" w:cs="Mangal"/>
                <w:i/>
                <w:kern w:val="3"/>
                <w:sz w:val="24"/>
                <w:szCs w:val="24"/>
                <w:lang w:eastAsia="zh-CN" w:bidi="hi-IN"/>
              </w:rPr>
              <w:t>- vykazujúce inovatívne znaky či využívanie inovatívnych prvkov príp. technológií najmä v oblasti ochrany životného prostredia</w:t>
            </w:r>
          </w:p>
          <w:p w14:paraId="03E13059" w14:textId="77777777" w:rsidR="003C458C" w:rsidRPr="006554AE" w:rsidRDefault="003C458C" w:rsidP="00A73B7E">
            <w:pPr>
              <w:jc w:val="both"/>
              <w:rPr>
                <w:rFonts w:ascii="Times New Roman" w:eastAsia="SimSun" w:hAnsi="Times New Roman" w:cs="Mangal"/>
                <w:i/>
                <w:kern w:val="3"/>
                <w:sz w:val="24"/>
                <w:szCs w:val="24"/>
                <w:lang w:eastAsia="zh-CN" w:bidi="hi-IN"/>
              </w:rPr>
            </w:pPr>
            <w:r w:rsidRPr="006554AE">
              <w:rPr>
                <w:rFonts w:ascii="Times New Roman" w:hAnsi="Times New Roman" w:cs="Times New Roman"/>
                <w:i/>
                <w:sz w:val="24"/>
                <w:szCs w:val="24"/>
              </w:rPr>
              <w:t>- riešiace využitie OZE</w:t>
            </w:r>
          </w:p>
          <w:p w14:paraId="710868B9" w14:textId="77777777" w:rsidR="003C458C" w:rsidRPr="006554AE" w:rsidRDefault="003C458C" w:rsidP="00A73B7E">
            <w:pPr>
              <w:jc w:val="both"/>
              <w:rPr>
                <w:rFonts w:ascii="Times New Roman" w:hAnsi="Times New Roman" w:cs="Times New Roman"/>
                <w:i/>
                <w:sz w:val="24"/>
                <w:szCs w:val="24"/>
              </w:rPr>
            </w:pPr>
            <w:r w:rsidRPr="006554AE">
              <w:rPr>
                <w:rFonts w:ascii="Times New Roman" w:hAnsi="Times New Roman" w:cs="Times New Roman"/>
                <w:i/>
                <w:sz w:val="24"/>
                <w:szCs w:val="24"/>
              </w:rPr>
              <w:t>- riešiace úspory energie</w:t>
            </w:r>
          </w:p>
          <w:p w14:paraId="6AA6695B" w14:textId="77777777" w:rsidR="003C458C" w:rsidRPr="009707A1" w:rsidRDefault="003C458C" w:rsidP="00A73B7E">
            <w:pPr>
              <w:rPr>
                <w:rFonts w:ascii="Times New Roman" w:hAnsi="Times New Roman" w:cs="Times New Roman"/>
              </w:rPr>
            </w:pPr>
            <w:r w:rsidRPr="006554AE">
              <w:rPr>
                <w:rFonts w:ascii="Times New Roman" w:hAnsi="Times New Roman" w:cs="Times New Roman"/>
                <w:i/>
                <w:sz w:val="24"/>
                <w:szCs w:val="24"/>
              </w:rPr>
              <w:t>- so znakmi integrovaného projektu (napr. má dokázateľnú prepojiteľnosť na iné projekty) alebo synergický efekt</w:t>
            </w:r>
          </w:p>
        </w:tc>
      </w:tr>
      <w:tr w:rsidR="003C458C" w:rsidRPr="00A1636E" w14:paraId="20DFC761" w14:textId="77777777" w:rsidTr="00A73B7E">
        <w:trPr>
          <w:trHeight w:val="624"/>
        </w:trPr>
        <w:tc>
          <w:tcPr>
            <w:tcW w:w="2127" w:type="dxa"/>
            <w:vAlign w:val="center"/>
          </w:tcPr>
          <w:p w14:paraId="542CA627" w14:textId="77777777" w:rsidR="003C458C" w:rsidRPr="00A1636E" w:rsidRDefault="003C458C" w:rsidP="000C1ED9">
            <w:pPr>
              <w:rPr>
                <w:rFonts w:ascii="Times New Roman" w:hAnsi="Times New Roman" w:cs="Times New Roman"/>
              </w:rPr>
            </w:pPr>
            <w:r>
              <w:rPr>
                <w:rFonts w:ascii="Times New Roman" w:hAnsi="Times New Roman" w:cs="Times New Roman"/>
              </w:rPr>
              <w:lastRenderedPageBreak/>
              <w:t>Povinné prílohy stanovené MAS</w:t>
            </w:r>
            <w:r>
              <w:rPr>
                <w:rStyle w:val="Odkaznapoznmkupodiarou"/>
                <w:rFonts w:ascii="Times New Roman" w:hAnsi="Times New Roman" w:cs="Times New Roman"/>
              </w:rPr>
              <w:footnoteReference w:id="5"/>
            </w:r>
          </w:p>
        </w:tc>
        <w:tc>
          <w:tcPr>
            <w:tcW w:w="7393" w:type="dxa"/>
            <w:gridSpan w:val="9"/>
            <w:vAlign w:val="center"/>
          </w:tcPr>
          <w:p w14:paraId="4FEF0D58" w14:textId="77777777" w:rsidR="003C458C" w:rsidRPr="00D0587E" w:rsidRDefault="003C458C" w:rsidP="000C1ED9">
            <w:pPr>
              <w:rPr>
                <w:rFonts w:ascii="Times New Roman" w:hAnsi="Times New Roman" w:cs="Times New Roman"/>
                <w:i/>
              </w:rPr>
            </w:pPr>
            <w:r w:rsidRPr="00D0587E">
              <w:rPr>
                <w:rFonts w:ascii="Times New Roman" w:hAnsi="Times New Roman" w:cs="Times New Roman"/>
                <w:i/>
              </w:rPr>
              <w:t>žiadne</w:t>
            </w:r>
          </w:p>
        </w:tc>
      </w:tr>
      <w:tr w:rsidR="003C458C" w:rsidRPr="009707A1" w14:paraId="49163A21" w14:textId="77777777" w:rsidTr="00A73B7E">
        <w:trPr>
          <w:trHeight w:val="624"/>
        </w:trPr>
        <w:tc>
          <w:tcPr>
            <w:tcW w:w="2127" w:type="dxa"/>
            <w:vMerge w:val="restart"/>
            <w:vAlign w:val="center"/>
          </w:tcPr>
          <w:p w14:paraId="43F0A8FB" w14:textId="77777777" w:rsidR="003C458C" w:rsidRPr="00A1636E" w:rsidRDefault="003C458C" w:rsidP="000C1ED9">
            <w:pPr>
              <w:rPr>
                <w:rFonts w:ascii="Times New Roman" w:hAnsi="Times New Roman" w:cs="Times New Roman"/>
              </w:rPr>
            </w:pPr>
            <w:r w:rsidRPr="00A1636E">
              <w:rPr>
                <w:rFonts w:ascii="Times New Roman" w:hAnsi="Times New Roman" w:cs="Times New Roman"/>
              </w:rPr>
              <w:t>Merateľné ukazovatele projektu</w:t>
            </w:r>
          </w:p>
        </w:tc>
        <w:tc>
          <w:tcPr>
            <w:tcW w:w="992" w:type="dxa"/>
            <w:vAlign w:val="center"/>
          </w:tcPr>
          <w:p w14:paraId="028F8FBC" w14:textId="77777777" w:rsidR="003C458C" w:rsidRPr="00A1636E" w:rsidRDefault="003C458C" w:rsidP="000C1ED9">
            <w:pPr>
              <w:jc w:val="center"/>
              <w:rPr>
                <w:rFonts w:ascii="Times New Roman" w:hAnsi="Times New Roman" w:cs="Times New Roman"/>
                <w:i/>
              </w:rPr>
            </w:pPr>
            <w:r w:rsidRPr="00A1636E">
              <w:rPr>
                <w:rFonts w:ascii="Times New Roman" w:hAnsi="Times New Roman" w:cs="Times New Roman"/>
              </w:rPr>
              <w:t>Kód/ID</w:t>
            </w:r>
          </w:p>
        </w:tc>
        <w:tc>
          <w:tcPr>
            <w:tcW w:w="2855" w:type="dxa"/>
            <w:gridSpan w:val="3"/>
            <w:vAlign w:val="center"/>
          </w:tcPr>
          <w:p w14:paraId="5889DE03" w14:textId="77777777" w:rsidR="003C458C" w:rsidRPr="00A1636E" w:rsidRDefault="003C458C" w:rsidP="000C1ED9">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14:paraId="3C16F435" w14:textId="77777777" w:rsidR="003C458C" w:rsidRPr="00A1636E" w:rsidRDefault="003C458C" w:rsidP="000C1ED9">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14:paraId="57A35AF0" w14:textId="77777777" w:rsidR="003C458C" w:rsidRPr="00A1636E" w:rsidRDefault="003C458C" w:rsidP="000C1ED9">
            <w:pPr>
              <w:jc w:val="center"/>
              <w:rPr>
                <w:rFonts w:ascii="Times New Roman" w:hAnsi="Times New Roman" w:cs="Times New Roman"/>
                <w:i/>
              </w:rPr>
            </w:pPr>
            <w:r w:rsidRPr="00A1636E">
              <w:rPr>
                <w:rFonts w:ascii="Times New Roman" w:hAnsi="Times New Roman" w:cs="Times New Roman"/>
              </w:rPr>
              <w:t>Počiatočná hodnota</w:t>
            </w:r>
          </w:p>
        </w:tc>
        <w:tc>
          <w:tcPr>
            <w:tcW w:w="1129" w:type="dxa"/>
            <w:gridSpan w:val="2"/>
            <w:vAlign w:val="center"/>
          </w:tcPr>
          <w:p w14:paraId="30E4802E" w14:textId="77777777" w:rsidR="003C458C" w:rsidRPr="00A1636E" w:rsidRDefault="003C458C" w:rsidP="000C1ED9">
            <w:pPr>
              <w:jc w:val="center"/>
              <w:rPr>
                <w:rFonts w:ascii="Times New Roman" w:hAnsi="Times New Roman" w:cs="Times New Roman"/>
                <w:i/>
              </w:rPr>
            </w:pPr>
            <w:r w:rsidRPr="00A1636E">
              <w:rPr>
                <w:rFonts w:ascii="Times New Roman" w:hAnsi="Times New Roman" w:cs="Times New Roman"/>
              </w:rPr>
              <w:t>Celková cieľová hodnota</w:t>
            </w:r>
          </w:p>
        </w:tc>
      </w:tr>
      <w:tr w:rsidR="003C458C" w:rsidRPr="009707A1" w14:paraId="5235A63F" w14:textId="77777777" w:rsidTr="00A73B7E">
        <w:trPr>
          <w:trHeight w:val="624"/>
        </w:trPr>
        <w:tc>
          <w:tcPr>
            <w:tcW w:w="2127" w:type="dxa"/>
            <w:vMerge/>
            <w:vAlign w:val="center"/>
          </w:tcPr>
          <w:p w14:paraId="74C0E086" w14:textId="77777777" w:rsidR="003C458C" w:rsidRPr="00320E60" w:rsidRDefault="003C458C" w:rsidP="000C1ED9">
            <w:pPr>
              <w:spacing w:after="200" w:line="276" w:lineRule="auto"/>
              <w:rPr>
                <w:rFonts w:ascii="Times New Roman" w:hAnsi="Times New Roman" w:cs="Times New Roman"/>
              </w:rPr>
            </w:pPr>
          </w:p>
        </w:tc>
        <w:tc>
          <w:tcPr>
            <w:tcW w:w="992" w:type="dxa"/>
            <w:vAlign w:val="center"/>
          </w:tcPr>
          <w:p w14:paraId="26725B09" w14:textId="77777777" w:rsidR="003C458C" w:rsidRPr="00354801" w:rsidRDefault="003C458C" w:rsidP="000C1ED9">
            <w:pPr>
              <w:spacing w:after="200" w:line="276" w:lineRule="auto"/>
              <w:jc w:val="right"/>
              <w:rPr>
                <w:rFonts w:ascii="Times New Roman" w:hAnsi="Times New Roman" w:cs="Times New Roman"/>
              </w:rPr>
            </w:pPr>
            <w:r w:rsidRPr="00354801">
              <w:rPr>
                <w:rFonts w:ascii="Times New Roman" w:hAnsi="Times New Roman" w:cs="Times New Roman"/>
              </w:rPr>
              <w:t>7.4</w:t>
            </w:r>
          </w:p>
        </w:tc>
        <w:tc>
          <w:tcPr>
            <w:tcW w:w="2855" w:type="dxa"/>
            <w:gridSpan w:val="3"/>
            <w:vAlign w:val="center"/>
          </w:tcPr>
          <w:p w14:paraId="0C1B208B" w14:textId="77777777" w:rsidR="003C458C" w:rsidRPr="00354801" w:rsidRDefault="003C458C" w:rsidP="00A73B7E">
            <w:pPr>
              <w:spacing w:after="200" w:line="276" w:lineRule="auto"/>
              <w:rPr>
                <w:rFonts w:ascii="Times New Roman" w:hAnsi="Times New Roman" w:cs="Times New Roman"/>
              </w:rPr>
            </w:pPr>
            <w:r w:rsidRPr="00354801">
              <w:rPr>
                <w:rFonts w:ascii="Times New Roman" w:hAnsi="Times New Roman" w:cs="Times New Roman"/>
                <w:bCs/>
              </w:rPr>
              <w:t>Počet podporených športovísk, detských ihrísk a amfiteátrov</w:t>
            </w:r>
          </w:p>
        </w:tc>
        <w:tc>
          <w:tcPr>
            <w:tcW w:w="1155" w:type="dxa"/>
            <w:gridSpan w:val="2"/>
            <w:vAlign w:val="center"/>
          </w:tcPr>
          <w:p w14:paraId="07BC37C9" w14:textId="77777777" w:rsidR="003C458C" w:rsidRPr="00354801" w:rsidRDefault="003C458C" w:rsidP="00354801">
            <w:pPr>
              <w:spacing w:after="200" w:line="276" w:lineRule="auto"/>
              <w:jc w:val="right"/>
              <w:rPr>
                <w:rFonts w:ascii="Times New Roman" w:hAnsi="Times New Roman" w:cs="Times New Roman"/>
              </w:rPr>
            </w:pPr>
            <w:r w:rsidRPr="00354801">
              <w:rPr>
                <w:rFonts w:ascii="Times New Roman" w:hAnsi="Times New Roman" w:cs="Times New Roman"/>
              </w:rPr>
              <w:t>počet</w:t>
            </w:r>
          </w:p>
        </w:tc>
        <w:tc>
          <w:tcPr>
            <w:tcW w:w="1262" w:type="dxa"/>
            <w:vAlign w:val="center"/>
          </w:tcPr>
          <w:p w14:paraId="5AB4D1D7" w14:textId="77777777" w:rsidR="003C458C" w:rsidRPr="00354801" w:rsidRDefault="003C458C" w:rsidP="000C1ED9">
            <w:pPr>
              <w:spacing w:after="200" w:line="276" w:lineRule="auto"/>
              <w:jc w:val="right"/>
              <w:rPr>
                <w:rFonts w:ascii="Times New Roman" w:hAnsi="Times New Roman" w:cs="Times New Roman"/>
              </w:rPr>
            </w:pPr>
            <w:r w:rsidRPr="00354801">
              <w:rPr>
                <w:rFonts w:ascii="Times New Roman" w:hAnsi="Times New Roman" w:cs="Times New Roman"/>
              </w:rPr>
              <w:t>0</w:t>
            </w:r>
          </w:p>
        </w:tc>
        <w:tc>
          <w:tcPr>
            <w:tcW w:w="1129" w:type="dxa"/>
            <w:gridSpan w:val="2"/>
            <w:vAlign w:val="center"/>
          </w:tcPr>
          <w:p w14:paraId="65E30B4E" w14:textId="77777777" w:rsidR="003C458C" w:rsidRPr="002C6C80" w:rsidRDefault="00162E25" w:rsidP="000C1ED9">
            <w:pPr>
              <w:spacing w:after="200" w:line="276" w:lineRule="auto"/>
              <w:jc w:val="right"/>
              <w:rPr>
                <w:rFonts w:ascii="Times New Roman" w:hAnsi="Times New Roman" w:cs="Times New Roman"/>
                <w:i/>
              </w:rPr>
            </w:pPr>
            <w:r>
              <w:rPr>
                <w:rFonts w:ascii="Times New Roman" w:hAnsi="Times New Roman" w:cs="Times New Roman"/>
                <w:i/>
              </w:rPr>
              <w:t>3</w:t>
            </w:r>
          </w:p>
        </w:tc>
      </w:tr>
      <w:tr w:rsidR="003C458C" w:rsidRPr="009707A1" w14:paraId="338C3EA2" w14:textId="77777777" w:rsidTr="00A73B7E">
        <w:trPr>
          <w:trHeight w:val="624"/>
        </w:trPr>
        <w:tc>
          <w:tcPr>
            <w:tcW w:w="2127" w:type="dxa"/>
            <w:vMerge/>
            <w:vAlign w:val="center"/>
          </w:tcPr>
          <w:p w14:paraId="6F37A2D7" w14:textId="77777777" w:rsidR="003C458C" w:rsidRPr="00320E60" w:rsidRDefault="003C458C" w:rsidP="000C1ED9">
            <w:pPr>
              <w:rPr>
                <w:rFonts w:ascii="Times New Roman" w:hAnsi="Times New Roman" w:cs="Times New Roman"/>
              </w:rPr>
            </w:pPr>
          </w:p>
        </w:tc>
        <w:tc>
          <w:tcPr>
            <w:tcW w:w="992" w:type="dxa"/>
            <w:vAlign w:val="center"/>
          </w:tcPr>
          <w:p w14:paraId="446EF7C9" w14:textId="77777777" w:rsidR="003C458C" w:rsidRPr="00354801" w:rsidRDefault="003C458C" w:rsidP="000C1ED9">
            <w:pPr>
              <w:jc w:val="right"/>
              <w:rPr>
                <w:rFonts w:ascii="Times New Roman" w:hAnsi="Times New Roman" w:cs="Times New Roman"/>
              </w:rPr>
            </w:pPr>
            <w:r w:rsidRPr="00354801">
              <w:rPr>
                <w:rFonts w:ascii="Times New Roman" w:hAnsi="Times New Roman" w:cs="Times New Roman"/>
              </w:rPr>
              <w:t>7.4</w:t>
            </w:r>
          </w:p>
        </w:tc>
        <w:tc>
          <w:tcPr>
            <w:tcW w:w="2855" w:type="dxa"/>
            <w:gridSpan w:val="3"/>
            <w:vAlign w:val="center"/>
          </w:tcPr>
          <w:p w14:paraId="7024A03A" w14:textId="77777777" w:rsidR="003C458C" w:rsidRPr="00354801" w:rsidRDefault="003C458C" w:rsidP="003C458C">
            <w:pPr>
              <w:rPr>
                <w:rFonts w:ascii="Times New Roman" w:hAnsi="Times New Roman" w:cs="Times New Roman"/>
              </w:rPr>
            </w:pPr>
            <w:r w:rsidRPr="00354801">
              <w:rPr>
                <w:rFonts w:ascii="Times New Roman" w:hAnsi="Times New Roman" w:cs="Times New Roman"/>
                <w:bCs/>
              </w:rPr>
              <w:t>Počet zrekonštruovaných nevyužívaných objektov v obci</w:t>
            </w:r>
            <w:r w:rsidR="00162E25">
              <w:rPr>
                <w:rFonts w:ascii="Times New Roman" w:hAnsi="Times New Roman" w:cs="Times New Roman"/>
                <w:bCs/>
              </w:rPr>
              <w:t xml:space="preserve"> vrátane kultúrnych domov</w:t>
            </w:r>
          </w:p>
        </w:tc>
        <w:tc>
          <w:tcPr>
            <w:tcW w:w="1155" w:type="dxa"/>
            <w:gridSpan w:val="2"/>
            <w:vAlign w:val="center"/>
          </w:tcPr>
          <w:p w14:paraId="4823B27A" w14:textId="77777777" w:rsidR="003C458C" w:rsidRPr="00354801" w:rsidRDefault="003C458C" w:rsidP="000C1ED9">
            <w:pPr>
              <w:jc w:val="right"/>
              <w:rPr>
                <w:rFonts w:ascii="Times New Roman" w:hAnsi="Times New Roman" w:cs="Times New Roman"/>
              </w:rPr>
            </w:pPr>
            <w:r>
              <w:rPr>
                <w:rFonts w:ascii="Times New Roman" w:hAnsi="Times New Roman" w:cs="Times New Roman"/>
              </w:rPr>
              <w:t>počet</w:t>
            </w:r>
          </w:p>
        </w:tc>
        <w:tc>
          <w:tcPr>
            <w:tcW w:w="1262" w:type="dxa"/>
            <w:vAlign w:val="center"/>
          </w:tcPr>
          <w:p w14:paraId="1C82D142" w14:textId="77777777" w:rsidR="003C458C" w:rsidRPr="00354801" w:rsidRDefault="003C458C" w:rsidP="000C1ED9">
            <w:pPr>
              <w:jc w:val="right"/>
              <w:rPr>
                <w:rFonts w:ascii="Times New Roman" w:hAnsi="Times New Roman" w:cs="Times New Roman"/>
              </w:rPr>
            </w:pPr>
            <w:r w:rsidRPr="00354801">
              <w:rPr>
                <w:rFonts w:ascii="Times New Roman" w:hAnsi="Times New Roman" w:cs="Times New Roman"/>
              </w:rPr>
              <w:t>0</w:t>
            </w:r>
          </w:p>
        </w:tc>
        <w:tc>
          <w:tcPr>
            <w:tcW w:w="1129" w:type="dxa"/>
            <w:gridSpan w:val="2"/>
            <w:vAlign w:val="center"/>
          </w:tcPr>
          <w:p w14:paraId="61A289C5" w14:textId="77777777" w:rsidR="003C458C" w:rsidRPr="002C6C80" w:rsidRDefault="00162E25" w:rsidP="000C1ED9">
            <w:pPr>
              <w:jc w:val="right"/>
              <w:rPr>
                <w:rFonts w:ascii="Times New Roman" w:hAnsi="Times New Roman" w:cs="Times New Roman"/>
                <w:i/>
              </w:rPr>
            </w:pPr>
            <w:r>
              <w:rPr>
                <w:rFonts w:ascii="Times New Roman" w:hAnsi="Times New Roman" w:cs="Times New Roman"/>
                <w:i/>
              </w:rPr>
              <w:t>6</w:t>
            </w:r>
          </w:p>
        </w:tc>
      </w:tr>
      <w:tr w:rsidR="003C458C" w:rsidRPr="009707A1" w14:paraId="3868D89A" w14:textId="77777777" w:rsidTr="00A73B7E">
        <w:trPr>
          <w:trHeight w:val="624"/>
        </w:trPr>
        <w:tc>
          <w:tcPr>
            <w:tcW w:w="2127" w:type="dxa"/>
            <w:vAlign w:val="center"/>
          </w:tcPr>
          <w:p w14:paraId="264B8E31" w14:textId="77777777" w:rsidR="003C458C" w:rsidRPr="00A1636E" w:rsidRDefault="003C458C" w:rsidP="000C1ED9">
            <w:pPr>
              <w:rPr>
                <w:rFonts w:ascii="Times New Roman" w:hAnsi="Times New Roman" w:cs="Times New Roman"/>
              </w:rPr>
            </w:pPr>
            <w:r w:rsidRPr="00A1636E">
              <w:rPr>
                <w:rFonts w:ascii="Times New Roman" w:hAnsi="Times New Roman" w:cs="Times New Roman"/>
              </w:rPr>
              <w:t>Indikatívny harmonogram výziev</w:t>
            </w:r>
          </w:p>
        </w:tc>
        <w:tc>
          <w:tcPr>
            <w:tcW w:w="7393" w:type="dxa"/>
            <w:gridSpan w:val="9"/>
          </w:tcPr>
          <w:p w14:paraId="3B9AB043" w14:textId="5D5BCD4A" w:rsidR="003C458C" w:rsidRPr="00D0587E" w:rsidRDefault="008640DB" w:rsidP="008640DB">
            <w:pPr>
              <w:jc w:val="both"/>
              <w:rPr>
                <w:rFonts w:ascii="Times New Roman" w:hAnsi="Times New Roman" w:cs="Times New Roman"/>
              </w:rPr>
            </w:pPr>
            <w:r>
              <w:rPr>
                <w:rFonts w:ascii="Times New Roman" w:hAnsi="Times New Roman" w:cs="Times New Roman"/>
                <w:i/>
              </w:rPr>
              <w:t>Január</w:t>
            </w:r>
            <w:r w:rsidRPr="00D0587E">
              <w:rPr>
                <w:rFonts w:ascii="Times New Roman" w:hAnsi="Times New Roman" w:cs="Times New Roman"/>
                <w:i/>
              </w:rPr>
              <w:t xml:space="preserve"> </w:t>
            </w:r>
            <w:r w:rsidR="003C458C" w:rsidRPr="00D0587E">
              <w:rPr>
                <w:rFonts w:ascii="Times New Roman" w:hAnsi="Times New Roman" w:cs="Times New Roman"/>
                <w:i/>
              </w:rPr>
              <w:t>201</w:t>
            </w:r>
            <w:r>
              <w:rPr>
                <w:rFonts w:ascii="Times New Roman" w:hAnsi="Times New Roman" w:cs="Times New Roman"/>
                <w:i/>
              </w:rPr>
              <w:t>8</w:t>
            </w:r>
          </w:p>
        </w:tc>
      </w:tr>
    </w:tbl>
    <w:p w14:paraId="294A52C1" w14:textId="77777777" w:rsidR="000C1ED9" w:rsidRDefault="000C1ED9" w:rsidP="00D2349E">
      <w:pPr>
        <w:spacing w:after="60" w:line="312" w:lineRule="auto"/>
        <w:rPr>
          <w:rFonts w:ascii="Times New Roman" w:hAnsi="Times New Roman" w:cs="Times New Roman"/>
          <w:sz w:val="20"/>
          <w:szCs w:val="24"/>
        </w:rPr>
      </w:pPr>
    </w:p>
    <w:p w14:paraId="2355828B"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5.2.B Opatrenie stratégie CLLD 1.2</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D0587E" w:rsidRPr="00D0587E" w14:paraId="270F9713" w14:textId="77777777" w:rsidTr="007C2A57">
        <w:trPr>
          <w:trHeight w:val="624"/>
        </w:trPr>
        <w:tc>
          <w:tcPr>
            <w:tcW w:w="2127" w:type="dxa"/>
            <w:vAlign w:val="center"/>
          </w:tcPr>
          <w:p w14:paraId="227DCC77"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 xml:space="preserve">Názov opatrenia </w:t>
            </w:r>
          </w:p>
        </w:tc>
        <w:tc>
          <w:tcPr>
            <w:tcW w:w="7393" w:type="dxa"/>
            <w:gridSpan w:val="9"/>
          </w:tcPr>
          <w:p w14:paraId="4F19AD06" w14:textId="77777777" w:rsidR="007C2A57" w:rsidRPr="00D0587E" w:rsidRDefault="007C2A57" w:rsidP="000C1ED9">
            <w:pPr>
              <w:rPr>
                <w:rFonts w:ascii="Times New Roman" w:hAnsi="Times New Roman" w:cs="Times New Roman"/>
              </w:rPr>
            </w:pPr>
            <w:r w:rsidRPr="00D0587E">
              <w:rPr>
                <w:rFonts w:ascii="Times New Roman" w:hAnsi="Times New Roman" w:cs="Times New Roman"/>
                <w:b/>
                <w:sz w:val="24"/>
                <w:szCs w:val="24"/>
              </w:rPr>
              <w:t xml:space="preserve">1.2 Rozvoj základnej infraštruktúry v mestách a obciach </w:t>
            </w:r>
          </w:p>
        </w:tc>
      </w:tr>
      <w:tr w:rsidR="00D0587E" w:rsidRPr="00D0587E" w14:paraId="4E65FB6D" w14:textId="77777777" w:rsidTr="007C2A57">
        <w:trPr>
          <w:trHeight w:val="624"/>
        </w:trPr>
        <w:tc>
          <w:tcPr>
            <w:tcW w:w="2127" w:type="dxa"/>
            <w:vAlign w:val="center"/>
          </w:tcPr>
          <w:p w14:paraId="1C2369DA"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Priradenie kódu opatrenia</w:t>
            </w:r>
            <w:r w:rsidRPr="00D0587E">
              <w:rPr>
                <w:rStyle w:val="Odkaznapoznmkupodiarou"/>
                <w:rFonts w:ascii="Times New Roman" w:hAnsi="Times New Roman" w:cs="Times New Roman"/>
              </w:rPr>
              <w:footnoteReference w:id="6"/>
            </w:r>
            <w:r w:rsidRPr="00D0587E">
              <w:rPr>
                <w:rFonts w:ascii="Times New Roman" w:hAnsi="Times New Roman" w:cs="Times New Roman"/>
              </w:rPr>
              <w:t xml:space="preserve"> </w:t>
            </w:r>
          </w:p>
        </w:tc>
        <w:tc>
          <w:tcPr>
            <w:tcW w:w="7393" w:type="dxa"/>
            <w:gridSpan w:val="9"/>
          </w:tcPr>
          <w:p w14:paraId="15A0A1A5" w14:textId="77777777" w:rsidR="007C2A57" w:rsidRPr="00D0587E" w:rsidRDefault="007C2A57" w:rsidP="000C1ED9">
            <w:pPr>
              <w:rPr>
                <w:rFonts w:ascii="Times New Roman" w:hAnsi="Times New Roman" w:cs="Times New Roman"/>
              </w:rPr>
            </w:pPr>
          </w:p>
        </w:tc>
      </w:tr>
      <w:tr w:rsidR="00D0587E" w:rsidRPr="00D0587E" w14:paraId="242A85B8" w14:textId="77777777" w:rsidTr="007C2A57">
        <w:trPr>
          <w:trHeight w:val="624"/>
        </w:trPr>
        <w:tc>
          <w:tcPr>
            <w:tcW w:w="2127" w:type="dxa"/>
            <w:vAlign w:val="center"/>
          </w:tcPr>
          <w:p w14:paraId="396B5F30"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9"/>
          </w:tcPr>
          <w:p w14:paraId="672F7F10" w14:textId="77777777" w:rsidR="007C2A57" w:rsidRPr="00D0587E" w:rsidRDefault="007C2A57" w:rsidP="000C1ED9">
            <w:pPr>
              <w:rPr>
                <w:rFonts w:ascii="Times New Roman" w:hAnsi="Times New Roman" w:cs="Times New Roman"/>
              </w:rPr>
            </w:pPr>
            <w:r w:rsidRPr="00D0587E">
              <w:rPr>
                <w:rFonts w:ascii="Times New Roman" w:hAnsi="Times New Roman" w:cs="Times New Roman"/>
                <w:sz w:val="24"/>
                <w:szCs w:val="24"/>
              </w:rPr>
              <w:t>5.1.2 Zlepšenie udržateľných vzťahov medzi vidieckymi rozvojovými centrami a ich zázemím vo verejných službách a vo verejných infraštruktúrach</w:t>
            </w:r>
          </w:p>
        </w:tc>
      </w:tr>
      <w:tr w:rsidR="00D0587E" w:rsidRPr="00D0587E" w14:paraId="48803DD3" w14:textId="77777777" w:rsidTr="007C2A57">
        <w:trPr>
          <w:trHeight w:val="624"/>
        </w:trPr>
        <w:tc>
          <w:tcPr>
            <w:tcW w:w="2127" w:type="dxa"/>
            <w:vAlign w:val="center"/>
          </w:tcPr>
          <w:p w14:paraId="0E58B5D2"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9"/>
            <w:vAlign w:val="center"/>
          </w:tcPr>
          <w:p w14:paraId="7C43E1D2"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Podporované budú nasledovné aktivity:</w:t>
            </w:r>
          </w:p>
          <w:p w14:paraId="533B3FC1"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Cieľom podpory tejto aktivity je zvýšenie atraktivity cyklistickej dopravy prostredníctvom budovania siete bezpečných cyklotrás a nadväzujúcej infraštruktúry a realizáciu opatrení na upokojovanie dopravy, a pod.</w:t>
            </w:r>
          </w:p>
          <w:p w14:paraId="2309C2BB" w14:textId="77777777" w:rsidR="007C2A57" w:rsidRPr="00D0587E" w:rsidRDefault="003C458C" w:rsidP="003C458C">
            <w:pPr>
              <w:jc w:val="both"/>
              <w:rPr>
                <w:rFonts w:ascii="Times New Roman" w:hAnsi="Times New Roman" w:cs="Times New Roman"/>
                <w:i/>
                <w:sz w:val="18"/>
                <w:szCs w:val="18"/>
              </w:rPr>
            </w:pPr>
            <w:r w:rsidRPr="00D0587E">
              <w:rPr>
                <w:rFonts w:ascii="Times New Roman" w:hAnsi="Times New Roman" w:cs="Times New Roman"/>
                <w:i/>
                <w:sz w:val="24"/>
                <w:szCs w:val="24"/>
              </w:rPr>
              <w:t>Konkrétny cieľ je zameraný na sprístupnenie služieb infraštruktúry materských škôl s cieľom zvýšenia zaškolenosti žiakov materských škôl a zabezpečiť primerané podmienky pre rozvoj kľúčových kompetencií žiakom v súlade s požiadavkami ich budúcej profesijnej orientácie a potrebami trhu práce.</w:t>
            </w:r>
          </w:p>
        </w:tc>
      </w:tr>
      <w:tr w:rsidR="00D0587E" w:rsidRPr="00D0587E" w14:paraId="7ED2D0D5" w14:textId="77777777" w:rsidTr="007C2A57">
        <w:trPr>
          <w:trHeight w:val="624"/>
        </w:trPr>
        <w:tc>
          <w:tcPr>
            <w:tcW w:w="2127" w:type="dxa"/>
            <w:vAlign w:val="center"/>
          </w:tcPr>
          <w:p w14:paraId="7AD0A2D6"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lastRenderedPageBreak/>
              <w:t>Zdôvodnenie výberu</w:t>
            </w:r>
          </w:p>
        </w:tc>
        <w:tc>
          <w:tcPr>
            <w:tcW w:w="7393" w:type="dxa"/>
            <w:gridSpan w:val="9"/>
            <w:vAlign w:val="center"/>
          </w:tcPr>
          <w:p w14:paraId="3103EE1E" w14:textId="77777777" w:rsidR="007C2A57" w:rsidRPr="00D0587E" w:rsidRDefault="003C458C" w:rsidP="000C1ED9">
            <w:pPr>
              <w:jc w:val="both"/>
              <w:rPr>
                <w:rFonts w:ascii="Times New Roman" w:hAnsi="Times New Roman" w:cs="Times New Roman"/>
                <w:i/>
              </w:rPr>
            </w:pPr>
            <w:r w:rsidRPr="00D0587E">
              <w:rPr>
                <w:rFonts w:ascii="Times New Roman" w:hAnsi="Times New Roman" w:cs="Times New Roman"/>
                <w:i/>
              </w:rPr>
              <w:t>Opatrenie prispieva k naplneniu Špecifického cieľa: Zvýšenie kvality infraštruktúry a verejných služieb. Opatrenie reflektuje na potreby identifikované v oblasti Dopravné prepojenie a dostupnosť sídiel, Občianska vybavenosť a sekundárne aj Životné prostredie v rámci Identifikácie potrieb</w:t>
            </w:r>
          </w:p>
        </w:tc>
      </w:tr>
      <w:tr w:rsidR="00D0587E" w:rsidRPr="00D0587E" w14:paraId="7BCEA24E" w14:textId="77777777" w:rsidTr="007C2A57">
        <w:trPr>
          <w:trHeight w:val="624"/>
        </w:trPr>
        <w:tc>
          <w:tcPr>
            <w:tcW w:w="2127" w:type="dxa"/>
            <w:vAlign w:val="center"/>
          </w:tcPr>
          <w:p w14:paraId="78A276B5"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9"/>
            <w:vAlign w:val="center"/>
          </w:tcPr>
          <w:p w14:paraId="0BB0FD5C"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Podporované budú nasledovné aktivity:</w:t>
            </w:r>
          </w:p>
          <w:p w14:paraId="1FF472CA" w14:textId="77777777" w:rsidR="003C458C" w:rsidRPr="00D0587E" w:rsidRDefault="003C458C" w:rsidP="003C458C">
            <w:pPr>
              <w:spacing w:after="20"/>
              <w:rPr>
                <w:rFonts w:ascii="Times New Roman" w:hAnsi="Times New Roman" w:cs="Times New Roman"/>
                <w:b/>
                <w:i/>
                <w:sz w:val="24"/>
                <w:szCs w:val="24"/>
              </w:rPr>
            </w:pPr>
            <w:r w:rsidRPr="00D0587E">
              <w:rPr>
                <w:rFonts w:ascii="Times New Roman" w:hAnsi="Times New Roman" w:cs="Times New Roman"/>
                <w:b/>
                <w:i/>
                <w:sz w:val="24"/>
                <w:szCs w:val="24"/>
              </w:rPr>
              <w:t>1. Dopravné prepojenie a dostupnosť sídiel:</w:t>
            </w:r>
          </w:p>
          <w:p w14:paraId="7FE463FB"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výstavba, modernizácia, rekonštrukcia  zastávok, staníc, parkovísk, na linkách prepájajúcich obec s mestom</w:t>
            </w:r>
          </w:p>
          <w:p w14:paraId="77DC81A7"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budovanie prvkov a podpora opatrení na zvyšovanie bezpečnosti dopravy v mestách</w:t>
            </w:r>
          </w:p>
          <w:p w14:paraId="6166CC0B"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nákup vozidiel pre účely zabezpečenia spoločnej dopravy osôb vrátane vozidiel prispôsobených osobám s obmedzenou možnosťou pohybu a orientácie</w:t>
            </w:r>
          </w:p>
          <w:p w14:paraId="3FAE9CE2"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28C5709B" w14:textId="77777777" w:rsidR="003C458C" w:rsidRPr="00D0587E" w:rsidRDefault="003C458C" w:rsidP="003C458C">
            <w:pPr>
              <w:spacing w:after="20"/>
              <w:rPr>
                <w:rFonts w:ascii="Times New Roman" w:hAnsi="Times New Roman" w:cs="Times New Roman"/>
                <w:i/>
                <w:sz w:val="24"/>
                <w:szCs w:val="24"/>
              </w:rPr>
            </w:pPr>
          </w:p>
          <w:p w14:paraId="397DB05E" w14:textId="77777777" w:rsidR="003C458C" w:rsidRPr="00D0587E" w:rsidRDefault="003C458C" w:rsidP="003C458C">
            <w:pPr>
              <w:spacing w:after="20"/>
              <w:rPr>
                <w:rFonts w:ascii="Times New Roman" w:hAnsi="Times New Roman" w:cs="Times New Roman"/>
                <w:b/>
                <w:i/>
                <w:sz w:val="24"/>
                <w:szCs w:val="24"/>
              </w:rPr>
            </w:pPr>
            <w:r w:rsidRPr="00D0587E">
              <w:rPr>
                <w:rFonts w:ascii="Times New Roman" w:hAnsi="Times New Roman" w:cs="Times New Roman"/>
                <w:b/>
                <w:i/>
                <w:sz w:val="24"/>
                <w:szCs w:val="24"/>
              </w:rPr>
              <w:t>3. Infraštruktúra vzdelávania</w:t>
            </w:r>
          </w:p>
          <w:p w14:paraId="25E3D99F"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vybudovanie, modernizácia odborných učební, laboratórií, jazykových učební ZŠ</w:t>
            </w:r>
          </w:p>
          <w:p w14:paraId="31206993" w14:textId="77777777" w:rsidR="003C458C" w:rsidRPr="00D0587E" w:rsidRDefault="003C458C" w:rsidP="003C458C">
            <w:pPr>
              <w:spacing w:after="20"/>
              <w:rPr>
                <w:rFonts w:ascii="Times New Roman" w:hAnsi="Times New Roman" w:cs="Times New Roman"/>
                <w:i/>
                <w:sz w:val="24"/>
                <w:szCs w:val="24"/>
              </w:rPr>
            </w:pPr>
            <w:r w:rsidRPr="00D0587E">
              <w:rPr>
                <w:rFonts w:ascii="Times New Roman" w:hAnsi="Times New Roman" w:cs="Times New Roman"/>
                <w:i/>
                <w:sz w:val="24"/>
                <w:szCs w:val="24"/>
              </w:rPr>
              <w:t>- skvalitnenie a rozšírenie kapacít predškolských zariadení</w:t>
            </w:r>
          </w:p>
          <w:p w14:paraId="437F0AD0" w14:textId="77777777" w:rsidR="007C2A57" w:rsidRPr="00D0587E" w:rsidRDefault="003C458C" w:rsidP="003C458C">
            <w:pPr>
              <w:jc w:val="both"/>
              <w:rPr>
                <w:rFonts w:ascii="Times New Roman" w:hAnsi="Times New Roman" w:cs="Times New Roman"/>
                <w:i/>
              </w:rPr>
            </w:pPr>
            <w:r w:rsidRPr="00D0587E">
              <w:rPr>
                <w:rFonts w:ascii="Times New Roman" w:hAnsi="Times New Roman" w:cs="Times New Roman"/>
                <w:i/>
                <w:sz w:val="24"/>
                <w:szCs w:val="24"/>
              </w:rPr>
              <w:t>Konkrétny cieľ je zameraný na sprístupnenie služieb infraštruktúry materských škôl s cieľom zvýšenia zaškolenosti žiakov materských škôl a zabezpečiť primerané podmienky pre rozvoj kľúčových kompetencií žiakom v súlade s požiadavkami ich budúcej profesijnej orientácie a potrebami trhu práce.</w:t>
            </w:r>
          </w:p>
        </w:tc>
      </w:tr>
      <w:tr w:rsidR="00D0587E" w:rsidRPr="00D0587E" w14:paraId="790D6E20" w14:textId="77777777" w:rsidTr="007C2A57">
        <w:trPr>
          <w:trHeight w:val="624"/>
        </w:trPr>
        <w:tc>
          <w:tcPr>
            <w:tcW w:w="2127" w:type="dxa"/>
            <w:vAlign w:val="center"/>
          </w:tcPr>
          <w:p w14:paraId="413574E2"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Oprávnení prijímatelia</w:t>
            </w:r>
          </w:p>
        </w:tc>
        <w:tc>
          <w:tcPr>
            <w:tcW w:w="7393" w:type="dxa"/>
            <w:gridSpan w:val="9"/>
            <w:vAlign w:val="center"/>
          </w:tcPr>
          <w:p w14:paraId="3AD1E755" w14:textId="77777777" w:rsidR="0056053B" w:rsidRPr="00D0587E" w:rsidRDefault="0056053B" w:rsidP="0056053B">
            <w:pPr>
              <w:spacing w:after="20"/>
              <w:rPr>
                <w:rFonts w:ascii="Times New Roman" w:hAnsi="Times New Roman" w:cs="Times New Roman"/>
                <w:i/>
                <w:sz w:val="24"/>
                <w:szCs w:val="24"/>
              </w:rPr>
            </w:pPr>
            <w:r w:rsidRPr="00D0587E">
              <w:rPr>
                <w:rFonts w:ascii="Times New Roman" w:hAnsi="Times New Roman" w:cs="Times New Roman"/>
                <w:i/>
                <w:sz w:val="24"/>
                <w:szCs w:val="24"/>
              </w:rPr>
              <w:t>- mestá/samostatné mestské časti a obce,</w:t>
            </w:r>
          </w:p>
          <w:p w14:paraId="21A46A91" w14:textId="77777777" w:rsidR="0056053B" w:rsidRPr="00D0587E" w:rsidRDefault="0056053B" w:rsidP="0056053B">
            <w:pPr>
              <w:spacing w:after="20"/>
              <w:rPr>
                <w:rFonts w:ascii="Times New Roman" w:hAnsi="Times New Roman" w:cs="Times New Roman"/>
                <w:i/>
                <w:sz w:val="24"/>
                <w:szCs w:val="24"/>
              </w:rPr>
            </w:pPr>
            <w:r w:rsidRPr="00D0587E">
              <w:rPr>
                <w:rFonts w:ascii="Times New Roman" w:hAnsi="Times New Roman" w:cs="Times New Roman"/>
                <w:i/>
                <w:sz w:val="24"/>
                <w:szCs w:val="24"/>
              </w:rPr>
              <w:t>- združenia miest a obcí,</w:t>
            </w:r>
          </w:p>
          <w:p w14:paraId="3B99097A" w14:textId="77777777" w:rsidR="007C2A57" w:rsidRPr="00D0587E" w:rsidRDefault="0056053B" w:rsidP="0056053B">
            <w:pPr>
              <w:jc w:val="both"/>
              <w:rPr>
                <w:rFonts w:ascii="Times New Roman" w:hAnsi="Times New Roman" w:cs="Times New Roman"/>
              </w:rPr>
            </w:pPr>
            <w:r w:rsidRPr="00D0587E">
              <w:rPr>
                <w:rFonts w:ascii="Times New Roman" w:hAnsi="Times New Roman" w:cs="Times New Roman"/>
                <w:i/>
                <w:sz w:val="24"/>
                <w:szCs w:val="24"/>
              </w:rPr>
              <w:t>- mikroregionálne združenia,</w:t>
            </w:r>
          </w:p>
        </w:tc>
      </w:tr>
      <w:tr w:rsidR="00D0587E" w:rsidRPr="00D0587E" w14:paraId="518F4A21" w14:textId="77777777" w:rsidTr="007C2A57">
        <w:trPr>
          <w:trHeight w:val="624"/>
        </w:trPr>
        <w:tc>
          <w:tcPr>
            <w:tcW w:w="2127" w:type="dxa"/>
            <w:vAlign w:val="center"/>
          </w:tcPr>
          <w:p w14:paraId="1346B58B"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 xml:space="preserve">Intenzita pomoci </w:t>
            </w:r>
            <w:r w:rsidRPr="00D0587E">
              <w:rPr>
                <w:rStyle w:val="Odkaznapoznmkupodiarou"/>
                <w:rFonts w:ascii="Times New Roman" w:hAnsi="Times New Roman" w:cs="Times New Roman"/>
              </w:rPr>
              <w:footnoteReference w:id="7"/>
            </w:r>
          </w:p>
        </w:tc>
        <w:tc>
          <w:tcPr>
            <w:tcW w:w="7393" w:type="dxa"/>
            <w:gridSpan w:val="9"/>
            <w:vAlign w:val="center"/>
          </w:tcPr>
          <w:p w14:paraId="1AAF48F9" w14:textId="77777777" w:rsidR="007C2A57" w:rsidRPr="00D0587E" w:rsidRDefault="00A73B7E" w:rsidP="000C1ED9">
            <w:pPr>
              <w:jc w:val="both"/>
              <w:rPr>
                <w:rFonts w:ascii="Times New Roman" w:hAnsi="Times New Roman" w:cs="Times New Roman"/>
              </w:rPr>
            </w:pPr>
            <w:r w:rsidRPr="00D0587E">
              <w:rPr>
                <w:rFonts w:ascii="Times New Roman" w:hAnsi="Times New Roman" w:cs="Times New Roman"/>
              </w:rPr>
              <w:t>95</w:t>
            </w:r>
            <w:r w:rsidR="0056053B" w:rsidRPr="00D0587E">
              <w:rPr>
                <w:rFonts w:ascii="Times New Roman" w:hAnsi="Times New Roman" w:cs="Times New Roman"/>
              </w:rPr>
              <w:t xml:space="preserve"> %</w:t>
            </w:r>
          </w:p>
        </w:tc>
      </w:tr>
      <w:tr w:rsidR="00D0587E" w:rsidRPr="00D0587E" w14:paraId="636B10FB" w14:textId="77777777" w:rsidTr="007C2A57">
        <w:trPr>
          <w:trHeight w:val="624"/>
        </w:trPr>
        <w:tc>
          <w:tcPr>
            <w:tcW w:w="2127" w:type="dxa"/>
            <w:vAlign w:val="center"/>
          </w:tcPr>
          <w:p w14:paraId="011BAD62"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Oprávnené výdavky</w:t>
            </w:r>
          </w:p>
        </w:tc>
        <w:tc>
          <w:tcPr>
            <w:tcW w:w="7393" w:type="dxa"/>
            <w:gridSpan w:val="9"/>
            <w:vAlign w:val="center"/>
          </w:tcPr>
          <w:p w14:paraId="1DD73077" w14:textId="77777777" w:rsidR="007C2A57" w:rsidRPr="00D0587E" w:rsidRDefault="007C2A57" w:rsidP="00A73B7E">
            <w:pPr>
              <w:jc w:val="both"/>
              <w:rPr>
                <w:rFonts w:ascii="Times New Roman" w:hAnsi="Times New Roman" w:cs="Times New Roman"/>
              </w:rPr>
            </w:pPr>
            <w:r w:rsidRPr="00D0587E">
              <w:rPr>
                <w:rFonts w:ascii="Times New Roman" w:hAnsi="Times New Roman" w:cs="Times New Roman"/>
                <w:i/>
              </w:rPr>
              <w:t>v súlade s  IROP</w:t>
            </w:r>
          </w:p>
        </w:tc>
      </w:tr>
      <w:tr w:rsidR="00D0587E" w:rsidRPr="00D0587E" w14:paraId="1E8D0F1E" w14:textId="77777777" w:rsidTr="007C2A57">
        <w:trPr>
          <w:trHeight w:val="624"/>
        </w:trPr>
        <w:tc>
          <w:tcPr>
            <w:tcW w:w="2127" w:type="dxa"/>
            <w:vAlign w:val="center"/>
          </w:tcPr>
          <w:p w14:paraId="1D776B07"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9"/>
            <w:vAlign w:val="center"/>
          </w:tcPr>
          <w:p w14:paraId="0951B4AD" w14:textId="77777777" w:rsidR="007C2A57" w:rsidRPr="00D0587E" w:rsidRDefault="003C458C" w:rsidP="000C1ED9">
            <w:pPr>
              <w:jc w:val="both"/>
              <w:rPr>
                <w:rFonts w:ascii="Times New Roman" w:hAnsi="Times New Roman" w:cs="Times New Roman"/>
              </w:rPr>
            </w:pPr>
            <w:r w:rsidRPr="00D0587E">
              <w:rPr>
                <w:rFonts w:ascii="Times New Roman" w:hAnsi="Times New Roman" w:cs="Times New Roman"/>
                <w:i/>
              </w:rPr>
              <w:t>5 000 – 45 000 EUR</w:t>
            </w:r>
          </w:p>
        </w:tc>
      </w:tr>
      <w:tr w:rsidR="00D0587E" w:rsidRPr="00D0587E" w14:paraId="627FA761" w14:textId="77777777" w:rsidTr="007C2A57">
        <w:trPr>
          <w:trHeight w:val="624"/>
        </w:trPr>
        <w:tc>
          <w:tcPr>
            <w:tcW w:w="2127" w:type="dxa"/>
            <w:vMerge w:val="restart"/>
            <w:vAlign w:val="center"/>
          </w:tcPr>
          <w:p w14:paraId="2489A334"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4F46C94C" w14:textId="77777777" w:rsidR="007C2A57" w:rsidRPr="00D0587E" w:rsidDel="00D14904" w:rsidRDefault="007C2A57" w:rsidP="000C1ED9">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8"/>
            </w:r>
          </w:p>
        </w:tc>
        <w:tc>
          <w:tcPr>
            <w:tcW w:w="1417" w:type="dxa"/>
            <w:vAlign w:val="center"/>
          </w:tcPr>
          <w:p w14:paraId="69A5466B" w14:textId="77777777" w:rsidR="007C2A57" w:rsidRPr="00D0587E" w:rsidRDefault="007C2A57" w:rsidP="000C1ED9">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048B6099" w14:textId="77777777" w:rsidR="007C2A57" w:rsidRPr="00D0587E" w:rsidRDefault="007C2A57" w:rsidP="000C1ED9">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72058C5F" w14:textId="77777777" w:rsidR="007C2A57" w:rsidRPr="00D0587E" w:rsidRDefault="007C2A57" w:rsidP="000C1ED9">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59E6FA97" w14:textId="77777777" w:rsidR="007C2A57" w:rsidRPr="00D0587E" w:rsidRDefault="007C2A57" w:rsidP="000C1ED9">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0D286A38" w14:textId="77777777" w:rsidR="007C2A57" w:rsidRPr="00D0587E" w:rsidRDefault="007C2A57" w:rsidP="000C1ED9">
            <w:pPr>
              <w:jc w:val="center"/>
              <w:rPr>
                <w:rFonts w:ascii="Times New Roman" w:hAnsi="Times New Roman" w:cs="Times New Roman"/>
              </w:rPr>
            </w:pPr>
            <w:r w:rsidRPr="00D0587E">
              <w:rPr>
                <w:rFonts w:ascii="Times New Roman" w:hAnsi="Times New Roman" w:cs="Times New Roman"/>
              </w:rPr>
              <w:t>iné</w:t>
            </w:r>
          </w:p>
        </w:tc>
      </w:tr>
      <w:tr w:rsidR="00D0587E" w:rsidRPr="00D0587E" w14:paraId="2BC42AE7" w14:textId="77777777" w:rsidTr="007C2A57">
        <w:trPr>
          <w:trHeight w:val="624"/>
        </w:trPr>
        <w:tc>
          <w:tcPr>
            <w:tcW w:w="2127" w:type="dxa"/>
            <w:vMerge/>
            <w:vAlign w:val="center"/>
          </w:tcPr>
          <w:p w14:paraId="5645278D" w14:textId="77777777" w:rsidR="007C2A57" w:rsidRPr="00D0587E" w:rsidRDefault="007C2A57" w:rsidP="000C1ED9">
            <w:pPr>
              <w:rPr>
                <w:rFonts w:ascii="Times New Roman" w:hAnsi="Times New Roman" w:cs="Times New Roman"/>
              </w:rPr>
            </w:pPr>
          </w:p>
        </w:tc>
        <w:tc>
          <w:tcPr>
            <w:tcW w:w="992" w:type="dxa"/>
            <w:vAlign w:val="center"/>
          </w:tcPr>
          <w:p w14:paraId="360B3AF8" w14:textId="77777777" w:rsidR="007C2A57" w:rsidRPr="00D0587E" w:rsidDel="00D14904" w:rsidRDefault="007C2A57" w:rsidP="000C1ED9">
            <w:pPr>
              <w:jc w:val="center"/>
              <w:rPr>
                <w:rFonts w:ascii="Times New Roman" w:hAnsi="Times New Roman" w:cs="Times New Roman"/>
              </w:rPr>
            </w:pPr>
            <w:r w:rsidRPr="00D0587E">
              <w:rPr>
                <w:rFonts w:ascii="Times New Roman" w:hAnsi="Times New Roman" w:cs="Times New Roman"/>
              </w:rPr>
              <w:t xml:space="preserve">MR </w:t>
            </w:r>
          </w:p>
        </w:tc>
        <w:tc>
          <w:tcPr>
            <w:tcW w:w="1417" w:type="dxa"/>
            <w:vAlign w:val="center"/>
          </w:tcPr>
          <w:p w14:paraId="67E20166"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355 231,58</w:t>
            </w:r>
          </w:p>
        </w:tc>
        <w:tc>
          <w:tcPr>
            <w:tcW w:w="1276" w:type="dxa"/>
            <w:vAlign w:val="center"/>
          </w:tcPr>
          <w:p w14:paraId="645CA6EE"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337 470,00</w:t>
            </w:r>
          </w:p>
        </w:tc>
        <w:tc>
          <w:tcPr>
            <w:tcW w:w="1276" w:type="dxa"/>
            <w:gridSpan w:val="2"/>
            <w:vAlign w:val="center"/>
          </w:tcPr>
          <w:p w14:paraId="517CE27C"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3F0989B6"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17 761,58</w:t>
            </w:r>
          </w:p>
        </w:tc>
        <w:tc>
          <w:tcPr>
            <w:tcW w:w="937" w:type="dxa"/>
            <w:vAlign w:val="center"/>
          </w:tcPr>
          <w:p w14:paraId="6BF4DCB6"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r>
      <w:tr w:rsidR="00D0587E" w:rsidRPr="00D0587E" w14:paraId="7F7E7BBF" w14:textId="77777777" w:rsidTr="007C2A57">
        <w:trPr>
          <w:trHeight w:val="624"/>
        </w:trPr>
        <w:tc>
          <w:tcPr>
            <w:tcW w:w="2127" w:type="dxa"/>
            <w:vMerge/>
            <w:vAlign w:val="center"/>
          </w:tcPr>
          <w:p w14:paraId="1FAEB244" w14:textId="77777777" w:rsidR="007C2A57" w:rsidRPr="00D0587E" w:rsidRDefault="007C2A57" w:rsidP="000C1ED9">
            <w:pPr>
              <w:rPr>
                <w:rFonts w:ascii="Times New Roman" w:hAnsi="Times New Roman" w:cs="Times New Roman"/>
              </w:rPr>
            </w:pPr>
          </w:p>
        </w:tc>
        <w:tc>
          <w:tcPr>
            <w:tcW w:w="992" w:type="dxa"/>
            <w:vAlign w:val="center"/>
          </w:tcPr>
          <w:p w14:paraId="0BF9A616" w14:textId="77777777" w:rsidR="007C2A57" w:rsidRPr="00D0587E" w:rsidDel="00D14904" w:rsidRDefault="007C2A57" w:rsidP="000C1ED9">
            <w:pPr>
              <w:jc w:val="center"/>
              <w:rPr>
                <w:rFonts w:ascii="Times New Roman" w:hAnsi="Times New Roman" w:cs="Times New Roman"/>
              </w:rPr>
            </w:pPr>
            <w:r w:rsidRPr="00D0587E">
              <w:rPr>
                <w:rFonts w:ascii="Times New Roman" w:hAnsi="Times New Roman" w:cs="Times New Roman"/>
              </w:rPr>
              <w:t>VR</w:t>
            </w:r>
          </w:p>
        </w:tc>
        <w:tc>
          <w:tcPr>
            <w:tcW w:w="1417" w:type="dxa"/>
            <w:vAlign w:val="center"/>
          </w:tcPr>
          <w:p w14:paraId="03654322"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5ECD181C"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7D22E32D"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3E7242F6"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407FBCE5"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r>
      <w:tr w:rsidR="00D0587E" w:rsidRPr="00D0587E" w14:paraId="2807FE14" w14:textId="77777777" w:rsidTr="007C2A57">
        <w:trPr>
          <w:trHeight w:val="624"/>
        </w:trPr>
        <w:tc>
          <w:tcPr>
            <w:tcW w:w="2127" w:type="dxa"/>
            <w:vMerge/>
            <w:vAlign w:val="center"/>
          </w:tcPr>
          <w:p w14:paraId="325E576F" w14:textId="77777777" w:rsidR="007C2A57" w:rsidRPr="00D0587E" w:rsidRDefault="007C2A57" w:rsidP="000C1ED9">
            <w:pPr>
              <w:rPr>
                <w:rFonts w:ascii="Times New Roman" w:hAnsi="Times New Roman" w:cs="Times New Roman"/>
              </w:rPr>
            </w:pPr>
          </w:p>
        </w:tc>
        <w:tc>
          <w:tcPr>
            <w:tcW w:w="992" w:type="dxa"/>
            <w:vAlign w:val="center"/>
          </w:tcPr>
          <w:p w14:paraId="684CF957" w14:textId="77777777" w:rsidR="007C2A57" w:rsidRPr="00D0587E" w:rsidDel="00D14904" w:rsidRDefault="007C2A57" w:rsidP="000C1ED9">
            <w:pPr>
              <w:jc w:val="center"/>
              <w:rPr>
                <w:rFonts w:ascii="Times New Roman" w:hAnsi="Times New Roman" w:cs="Times New Roman"/>
              </w:rPr>
            </w:pPr>
            <w:r w:rsidRPr="00D0587E">
              <w:rPr>
                <w:rFonts w:ascii="Times New Roman" w:hAnsi="Times New Roman" w:cs="Times New Roman"/>
              </w:rPr>
              <w:t>Spolu</w:t>
            </w:r>
          </w:p>
        </w:tc>
        <w:tc>
          <w:tcPr>
            <w:tcW w:w="1417" w:type="dxa"/>
            <w:vAlign w:val="center"/>
          </w:tcPr>
          <w:p w14:paraId="6C066B66"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355 231,58</w:t>
            </w:r>
          </w:p>
        </w:tc>
        <w:tc>
          <w:tcPr>
            <w:tcW w:w="1276" w:type="dxa"/>
            <w:vAlign w:val="center"/>
          </w:tcPr>
          <w:p w14:paraId="4D531E5E"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337 470,00</w:t>
            </w:r>
          </w:p>
        </w:tc>
        <w:tc>
          <w:tcPr>
            <w:tcW w:w="1276" w:type="dxa"/>
            <w:gridSpan w:val="2"/>
            <w:vAlign w:val="center"/>
          </w:tcPr>
          <w:p w14:paraId="08C0CECC"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67CA28FF"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17 761,58</w:t>
            </w:r>
          </w:p>
        </w:tc>
        <w:tc>
          <w:tcPr>
            <w:tcW w:w="937" w:type="dxa"/>
            <w:vAlign w:val="center"/>
          </w:tcPr>
          <w:p w14:paraId="5193A404" w14:textId="77777777" w:rsidR="007C2A57" w:rsidRPr="00D0587E" w:rsidRDefault="00465C76" w:rsidP="000C1ED9">
            <w:pPr>
              <w:jc w:val="right"/>
              <w:rPr>
                <w:rFonts w:ascii="Times New Roman" w:hAnsi="Times New Roman" w:cs="Times New Roman"/>
              </w:rPr>
            </w:pPr>
            <w:r w:rsidRPr="00D0587E">
              <w:rPr>
                <w:rFonts w:ascii="Times New Roman" w:hAnsi="Times New Roman" w:cs="Times New Roman"/>
              </w:rPr>
              <w:t>-</w:t>
            </w:r>
          </w:p>
        </w:tc>
      </w:tr>
      <w:tr w:rsidR="00D0587E" w:rsidRPr="00D0587E" w14:paraId="584F794A" w14:textId="77777777" w:rsidTr="007C2A57">
        <w:trPr>
          <w:trHeight w:val="624"/>
        </w:trPr>
        <w:tc>
          <w:tcPr>
            <w:tcW w:w="2127" w:type="dxa"/>
            <w:vAlign w:val="center"/>
          </w:tcPr>
          <w:p w14:paraId="55AB09D3"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Princípy pre stanovenie výberových a </w:t>
            </w:r>
          </w:p>
          <w:p w14:paraId="1DA4C536"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9"/>
            </w:r>
          </w:p>
        </w:tc>
        <w:tc>
          <w:tcPr>
            <w:tcW w:w="7393" w:type="dxa"/>
            <w:gridSpan w:val="9"/>
            <w:vAlign w:val="center"/>
          </w:tcPr>
          <w:p w14:paraId="552E6F20" w14:textId="77777777" w:rsidR="007C2A57" w:rsidRPr="00D0587E" w:rsidRDefault="00A73B7E" w:rsidP="00A73B7E">
            <w:pPr>
              <w:rPr>
                <w:rFonts w:ascii="Times New Roman" w:hAnsi="Times New Roman" w:cs="Times New Roman"/>
                <w:i/>
              </w:rPr>
            </w:pPr>
            <w:r w:rsidRPr="00D0587E">
              <w:rPr>
                <w:rFonts w:ascii="Times New Roman" w:hAnsi="Times New Roman" w:cs="Times New Roman"/>
                <w:i/>
              </w:rPr>
              <w:t xml:space="preserve">v súlade s </w:t>
            </w:r>
            <w:r w:rsidR="007C2A57" w:rsidRPr="00D0587E">
              <w:rPr>
                <w:rFonts w:ascii="Times New Roman" w:hAnsi="Times New Roman" w:cs="Times New Roman"/>
                <w:i/>
              </w:rPr>
              <w:t xml:space="preserve">IROP, vlastné </w:t>
            </w:r>
          </w:p>
          <w:p w14:paraId="7169F58A" w14:textId="77777777" w:rsidR="00A73B7E" w:rsidRPr="00D0587E" w:rsidRDefault="00A73B7E" w:rsidP="00A73B7E">
            <w:pPr>
              <w:spacing w:after="60"/>
              <w:rPr>
                <w:rFonts w:ascii="Times New Roman" w:hAnsi="Times New Roman" w:cs="Times New Roman"/>
                <w:b/>
                <w:i/>
                <w:sz w:val="24"/>
                <w:szCs w:val="24"/>
              </w:rPr>
            </w:pPr>
            <w:r w:rsidRPr="00D0587E">
              <w:rPr>
                <w:rFonts w:ascii="Times New Roman" w:hAnsi="Times New Roman" w:cs="Times New Roman"/>
                <w:b/>
                <w:i/>
                <w:sz w:val="24"/>
                <w:szCs w:val="24"/>
              </w:rPr>
              <w:t>Zvýhodňované budú nasledovné projekty:</w:t>
            </w:r>
          </w:p>
          <w:p w14:paraId="08FDA3F3"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 xml:space="preserve">realizované v mestách a obciach nad 1 000 obyvateľov. </w:t>
            </w:r>
          </w:p>
          <w:p w14:paraId="05875BA6"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 xml:space="preserve">vytvárajúce pracovné miesta </w:t>
            </w:r>
          </w:p>
          <w:p w14:paraId="34D3B5E3"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 xml:space="preserve">prispievajúce k znižovaniu emisií skleníkových plynov </w:t>
            </w:r>
          </w:p>
          <w:p w14:paraId="38F5A35A" w14:textId="77777777" w:rsidR="00A73B7E" w:rsidRPr="00D0587E" w:rsidRDefault="00A73B7E" w:rsidP="00A73B7E">
            <w:pPr>
              <w:pStyle w:val="Odsekzoznamu"/>
              <w:spacing w:after="60"/>
              <w:ind w:left="272"/>
              <w:rPr>
                <w:rFonts w:ascii="Times New Roman" w:hAnsi="Times New Roman" w:cs="Times New Roman"/>
                <w:b/>
                <w:i/>
                <w:sz w:val="24"/>
                <w:szCs w:val="24"/>
              </w:rPr>
            </w:pPr>
          </w:p>
          <w:p w14:paraId="42887E06" w14:textId="77777777" w:rsidR="00A73B7E" w:rsidRPr="00D0587E" w:rsidRDefault="00A73B7E" w:rsidP="00A73B7E">
            <w:pPr>
              <w:pStyle w:val="Odsekzoznamu"/>
              <w:spacing w:after="60"/>
              <w:ind w:left="272"/>
              <w:rPr>
                <w:rFonts w:ascii="Times New Roman" w:hAnsi="Times New Roman" w:cs="Times New Roman"/>
                <w:b/>
                <w:i/>
                <w:sz w:val="24"/>
                <w:szCs w:val="24"/>
              </w:rPr>
            </w:pPr>
            <w:r w:rsidRPr="00D0587E">
              <w:rPr>
                <w:rFonts w:ascii="Times New Roman" w:hAnsi="Times New Roman" w:cs="Times New Roman"/>
                <w:b/>
                <w:i/>
                <w:sz w:val="24"/>
                <w:szCs w:val="24"/>
              </w:rPr>
              <w:t>V rámci aktivity Dopravné prepojenie a dostupnosť sídiel projekty:</w:t>
            </w:r>
          </w:p>
          <w:p w14:paraId="09578D37"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prispievajúce k integrácii a previazanosti služieb vo verejnej doprave.</w:t>
            </w:r>
          </w:p>
          <w:p w14:paraId="7ED13312"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prestupné stanice a integrované zastávky integrujúce regionálnu verejnú osobnú dopravu a mestskú hromadnú dopravu.</w:t>
            </w:r>
          </w:p>
          <w:p w14:paraId="3AA12D4E" w14:textId="77777777" w:rsidR="00A73B7E" w:rsidRPr="00D0587E" w:rsidRDefault="00A73B7E" w:rsidP="00A73B7E">
            <w:pPr>
              <w:pStyle w:val="Odsekzoznamu"/>
              <w:numPr>
                <w:ilvl w:val="0"/>
                <w:numId w:val="32"/>
              </w:numPr>
              <w:spacing w:after="60"/>
              <w:ind w:left="272"/>
              <w:rPr>
                <w:rFonts w:ascii="Times New Roman" w:hAnsi="Times New Roman" w:cs="Times New Roman"/>
                <w:i/>
                <w:sz w:val="24"/>
                <w:szCs w:val="24"/>
              </w:rPr>
            </w:pPr>
            <w:r w:rsidRPr="00D0587E">
              <w:rPr>
                <w:rFonts w:ascii="Times New Roman" w:hAnsi="Times New Roman" w:cs="Times New Roman"/>
                <w:i/>
                <w:sz w:val="24"/>
                <w:szCs w:val="24"/>
              </w:rPr>
              <w:t xml:space="preserve">prispievajúce k zvýšeniu bezpečnosti zraniteľných účastníkov cestnej premávky. </w:t>
            </w:r>
          </w:p>
          <w:p w14:paraId="5453D53D" w14:textId="77777777" w:rsidR="00A73B7E" w:rsidRPr="00D0587E" w:rsidRDefault="00A73B7E" w:rsidP="00A73B7E">
            <w:pPr>
              <w:pStyle w:val="Odsekzoznamu"/>
              <w:numPr>
                <w:ilvl w:val="0"/>
                <w:numId w:val="32"/>
              </w:numPr>
              <w:spacing w:after="60"/>
              <w:ind w:left="272"/>
              <w:rPr>
                <w:rFonts w:ascii="Times New Roman" w:hAnsi="Times New Roman" w:cs="Times New Roman"/>
                <w:sz w:val="24"/>
                <w:szCs w:val="24"/>
              </w:rPr>
            </w:pPr>
            <w:r w:rsidRPr="00D0587E">
              <w:rPr>
                <w:rFonts w:ascii="Times New Roman" w:hAnsi="Times New Roman" w:cs="Times New Roman"/>
                <w:i/>
                <w:sz w:val="24"/>
                <w:szCs w:val="24"/>
              </w:rPr>
              <w:t>prispievajúce k oddeleniu cestnej dopravy a cyklodopravy.</w:t>
            </w:r>
          </w:p>
          <w:p w14:paraId="2F285F13" w14:textId="77777777" w:rsidR="00A73B7E" w:rsidRPr="00D0587E" w:rsidRDefault="00A73B7E" w:rsidP="00A73B7E">
            <w:pPr>
              <w:pStyle w:val="Odsekzoznamu"/>
              <w:spacing w:after="60"/>
              <w:ind w:left="272"/>
              <w:rPr>
                <w:rFonts w:ascii="Times New Roman" w:hAnsi="Times New Roman" w:cs="Times New Roman"/>
                <w:b/>
                <w:i/>
                <w:sz w:val="24"/>
                <w:szCs w:val="24"/>
              </w:rPr>
            </w:pPr>
          </w:p>
          <w:p w14:paraId="3AD4348B" w14:textId="77777777" w:rsidR="00A73B7E" w:rsidRPr="00D0587E" w:rsidRDefault="00A73B7E" w:rsidP="00A73B7E">
            <w:pPr>
              <w:pStyle w:val="Odsekzoznamu"/>
              <w:spacing w:after="60"/>
              <w:ind w:left="272"/>
              <w:rPr>
                <w:rFonts w:ascii="Times New Roman" w:hAnsi="Times New Roman" w:cs="Times New Roman"/>
                <w:b/>
                <w:i/>
                <w:sz w:val="24"/>
                <w:szCs w:val="24"/>
              </w:rPr>
            </w:pPr>
            <w:r w:rsidRPr="00D0587E">
              <w:rPr>
                <w:rFonts w:ascii="Times New Roman" w:hAnsi="Times New Roman" w:cs="Times New Roman"/>
                <w:b/>
                <w:i/>
                <w:sz w:val="24"/>
                <w:szCs w:val="24"/>
              </w:rPr>
              <w:t>V rámci aktivity Infraštruktúra vzdelávania projekty:</w:t>
            </w:r>
          </w:p>
          <w:p w14:paraId="79F08DC3" w14:textId="77777777" w:rsidR="00A73B7E" w:rsidRPr="00D0587E" w:rsidRDefault="00A73B7E" w:rsidP="00A73B7E">
            <w:pPr>
              <w:pStyle w:val="Odsekzoznamu"/>
              <w:numPr>
                <w:ilvl w:val="0"/>
                <w:numId w:val="32"/>
              </w:numPr>
              <w:spacing w:after="60"/>
              <w:ind w:left="272"/>
              <w:rPr>
                <w:rFonts w:ascii="Times New Roman" w:hAnsi="Times New Roman" w:cs="Times New Roman"/>
                <w:sz w:val="24"/>
                <w:szCs w:val="24"/>
              </w:rPr>
            </w:pPr>
            <w:r w:rsidRPr="00D0587E">
              <w:rPr>
                <w:rFonts w:ascii="Times New Roman" w:hAnsi="Times New Roman" w:cs="Times New Roman"/>
                <w:i/>
                <w:sz w:val="24"/>
                <w:szCs w:val="24"/>
              </w:rPr>
              <w:t>prispievajúce k využívaniu OZE</w:t>
            </w:r>
          </w:p>
          <w:p w14:paraId="1C7B66CE" w14:textId="77777777" w:rsidR="00A73B7E" w:rsidRPr="00D0587E" w:rsidRDefault="00A73B7E" w:rsidP="00A73B7E">
            <w:pPr>
              <w:pStyle w:val="Odsekzoznamu"/>
              <w:numPr>
                <w:ilvl w:val="0"/>
                <w:numId w:val="32"/>
              </w:numPr>
              <w:spacing w:after="60"/>
              <w:ind w:left="272"/>
              <w:rPr>
                <w:rFonts w:ascii="Times New Roman" w:hAnsi="Times New Roman" w:cs="Times New Roman"/>
                <w:sz w:val="24"/>
                <w:szCs w:val="24"/>
              </w:rPr>
            </w:pPr>
            <w:r w:rsidRPr="00D0587E">
              <w:rPr>
                <w:rFonts w:ascii="Times New Roman" w:hAnsi="Times New Roman" w:cs="Times New Roman"/>
                <w:i/>
                <w:sz w:val="24"/>
                <w:szCs w:val="24"/>
              </w:rPr>
              <w:t>podporujúce zavádzanie inovatívnych metód výučby</w:t>
            </w:r>
          </w:p>
          <w:p w14:paraId="4523B524" w14:textId="77777777" w:rsidR="00A73B7E" w:rsidRPr="00D0587E" w:rsidRDefault="00A73B7E" w:rsidP="00A73B7E">
            <w:pPr>
              <w:pStyle w:val="Odsekzoznamu"/>
              <w:numPr>
                <w:ilvl w:val="0"/>
                <w:numId w:val="32"/>
              </w:numPr>
              <w:spacing w:after="60"/>
              <w:ind w:left="272"/>
              <w:rPr>
                <w:rFonts w:ascii="Times New Roman" w:hAnsi="Times New Roman" w:cs="Times New Roman"/>
                <w:sz w:val="24"/>
                <w:szCs w:val="24"/>
              </w:rPr>
            </w:pPr>
            <w:r w:rsidRPr="00D0587E">
              <w:rPr>
                <w:rFonts w:ascii="Times New Roman" w:hAnsi="Times New Roman" w:cs="Times New Roman"/>
                <w:i/>
                <w:sz w:val="24"/>
                <w:szCs w:val="24"/>
              </w:rPr>
              <w:t>zohľadňujúce potreby marginalizovaných skupín obyvateľstva</w:t>
            </w:r>
          </w:p>
          <w:p w14:paraId="05E90AC9" w14:textId="77777777" w:rsidR="00A73B7E" w:rsidRPr="00D0587E" w:rsidRDefault="00A73B7E" w:rsidP="00A73B7E">
            <w:pPr>
              <w:pStyle w:val="Odsekzoznamu"/>
              <w:numPr>
                <w:ilvl w:val="0"/>
                <w:numId w:val="53"/>
              </w:numPr>
              <w:ind w:left="317" w:hanging="425"/>
              <w:rPr>
                <w:rFonts w:ascii="Times New Roman" w:hAnsi="Times New Roman" w:cs="Times New Roman"/>
              </w:rPr>
            </w:pPr>
            <w:r w:rsidRPr="00D0587E">
              <w:rPr>
                <w:rFonts w:ascii="Times New Roman" w:hAnsi="Times New Roman" w:cs="Times New Roman"/>
                <w:i/>
                <w:sz w:val="24"/>
                <w:szCs w:val="24"/>
              </w:rPr>
              <w:t>integrované projekty riešiace súčasne školské i predškolské zariadenie, s intervenciami do infraštruktúry i do vybavenia učební s využitím vzdelávacieho zariadenia aj mimo vyučovacích hodín na krúžkovú činnosť ako komunitná škola (celoživotné vzdelávanie, počítačové, jazykové kurzy, športové, vzdelávacie a záujmové krúžky)</w:t>
            </w:r>
          </w:p>
        </w:tc>
      </w:tr>
      <w:tr w:rsidR="00D0587E" w:rsidRPr="00D0587E" w14:paraId="6E7EC721" w14:textId="77777777" w:rsidTr="007C2A57">
        <w:trPr>
          <w:trHeight w:val="624"/>
        </w:trPr>
        <w:tc>
          <w:tcPr>
            <w:tcW w:w="2127" w:type="dxa"/>
            <w:vAlign w:val="center"/>
          </w:tcPr>
          <w:p w14:paraId="7BECF587"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Povinné prílohy stanovené MAS</w:t>
            </w:r>
            <w:r w:rsidRPr="00D0587E">
              <w:rPr>
                <w:rStyle w:val="Odkaznapoznmkupodiarou"/>
                <w:rFonts w:ascii="Times New Roman" w:hAnsi="Times New Roman" w:cs="Times New Roman"/>
              </w:rPr>
              <w:footnoteReference w:id="10"/>
            </w:r>
          </w:p>
        </w:tc>
        <w:tc>
          <w:tcPr>
            <w:tcW w:w="7393" w:type="dxa"/>
            <w:gridSpan w:val="9"/>
            <w:vAlign w:val="center"/>
          </w:tcPr>
          <w:p w14:paraId="4C944097" w14:textId="77777777" w:rsidR="007C2A57" w:rsidRPr="00D0587E" w:rsidRDefault="003C458C" w:rsidP="000C1ED9">
            <w:pPr>
              <w:rPr>
                <w:rFonts w:ascii="Times New Roman" w:hAnsi="Times New Roman" w:cs="Times New Roman"/>
                <w:i/>
              </w:rPr>
            </w:pPr>
            <w:r w:rsidRPr="00D0587E">
              <w:rPr>
                <w:rFonts w:ascii="Times New Roman" w:hAnsi="Times New Roman" w:cs="Times New Roman"/>
                <w:i/>
              </w:rPr>
              <w:t>žiadne</w:t>
            </w:r>
          </w:p>
        </w:tc>
      </w:tr>
      <w:tr w:rsidR="00D0587E" w:rsidRPr="00D0587E" w14:paraId="13BAED64" w14:textId="77777777" w:rsidTr="00A73B7E">
        <w:trPr>
          <w:trHeight w:val="624"/>
        </w:trPr>
        <w:tc>
          <w:tcPr>
            <w:tcW w:w="2127" w:type="dxa"/>
            <w:vMerge w:val="restart"/>
            <w:vAlign w:val="center"/>
          </w:tcPr>
          <w:p w14:paraId="10AA3ADF"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Merateľné ukazovatele projektu</w:t>
            </w:r>
          </w:p>
        </w:tc>
        <w:tc>
          <w:tcPr>
            <w:tcW w:w="992" w:type="dxa"/>
            <w:vAlign w:val="center"/>
          </w:tcPr>
          <w:p w14:paraId="6DA1367B" w14:textId="77777777" w:rsidR="007C2A57" w:rsidRPr="00D0587E" w:rsidRDefault="007C2A57" w:rsidP="000C1ED9">
            <w:pPr>
              <w:jc w:val="center"/>
              <w:rPr>
                <w:rFonts w:ascii="Times New Roman" w:hAnsi="Times New Roman" w:cs="Times New Roman"/>
                <w:i/>
              </w:rPr>
            </w:pPr>
            <w:r w:rsidRPr="00D0587E">
              <w:rPr>
                <w:rFonts w:ascii="Times New Roman" w:hAnsi="Times New Roman" w:cs="Times New Roman"/>
              </w:rPr>
              <w:t>Kód/ID</w:t>
            </w:r>
          </w:p>
        </w:tc>
        <w:tc>
          <w:tcPr>
            <w:tcW w:w="2855" w:type="dxa"/>
            <w:gridSpan w:val="3"/>
            <w:vAlign w:val="center"/>
          </w:tcPr>
          <w:p w14:paraId="5CB3F2BC" w14:textId="77777777" w:rsidR="007C2A57" w:rsidRPr="00D0587E" w:rsidRDefault="007C2A57" w:rsidP="000C1ED9">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7E73FF6B" w14:textId="77777777" w:rsidR="007C2A57" w:rsidRPr="00D0587E" w:rsidRDefault="007C2A57" w:rsidP="000C1ED9">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431AA601" w14:textId="77777777" w:rsidR="007C2A57" w:rsidRPr="00D0587E" w:rsidRDefault="007C2A57" w:rsidP="000C1ED9">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705F5132" w14:textId="77777777" w:rsidR="007C2A57" w:rsidRPr="00D0587E" w:rsidRDefault="007C2A57" w:rsidP="000C1ED9">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44B83B80" w14:textId="77777777" w:rsidTr="00A73B7E">
        <w:trPr>
          <w:trHeight w:val="624"/>
        </w:trPr>
        <w:tc>
          <w:tcPr>
            <w:tcW w:w="2127" w:type="dxa"/>
            <w:vMerge/>
            <w:vAlign w:val="center"/>
          </w:tcPr>
          <w:p w14:paraId="0531E37B" w14:textId="77777777" w:rsidR="00354801" w:rsidRPr="00D0587E" w:rsidRDefault="00354801" w:rsidP="000C1ED9">
            <w:pPr>
              <w:rPr>
                <w:rFonts w:ascii="Times New Roman" w:hAnsi="Times New Roman" w:cs="Times New Roman"/>
              </w:rPr>
            </w:pPr>
          </w:p>
        </w:tc>
        <w:tc>
          <w:tcPr>
            <w:tcW w:w="992" w:type="dxa"/>
            <w:vAlign w:val="center"/>
          </w:tcPr>
          <w:p w14:paraId="65F0AA77" w14:textId="77777777" w:rsidR="00354801" w:rsidRPr="00D0587E" w:rsidRDefault="00354801" w:rsidP="000C1ED9">
            <w:pPr>
              <w:jc w:val="center"/>
              <w:rPr>
                <w:rFonts w:ascii="Times New Roman" w:hAnsi="Times New Roman" w:cs="Times New Roman"/>
              </w:rPr>
            </w:pPr>
            <w:r w:rsidRPr="00D0587E">
              <w:rPr>
                <w:rFonts w:ascii="Times New Roman" w:hAnsi="Times New Roman" w:cs="Times New Roman"/>
              </w:rPr>
              <w:t>5.1.2</w:t>
            </w:r>
          </w:p>
        </w:tc>
        <w:tc>
          <w:tcPr>
            <w:tcW w:w="2855" w:type="dxa"/>
            <w:gridSpan w:val="3"/>
            <w:vAlign w:val="center"/>
          </w:tcPr>
          <w:p w14:paraId="5CC88DB1" w14:textId="77777777" w:rsidR="00354801" w:rsidRPr="00D0587E" w:rsidRDefault="00354801" w:rsidP="00354801">
            <w:pPr>
              <w:rPr>
                <w:rFonts w:ascii="Times New Roman" w:hAnsi="Times New Roman" w:cs="Times New Roman"/>
              </w:rPr>
            </w:pPr>
            <w:r w:rsidRPr="00D0587E">
              <w:rPr>
                <w:rFonts w:ascii="Times New Roman" w:hAnsi="Times New Roman" w:cs="Times New Roman"/>
                <w:bCs/>
              </w:rPr>
              <w:t>Dĺžka nových úsekov cyklistických komunikácií</w:t>
            </w:r>
          </w:p>
        </w:tc>
        <w:tc>
          <w:tcPr>
            <w:tcW w:w="1155" w:type="dxa"/>
            <w:gridSpan w:val="2"/>
            <w:vAlign w:val="center"/>
          </w:tcPr>
          <w:p w14:paraId="14F09FD0" w14:textId="77777777" w:rsidR="00354801" w:rsidRPr="00D0587E" w:rsidRDefault="00354801" w:rsidP="00F26932">
            <w:pPr>
              <w:rPr>
                <w:rFonts w:ascii="Times New Roman" w:hAnsi="Times New Roman" w:cs="Times New Roman"/>
              </w:rPr>
            </w:pPr>
            <w:r w:rsidRPr="00D0587E">
              <w:rPr>
                <w:rFonts w:ascii="Times New Roman" w:hAnsi="Times New Roman" w:cs="Times New Roman"/>
              </w:rPr>
              <w:t>km</w:t>
            </w:r>
          </w:p>
        </w:tc>
        <w:tc>
          <w:tcPr>
            <w:tcW w:w="1262" w:type="dxa"/>
            <w:vAlign w:val="center"/>
          </w:tcPr>
          <w:p w14:paraId="6E2FA03D" w14:textId="77777777" w:rsidR="00354801" w:rsidRPr="00D0587E" w:rsidRDefault="00F26932" w:rsidP="000C1ED9">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34232E69" w14:textId="77777777" w:rsidR="00354801" w:rsidRPr="00D0587E" w:rsidRDefault="003C458C" w:rsidP="000C1ED9">
            <w:pPr>
              <w:jc w:val="center"/>
              <w:rPr>
                <w:rFonts w:ascii="Times New Roman" w:hAnsi="Times New Roman" w:cs="Times New Roman"/>
              </w:rPr>
            </w:pPr>
            <w:r w:rsidRPr="00D0587E">
              <w:rPr>
                <w:rFonts w:ascii="Times New Roman" w:hAnsi="Times New Roman" w:cs="Times New Roman"/>
              </w:rPr>
              <w:t>1</w:t>
            </w:r>
          </w:p>
        </w:tc>
      </w:tr>
      <w:tr w:rsidR="00D0587E" w:rsidRPr="00D0587E" w14:paraId="3BA9695D" w14:textId="77777777" w:rsidTr="00A73B7E">
        <w:trPr>
          <w:trHeight w:val="624"/>
        </w:trPr>
        <w:tc>
          <w:tcPr>
            <w:tcW w:w="2127" w:type="dxa"/>
            <w:vMerge/>
            <w:vAlign w:val="center"/>
          </w:tcPr>
          <w:p w14:paraId="6ACF70AB" w14:textId="77777777" w:rsidR="00354801" w:rsidRPr="00D0587E" w:rsidRDefault="00354801" w:rsidP="000C1ED9">
            <w:pPr>
              <w:rPr>
                <w:rFonts w:ascii="Times New Roman" w:hAnsi="Times New Roman" w:cs="Times New Roman"/>
              </w:rPr>
            </w:pPr>
          </w:p>
        </w:tc>
        <w:tc>
          <w:tcPr>
            <w:tcW w:w="992" w:type="dxa"/>
            <w:vAlign w:val="center"/>
          </w:tcPr>
          <w:p w14:paraId="332241CA" w14:textId="77777777" w:rsidR="00354801" w:rsidRPr="00D0587E" w:rsidRDefault="00F26932" w:rsidP="000C1ED9">
            <w:pPr>
              <w:jc w:val="center"/>
              <w:rPr>
                <w:rFonts w:ascii="Times New Roman" w:hAnsi="Times New Roman" w:cs="Times New Roman"/>
              </w:rPr>
            </w:pPr>
            <w:r w:rsidRPr="00D0587E">
              <w:rPr>
                <w:rFonts w:ascii="Times New Roman" w:hAnsi="Times New Roman" w:cs="Times New Roman"/>
              </w:rPr>
              <w:t>5.1.2</w:t>
            </w:r>
          </w:p>
        </w:tc>
        <w:tc>
          <w:tcPr>
            <w:tcW w:w="2855" w:type="dxa"/>
            <w:gridSpan w:val="3"/>
            <w:vAlign w:val="center"/>
          </w:tcPr>
          <w:p w14:paraId="4442AAFD" w14:textId="77777777" w:rsidR="00354801" w:rsidRPr="00D0587E" w:rsidRDefault="00354801" w:rsidP="00354801">
            <w:pPr>
              <w:rPr>
                <w:rFonts w:ascii="Times New Roman" w:hAnsi="Times New Roman" w:cs="Times New Roman"/>
              </w:rPr>
            </w:pPr>
            <w:r w:rsidRPr="00D0587E">
              <w:rPr>
                <w:rFonts w:ascii="Times New Roman" w:hAnsi="Times New Roman" w:cs="Times New Roman"/>
                <w:bCs/>
              </w:rPr>
              <w:t>Počet podporených projektov so vzdelávacou infraštruktúrou</w:t>
            </w:r>
          </w:p>
        </w:tc>
        <w:tc>
          <w:tcPr>
            <w:tcW w:w="1155" w:type="dxa"/>
            <w:gridSpan w:val="2"/>
            <w:vAlign w:val="center"/>
          </w:tcPr>
          <w:p w14:paraId="4CA68620" w14:textId="77777777" w:rsidR="00354801" w:rsidRPr="00D0587E" w:rsidRDefault="00354801" w:rsidP="00F26932">
            <w:pPr>
              <w:rPr>
                <w:rFonts w:ascii="Times New Roman" w:hAnsi="Times New Roman" w:cs="Times New Roman"/>
              </w:rPr>
            </w:pPr>
            <w:r w:rsidRPr="00D0587E">
              <w:rPr>
                <w:rFonts w:ascii="Times New Roman" w:hAnsi="Times New Roman" w:cs="Times New Roman"/>
              </w:rPr>
              <w:t>počet</w:t>
            </w:r>
          </w:p>
        </w:tc>
        <w:tc>
          <w:tcPr>
            <w:tcW w:w="1262" w:type="dxa"/>
            <w:vAlign w:val="center"/>
          </w:tcPr>
          <w:p w14:paraId="2B7447C7" w14:textId="77777777" w:rsidR="00354801" w:rsidRPr="00D0587E" w:rsidRDefault="00F26932" w:rsidP="000C1ED9">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26F26214" w14:textId="77777777" w:rsidR="00354801" w:rsidRPr="00D0587E" w:rsidRDefault="003C458C" w:rsidP="000C1ED9">
            <w:pPr>
              <w:jc w:val="center"/>
              <w:rPr>
                <w:rFonts w:ascii="Times New Roman" w:hAnsi="Times New Roman" w:cs="Times New Roman"/>
              </w:rPr>
            </w:pPr>
            <w:r w:rsidRPr="00D0587E">
              <w:rPr>
                <w:rFonts w:ascii="Times New Roman" w:hAnsi="Times New Roman" w:cs="Times New Roman"/>
              </w:rPr>
              <w:t>2</w:t>
            </w:r>
          </w:p>
        </w:tc>
      </w:tr>
      <w:tr w:rsidR="00D0587E" w:rsidRPr="00D0587E" w14:paraId="58E9D8D7" w14:textId="77777777" w:rsidTr="007C2A57">
        <w:trPr>
          <w:trHeight w:val="624"/>
        </w:trPr>
        <w:tc>
          <w:tcPr>
            <w:tcW w:w="2127" w:type="dxa"/>
            <w:vAlign w:val="center"/>
          </w:tcPr>
          <w:p w14:paraId="6D3BF54A" w14:textId="77777777" w:rsidR="007C2A57" w:rsidRPr="00D0587E" w:rsidRDefault="007C2A57" w:rsidP="000C1ED9">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9"/>
          </w:tcPr>
          <w:p w14:paraId="303E164A" w14:textId="77777777" w:rsidR="007C2A57" w:rsidRPr="00D0587E" w:rsidRDefault="003C458C" w:rsidP="000C1ED9">
            <w:pPr>
              <w:jc w:val="both"/>
              <w:rPr>
                <w:rFonts w:ascii="Times New Roman" w:hAnsi="Times New Roman" w:cs="Times New Roman"/>
              </w:rPr>
            </w:pPr>
            <w:r w:rsidRPr="00D0587E">
              <w:rPr>
                <w:rFonts w:ascii="Times New Roman" w:hAnsi="Times New Roman" w:cs="Times New Roman"/>
                <w:i/>
              </w:rPr>
              <w:t>Január 2018</w:t>
            </w:r>
          </w:p>
        </w:tc>
      </w:tr>
    </w:tbl>
    <w:p w14:paraId="1E30A6A5" w14:textId="77777777" w:rsidR="000C1ED9" w:rsidRPr="003C0D7F" w:rsidRDefault="000C1ED9" w:rsidP="00D2349E">
      <w:pPr>
        <w:spacing w:after="60" w:line="312" w:lineRule="auto"/>
        <w:rPr>
          <w:rFonts w:ascii="Times New Roman" w:hAnsi="Times New Roman" w:cs="Times New Roman"/>
          <w:b/>
          <w:sz w:val="24"/>
          <w:szCs w:val="24"/>
        </w:rPr>
      </w:pPr>
    </w:p>
    <w:p w14:paraId="4B75C90E" w14:textId="77777777" w:rsidR="00D2349E" w:rsidRDefault="00D2349E" w:rsidP="00D2349E">
      <w:pPr>
        <w:spacing w:after="60" w:line="312" w:lineRule="auto"/>
        <w:rPr>
          <w:rFonts w:ascii="Times New Roman" w:hAnsi="Times New Roman" w:cs="Times New Roman"/>
          <w:b/>
          <w:sz w:val="24"/>
          <w:szCs w:val="24"/>
        </w:rPr>
      </w:pPr>
      <w:r w:rsidRPr="003C0D7F">
        <w:rPr>
          <w:rFonts w:ascii="Times New Roman" w:hAnsi="Times New Roman" w:cs="Times New Roman"/>
          <w:b/>
          <w:sz w:val="24"/>
          <w:szCs w:val="24"/>
        </w:rPr>
        <w:t>Priorita č. 2: Využitie miestneho potenciálu pre rozvoj cestovného ruchu</w:t>
      </w:r>
    </w:p>
    <w:p w14:paraId="00AEF203"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D0587E">
        <w:rPr>
          <w:rFonts w:ascii="Times New Roman" w:hAnsi="Times New Roman" w:cs="Times New Roman"/>
          <w:b/>
          <w:sz w:val="20"/>
          <w:szCs w:val="20"/>
        </w:rPr>
        <w:t>C</w:t>
      </w:r>
      <w:r w:rsidRPr="008951E2">
        <w:rPr>
          <w:rFonts w:ascii="Times New Roman" w:hAnsi="Times New Roman" w:cs="Times New Roman"/>
          <w:b/>
          <w:sz w:val="20"/>
          <w:szCs w:val="20"/>
        </w:rPr>
        <w:t xml:space="preserve"> Opatrenie stratégie CLLD 2.1</w:t>
      </w:r>
    </w:p>
    <w:tbl>
      <w:tblPr>
        <w:tblStyle w:val="Mriekatabuky"/>
        <w:tblW w:w="9520" w:type="dxa"/>
        <w:tblInd w:w="108" w:type="dxa"/>
        <w:tblLayout w:type="fixed"/>
        <w:tblLook w:val="04A0" w:firstRow="1" w:lastRow="0" w:firstColumn="1" w:lastColumn="0" w:noHBand="0" w:noVBand="1"/>
      </w:tblPr>
      <w:tblGrid>
        <w:gridCol w:w="2127"/>
        <w:gridCol w:w="992"/>
        <w:gridCol w:w="898"/>
        <w:gridCol w:w="519"/>
        <w:gridCol w:w="1276"/>
        <w:gridCol w:w="162"/>
        <w:gridCol w:w="1114"/>
        <w:gridCol w:w="41"/>
        <w:gridCol w:w="1262"/>
        <w:gridCol w:w="192"/>
        <w:gridCol w:w="937"/>
      </w:tblGrid>
      <w:tr w:rsidR="00D0587E" w:rsidRPr="00D0587E" w14:paraId="7B1386AC" w14:textId="77777777" w:rsidTr="003C458C">
        <w:trPr>
          <w:trHeight w:val="624"/>
        </w:trPr>
        <w:tc>
          <w:tcPr>
            <w:tcW w:w="2127" w:type="dxa"/>
            <w:vAlign w:val="center"/>
          </w:tcPr>
          <w:p w14:paraId="5286FAFC"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Názov opatrenia </w:t>
            </w:r>
          </w:p>
        </w:tc>
        <w:tc>
          <w:tcPr>
            <w:tcW w:w="7393" w:type="dxa"/>
            <w:gridSpan w:val="10"/>
          </w:tcPr>
          <w:p w14:paraId="1F578199" w14:textId="77777777" w:rsidR="00C02D67" w:rsidRPr="00D0587E" w:rsidRDefault="00107282" w:rsidP="00C02D67">
            <w:pPr>
              <w:rPr>
                <w:rFonts w:ascii="Times New Roman" w:hAnsi="Times New Roman" w:cs="Times New Roman"/>
              </w:rPr>
            </w:pPr>
            <w:r w:rsidRPr="00D0587E">
              <w:rPr>
                <w:rFonts w:ascii="Times New Roman" w:hAnsi="Times New Roman" w:cs="Times New Roman"/>
                <w:b/>
                <w:sz w:val="24"/>
                <w:szCs w:val="24"/>
              </w:rPr>
              <w:t>2.1 Podpora na investície do rekreačnej infraštruktúry, turistických informácií a do turistickej infraštruktúry malých rozmerov na verejné využitie</w:t>
            </w:r>
          </w:p>
        </w:tc>
      </w:tr>
      <w:tr w:rsidR="00D0587E" w:rsidRPr="00D0587E" w14:paraId="0DB25116" w14:textId="77777777" w:rsidTr="003C458C">
        <w:trPr>
          <w:trHeight w:val="624"/>
        </w:trPr>
        <w:tc>
          <w:tcPr>
            <w:tcW w:w="2127" w:type="dxa"/>
            <w:vAlign w:val="center"/>
          </w:tcPr>
          <w:p w14:paraId="37226840"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lastRenderedPageBreak/>
              <w:t>Priradenie kódu opatrenia</w:t>
            </w:r>
            <w:r w:rsidRPr="00D0587E">
              <w:rPr>
                <w:rStyle w:val="Odkaznapoznmkupodiarou"/>
                <w:rFonts w:ascii="Times New Roman" w:hAnsi="Times New Roman" w:cs="Times New Roman"/>
              </w:rPr>
              <w:footnoteReference w:id="11"/>
            </w:r>
            <w:r w:rsidRPr="00D0587E">
              <w:rPr>
                <w:rFonts w:ascii="Times New Roman" w:hAnsi="Times New Roman" w:cs="Times New Roman"/>
              </w:rPr>
              <w:t xml:space="preserve"> </w:t>
            </w:r>
          </w:p>
        </w:tc>
        <w:tc>
          <w:tcPr>
            <w:tcW w:w="7393" w:type="dxa"/>
            <w:gridSpan w:val="10"/>
          </w:tcPr>
          <w:p w14:paraId="3E062B27" w14:textId="77777777" w:rsidR="00C02D67" w:rsidRPr="00D0587E" w:rsidRDefault="00107282" w:rsidP="00C02D67">
            <w:pPr>
              <w:rPr>
                <w:rFonts w:ascii="Times New Roman" w:hAnsi="Times New Roman" w:cs="Times New Roman"/>
              </w:rPr>
            </w:pPr>
            <w:r w:rsidRPr="00D0587E">
              <w:rPr>
                <w:rFonts w:ascii="Times New Roman" w:hAnsi="Times New Roman" w:cs="Times New Roman"/>
              </w:rPr>
              <w:t>7.5</w:t>
            </w:r>
          </w:p>
        </w:tc>
      </w:tr>
      <w:tr w:rsidR="00D0587E" w:rsidRPr="00D0587E" w14:paraId="656116B3" w14:textId="77777777" w:rsidTr="003C458C">
        <w:trPr>
          <w:trHeight w:val="624"/>
        </w:trPr>
        <w:tc>
          <w:tcPr>
            <w:tcW w:w="2127" w:type="dxa"/>
            <w:vAlign w:val="center"/>
          </w:tcPr>
          <w:p w14:paraId="0CDD6B46"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10"/>
          </w:tcPr>
          <w:p w14:paraId="25690B56" w14:textId="77777777" w:rsidR="00344EE2" w:rsidRPr="00344EE2" w:rsidRDefault="00344EE2" w:rsidP="00344EE2">
            <w:pPr>
              <w:rPr>
                <w:rFonts w:ascii="Times New Roman" w:hAnsi="Times New Roman" w:cs="Times New Roman"/>
                <w:sz w:val="24"/>
                <w:szCs w:val="24"/>
              </w:rPr>
            </w:pPr>
            <w:r w:rsidRPr="00344EE2">
              <w:rPr>
                <w:rFonts w:ascii="Times New Roman" w:hAnsi="Times New Roman" w:cs="Times New Roman"/>
                <w:sz w:val="24"/>
                <w:szCs w:val="24"/>
              </w:rPr>
              <w:t>Sekundárna FO predominantná – 6B</w:t>
            </w:r>
          </w:p>
          <w:p w14:paraId="49E4B0D7" w14:textId="25DF677A" w:rsidR="00C02D67" w:rsidRPr="00D0587E" w:rsidRDefault="00344EE2" w:rsidP="00344EE2">
            <w:pPr>
              <w:rPr>
                <w:rFonts w:ascii="Times New Roman" w:hAnsi="Times New Roman" w:cs="Times New Roman"/>
              </w:rPr>
            </w:pPr>
            <w:r w:rsidRPr="00344EE2">
              <w:rPr>
                <w:rFonts w:ascii="Times New Roman" w:hAnsi="Times New Roman" w:cs="Times New Roman"/>
                <w:sz w:val="24"/>
                <w:szCs w:val="24"/>
              </w:rPr>
              <w:t>Sekundárna FO doplnková – 6A</w:t>
            </w:r>
          </w:p>
        </w:tc>
      </w:tr>
      <w:tr w:rsidR="00D0587E" w:rsidRPr="00D0587E" w14:paraId="1EA01D7F" w14:textId="77777777" w:rsidTr="003C458C">
        <w:trPr>
          <w:trHeight w:val="624"/>
        </w:trPr>
        <w:tc>
          <w:tcPr>
            <w:tcW w:w="2127" w:type="dxa"/>
            <w:vAlign w:val="center"/>
          </w:tcPr>
          <w:p w14:paraId="58B0AEC3"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10"/>
            <w:vAlign w:val="center"/>
          </w:tcPr>
          <w:p w14:paraId="0D2D5199" w14:textId="77777777" w:rsidR="00C02D67" w:rsidRPr="00D0587E" w:rsidRDefault="00162E25" w:rsidP="00C02D67">
            <w:pPr>
              <w:jc w:val="both"/>
              <w:rPr>
                <w:rFonts w:ascii="Times New Roman" w:hAnsi="Times New Roman" w:cs="Times New Roman"/>
                <w:i/>
                <w:sz w:val="18"/>
                <w:szCs w:val="18"/>
              </w:rPr>
            </w:pPr>
            <w:r w:rsidRPr="00D0587E">
              <w:rPr>
                <w:rFonts w:ascii="Times New Roman" w:hAnsi="Times New Roman" w:cs="Times New Roman"/>
                <w:i/>
                <w:sz w:val="24"/>
                <w:szCs w:val="24"/>
              </w:rPr>
              <w:t xml:space="preserve">Cieľom je zvýšiť atraktivitu a príťažlivosť územia. </w:t>
            </w:r>
            <w:r w:rsidR="003C458C" w:rsidRPr="00D0587E">
              <w:rPr>
                <w:rFonts w:ascii="Times New Roman" w:hAnsi="Times New Roman" w:cs="Times New Roman"/>
                <w:i/>
                <w:sz w:val="24"/>
                <w:szCs w:val="24"/>
              </w:rPr>
              <w:t>Opatrenie prispieva k naplneniu Špecifického cieľa: Zlepšiť podmienky pre rozvoj potenciálu vidieckeho cestovného ruchu a spolupráce. Opatrenie reflektuje na potreby identifikované v oblasti Cestovný ruch a sekundárne aj Životné prostredie v rámci Identifikácie potrieb</w:t>
            </w:r>
          </w:p>
        </w:tc>
      </w:tr>
      <w:tr w:rsidR="00D0587E" w:rsidRPr="00D0587E" w14:paraId="0D77FFD5" w14:textId="77777777" w:rsidTr="003C458C">
        <w:trPr>
          <w:trHeight w:val="624"/>
        </w:trPr>
        <w:tc>
          <w:tcPr>
            <w:tcW w:w="2127" w:type="dxa"/>
            <w:vAlign w:val="center"/>
          </w:tcPr>
          <w:p w14:paraId="7F984C7A"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Zdôvodnenie výberu</w:t>
            </w:r>
          </w:p>
        </w:tc>
        <w:tc>
          <w:tcPr>
            <w:tcW w:w="7393" w:type="dxa"/>
            <w:gridSpan w:val="10"/>
            <w:vAlign w:val="center"/>
          </w:tcPr>
          <w:p w14:paraId="10BADF22"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Investície zlepšujúce kvalitu života (infraštruktúra, miestne služby) budú mať vplyv na miestny ekonomický rozvoj v podobe vytvorenia podmienok pre podnikateľov. Zároveň zlepšia podmienky pre život obyvateľov, čím znížia odliv obyvateľov z vidieka. Optimálne a efektívne využívanie kultúrno-historického a prírodného potenciálu vrátane využívania obnoviteľných zdrojov energie, urýchlia naštartovanie miestneho ekonomického rozvoja založeného na efektívnom využívaní endogénnych zdrojov. </w:t>
            </w:r>
          </w:p>
          <w:p w14:paraId="6C0EC3BC" w14:textId="77777777" w:rsidR="00C02D67" w:rsidRPr="00D0587E" w:rsidRDefault="003C458C" w:rsidP="003C458C">
            <w:pPr>
              <w:jc w:val="both"/>
              <w:rPr>
                <w:rFonts w:ascii="Times New Roman" w:hAnsi="Times New Roman" w:cs="Times New Roman"/>
                <w:i/>
              </w:rPr>
            </w:pPr>
            <w:r w:rsidRPr="00D0587E">
              <w:rPr>
                <w:rFonts w:ascii="Times New Roman" w:hAnsi="Times New Roman" w:cs="Times New Roman"/>
                <w:i/>
                <w:sz w:val="24"/>
                <w:szCs w:val="24"/>
              </w:rPr>
              <w:t>Využitie kapacít ubytovacích zariadení v regióne je v priebehu roka kolísavé. Je preto nevyhnutné vykonať operácie, ktoré zvýšia využitie kapacít ubytovacích zariadení. Prísun turistov do územia bude mať za následok zvýšenie príjmov obyvateľstva, diverzifikáciu ponúkaných služieb a v konečnom dôsledku zlepšenie ekonomického postavenia samotných obcí.</w:t>
            </w:r>
          </w:p>
        </w:tc>
      </w:tr>
      <w:tr w:rsidR="00D0587E" w:rsidRPr="00D0587E" w14:paraId="52B71DFD" w14:textId="77777777" w:rsidTr="003C458C">
        <w:trPr>
          <w:trHeight w:val="624"/>
        </w:trPr>
        <w:tc>
          <w:tcPr>
            <w:tcW w:w="2127" w:type="dxa"/>
            <w:vAlign w:val="center"/>
          </w:tcPr>
          <w:p w14:paraId="4F9E3DA8"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10"/>
            <w:vAlign w:val="center"/>
          </w:tcPr>
          <w:p w14:paraId="04B0477A"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Podporované budú nasledovné aktivity:</w:t>
            </w:r>
          </w:p>
          <w:p w14:paraId="79B2C6F1"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  investície, ktoré súvisia s vytvorením, udržiavaním, obnovou a skvalitňovaním turisticky zaujímavých objektov, bodov a miest vrátane príslušnej infraštruktúry – miestne kultúrne, historické, prírodné a iné objekty a zaujímavosti, zriadenie múzejných a galerijných zariadení a pod.; </w:t>
            </w:r>
          </w:p>
          <w:p w14:paraId="5A871185"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  investície do rekreačnej infraštruktúry, turistických informácií a informačných tabúľ v turistických lokalitách na verejné využitie, budovanie drobných obslužných zariadení pre turistov, informačné body, smerové tabule, KIOSKy a pod.; </w:t>
            </w:r>
          </w:p>
          <w:p w14:paraId="0AB812D5" w14:textId="77777777" w:rsidR="00C02D67" w:rsidRPr="00D0587E" w:rsidRDefault="003C458C" w:rsidP="003C458C">
            <w:pPr>
              <w:jc w:val="both"/>
              <w:rPr>
                <w:rFonts w:ascii="Times New Roman" w:hAnsi="Times New Roman" w:cs="Times New Roman"/>
                <w:i/>
              </w:rPr>
            </w:pPr>
            <w:r w:rsidRPr="00D0587E">
              <w:rPr>
                <w:rFonts w:ascii="Times New Roman" w:hAnsi="Times New Roman" w:cs="Times New Roman"/>
                <w:i/>
                <w:sz w:val="24"/>
                <w:szCs w:val="24"/>
              </w:rPr>
              <w:t>•  budovanie, rekonštrukcia náučných chodníkov, cykloturistických chodníkov, ich napojenie na náučné chodníky, budovanie doplnkovej infraštruktúry (odpočinkové miesta, prístrešky, stojany na bicykle a pod.), výstavba vyhliadkových veží, budovanie, údržba obnova cykloturistického značenia na existujúcich cykloturistických trasách a pod.</w:t>
            </w:r>
          </w:p>
        </w:tc>
      </w:tr>
      <w:tr w:rsidR="00D0587E" w:rsidRPr="00D0587E" w14:paraId="50DBB651" w14:textId="77777777" w:rsidTr="003C458C">
        <w:trPr>
          <w:trHeight w:val="624"/>
        </w:trPr>
        <w:tc>
          <w:tcPr>
            <w:tcW w:w="2127" w:type="dxa"/>
            <w:vAlign w:val="center"/>
          </w:tcPr>
          <w:p w14:paraId="56065DFB"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Oprávnení prijímatelia</w:t>
            </w:r>
          </w:p>
        </w:tc>
        <w:tc>
          <w:tcPr>
            <w:tcW w:w="7393" w:type="dxa"/>
            <w:gridSpan w:val="10"/>
            <w:vAlign w:val="center"/>
          </w:tcPr>
          <w:p w14:paraId="4D5055AD"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1. obce vo vidieckych oblastiach (zvýhodnené budú obce do 1 000 obyvateľov);</w:t>
            </w:r>
          </w:p>
          <w:p w14:paraId="1DF3B27B"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2. združenia obcí s právnou subjektivitou </w:t>
            </w:r>
          </w:p>
          <w:p w14:paraId="2912C9FD" w14:textId="77777777" w:rsidR="00C02D67" w:rsidRPr="00D0587E" w:rsidRDefault="00107282" w:rsidP="00107282">
            <w:pPr>
              <w:jc w:val="both"/>
              <w:rPr>
                <w:rFonts w:ascii="Times New Roman" w:hAnsi="Times New Roman" w:cs="Times New Roman"/>
              </w:rPr>
            </w:pPr>
            <w:r w:rsidRPr="00D0587E">
              <w:rPr>
                <w:rFonts w:ascii="Times New Roman" w:hAnsi="Times New Roman" w:cs="Times New Roman"/>
                <w:i/>
                <w:sz w:val="24"/>
                <w:szCs w:val="24"/>
              </w:rPr>
              <w:t>3. občianske združenie v zmysle zákona č. 83/1990 Z.z. o združovaní občanov</w:t>
            </w:r>
          </w:p>
        </w:tc>
      </w:tr>
      <w:tr w:rsidR="00D0587E" w:rsidRPr="00D0587E" w14:paraId="6A391578" w14:textId="77777777" w:rsidTr="003C458C">
        <w:trPr>
          <w:trHeight w:val="624"/>
        </w:trPr>
        <w:tc>
          <w:tcPr>
            <w:tcW w:w="2127" w:type="dxa"/>
            <w:vAlign w:val="center"/>
          </w:tcPr>
          <w:p w14:paraId="17EE1F3D"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lastRenderedPageBreak/>
              <w:t xml:space="preserve">Intenzita pomoci </w:t>
            </w:r>
            <w:r w:rsidRPr="00D0587E">
              <w:rPr>
                <w:rStyle w:val="Odkaznapoznmkupodiarou"/>
                <w:rFonts w:ascii="Times New Roman" w:hAnsi="Times New Roman" w:cs="Times New Roman"/>
              </w:rPr>
              <w:footnoteReference w:id="12"/>
            </w:r>
          </w:p>
        </w:tc>
        <w:tc>
          <w:tcPr>
            <w:tcW w:w="7393" w:type="dxa"/>
            <w:gridSpan w:val="10"/>
            <w:vAlign w:val="center"/>
          </w:tcPr>
          <w:p w14:paraId="25312A86" w14:textId="77777777" w:rsidR="00C02D67" w:rsidRPr="00D0587E" w:rsidRDefault="00107282" w:rsidP="00C02D67">
            <w:pPr>
              <w:jc w:val="both"/>
              <w:rPr>
                <w:rFonts w:ascii="Times New Roman" w:hAnsi="Times New Roman" w:cs="Times New Roman"/>
              </w:rPr>
            </w:pPr>
            <w:r w:rsidRPr="00D0587E">
              <w:rPr>
                <w:rFonts w:ascii="Times New Roman" w:hAnsi="Times New Roman" w:cs="Times New Roman"/>
                <w:i/>
              </w:rPr>
              <w:t>95 %</w:t>
            </w:r>
          </w:p>
        </w:tc>
      </w:tr>
      <w:tr w:rsidR="00D0587E" w:rsidRPr="00D0587E" w14:paraId="5B2132E8" w14:textId="77777777" w:rsidTr="003C458C">
        <w:trPr>
          <w:trHeight w:val="624"/>
        </w:trPr>
        <w:tc>
          <w:tcPr>
            <w:tcW w:w="2127" w:type="dxa"/>
            <w:vAlign w:val="center"/>
          </w:tcPr>
          <w:p w14:paraId="2AF97EAD"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Oprávnené výdavky</w:t>
            </w:r>
          </w:p>
        </w:tc>
        <w:tc>
          <w:tcPr>
            <w:tcW w:w="7393" w:type="dxa"/>
            <w:gridSpan w:val="10"/>
            <w:vAlign w:val="center"/>
          </w:tcPr>
          <w:p w14:paraId="407D83C5" w14:textId="77777777" w:rsidR="00C02D67" w:rsidRPr="00D0587E" w:rsidRDefault="00C02D67" w:rsidP="00107282">
            <w:pPr>
              <w:jc w:val="both"/>
              <w:rPr>
                <w:rFonts w:ascii="Times New Roman" w:hAnsi="Times New Roman" w:cs="Times New Roman"/>
                <w:i/>
              </w:rPr>
            </w:pPr>
            <w:r w:rsidRPr="00D0587E">
              <w:rPr>
                <w:rFonts w:ascii="Times New Roman" w:hAnsi="Times New Roman" w:cs="Times New Roman"/>
                <w:i/>
              </w:rPr>
              <w:t>v súlade s PRV (resp. s nariadením EÚ (č. 1305/2013)</w:t>
            </w:r>
            <w:r w:rsidR="00107282" w:rsidRPr="00D0587E">
              <w:rPr>
                <w:rFonts w:ascii="Times New Roman" w:hAnsi="Times New Roman" w:cs="Times New Roman"/>
                <w:i/>
              </w:rPr>
              <w:t>:</w:t>
            </w:r>
            <w:r w:rsidRPr="00D0587E">
              <w:rPr>
                <w:rFonts w:ascii="Times New Roman" w:hAnsi="Times New Roman" w:cs="Times New Roman"/>
                <w:i/>
              </w:rPr>
              <w:t xml:space="preserve"> </w:t>
            </w:r>
          </w:p>
          <w:p w14:paraId="2A34FD00"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1. 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w:t>
            </w:r>
          </w:p>
          <w:p w14:paraId="4DDABA12" w14:textId="77777777" w:rsidR="00107282" w:rsidRPr="00D0587E" w:rsidRDefault="00107282" w:rsidP="00107282">
            <w:pPr>
              <w:jc w:val="both"/>
              <w:rPr>
                <w:rFonts w:ascii="Times New Roman" w:hAnsi="Times New Roman" w:cs="Times New Roman"/>
              </w:rPr>
            </w:pPr>
            <w:r w:rsidRPr="00D0587E">
              <w:rPr>
                <w:rFonts w:ascii="Times New Roman" w:hAnsi="Times New Roman" w:cs="Times New Roman"/>
                <w:i/>
                <w:sz w:val="24"/>
                <w:szCs w:val="24"/>
              </w:rPr>
              <w:t>2. všeobecné náklady súvisiace s bodom 1, špecifikované v podkapitole 8.1.3.</w:t>
            </w:r>
          </w:p>
        </w:tc>
      </w:tr>
      <w:tr w:rsidR="00D0587E" w:rsidRPr="00D0587E" w14:paraId="1B2F730E" w14:textId="77777777" w:rsidTr="003C458C">
        <w:trPr>
          <w:trHeight w:val="624"/>
        </w:trPr>
        <w:tc>
          <w:tcPr>
            <w:tcW w:w="2127" w:type="dxa"/>
            <w:vAlign w:val="center"/>
          </w:tcPr>
          <w:p w14:paraId="23AADD7A"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10"/>
            <w:vAlign w:val="center"/>
          </w:tcPr>
          <w:p w14:paraId="6CFF5A13" w14:textId="77777777" w:rsidR="00C02D67" w:rsidRPr="00D0587E" w:rsidRDefault="003C458C" w:rsidP="00C02D67">
            <w:pPr>
              <w:jc w:val="both"/>
              <w:rPr>
                <w:rFonts w:ascii="Times New Roman" w:hAnsi="Times New Roman" w:cs="Times New Roman"/>
              </w:rPr>
            </w:pPr>
            <w:r w:rsidRPr="00D0587E">
              <w:rPr>
                <w:rFonts w:ascii="Times New Roman" w:hAnsi="Times New Roman" w:cs="Times New Roman"/>
                <w:i/>
              </w:rPr>
              <w:t>5 000 – 25 000 EUR</w:t>
            </w:r>
          </w:p>
        </w:tc>
      </w:tr>
      <w:tr w:rsidR="00D0587E" w:rsidRPr="00D0587E" w14:paraId="4F563D39" w14:textId="77777777" w:rsidTr="003C458C">
        <w:trPr>
          <w:trHeight w:val="624"/>
        </w:trPr>
        <w:tc>
          <w:tcPr>
            <w:tcW w:w="2127" w:type="dxa"/>
            <w:vMerge w:val="restart"/>
            <w:vAlign w:val="center"/>
          </w:tcPr>
          <w:p w14:paraId="065DA626"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51BBACE9"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13"/>
            </w:r>
          </w:p>
        </w:tc>
        <w:tc>
          <w:tcPr>
            <w:tcW w:w="1417" w:type="dxa"/>
            <w:gridSpan w:val="2"/>
            <w:vAlign w:val="center"/>
          </w:tcPr>
          <w:p w14:paraId="27E54DD3"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22E74FB3"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1EE95AC6"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794C221C"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78C5979C"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iné</w:t>
            </w:r>
          </w:p>
        </w:tc>
      </w:tr>
      <w:tr w:rsidR="00D0587E" w:rsidRPr="00D0587E" w14:paraId="7689AB79" w14:textId="77777777" w:rsidTr="003C458C">
        <w:trPr>
          <w:trHeight w:val="624"/>
        </w:trPr>
        <w:tc>
          <w:tcPr>
            <w:tcW w:w="2127" w:type="dxa"/>
            <w:vMerge/>
            <w:vAlign w:val="center"/>
          </w:tcPr>
          <w:p w14:paraId="3A778FCB" w14:textId="77777777" w:rsidR="00C02D67" w:rsidRPr="00D0587E" w:rsidRDefault="00C02D67" w:rsidP="00C02D67">
            <w:pPr>
              <w:rPr>
                <w:rFonts w:ascii="Times New Roman" w:hAnsi="Times New Roman" w:cs="Times New Roman"/>
              </w:rPr>
            </w:pPr>
          </w:p>
        </w:tc>
        <w:tc>
          <w:tcPr>
            <w:tcW w:w="992" w:type="dxa"/>
            <w:vAlign w:val="center"/>
          </w:tcPr>
          <w:p w14:paraId="17D441A7"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 xml:space="preserve">MR </w:t>
            </w:r>
          </w:p>
        </w:tc>
        <w:tc>
          <w:tcPr>
            <w:tcW w:w="1417" w:type="dxa"/>
            <w:gridSpan w:val="2"/>
            <w:vAlign w:val="center"/>
          </w:tcPr>
          <w:p w14:paraId="44E77484"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155 776,84</w:t>
            </w:r>
          </w:p>
        </w:tc>
        <w:tc>
          <w:tcPr>
            <w:tcW w:w="1276" w:type="dxa"/>
            <w:vAlign w:val="center"/>
          </w:tcPr>
          <w:p w14:paraId="7E6DC56A" w14:textId="77777777" w:rsidR="00C02D67" w:rsidRPr="00D0587E" w:rsidRDefault="000540E5" w:rsidP="00C02D67">
            <w:pPr>
              <w:jc w:val="right"/>
              <w:rPr>
                <w:rFonts w:ascii="Times New Roman" w:hAnsi="Times New Roman" w:cs="Times New Roman"/>
              </w:rPr>
            </w:pPr>
            <w:r w:rsidRPr="00D0587E">
              <w:rPr>
                <w:rFonts w:ascii="Times New Roman" w:hAnsi="Times New Roman" w:cs="Times New Roman"/>
              </w:rPr>
              <w:t>110 991,00</w:t>
            </w:r>
          </w:p>
        </w:tc>
        <w:tc>
          <w:tcPr>
            <w:tcW w:w="1276" w:type="dxa"/>
            <w:gridSpan w:val="2"/>
            <w:vAlign w:val="center"/>
          </w:tcPr>
          <w:p w14:paraId="543B6F10" w14:textId="77777777" w:rsidR="00C02D67" w:rsidRPr="00D0587E" w:rsidRDefault="000540E5" w:rsidP="00C02D67">
            <w:pPr>
              <w:jc w:val="right"/>
              <w:rPr>
                <w:rFonts w:ascii="Times New Roman" w:hAnsi="Times New Roman" w:cs="Times New Roman"/>
              </w:rPr>
            </w:pPr>
            <w:r w:rsidRPr="00D0587E">
              <w:rPr>
                <w:rFonts w:ascii="Times New Roman" w:hAnsi="Times New Roman" w:cs="Times New Roman"/>
              </w:rPr>
              <w:t>36 997,00</w:t>
            </w:r>
          </w:p>
        </w:tc>
        <w:tc>
          <w:tcPr>
            <w:tcW w:w="1495" w:type="dxa"/>
            <w:gridSpan w:val="3"/>
            <w:vAlign w:val="center"/>
          </w:tcPr>
          <w:p w14:paraId="0720A6E3"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7 788,84</w:t>
            </w:r>
          </w:p>
        </w:tc>
        <w:tc>
          <w:tcPr>
            <w:tcW w:w="937" w:type="dxa"/>
            <w:vAlign w:val="center"/>
          </w:tcPr>
          <w:p w14:paraId="0AAEFF6D"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76AD564C" w14:textId="77777777" w:rsidTr="003C458C">
        <w:trPr>
          <w:trHeight w:val="624"/>
        </w:trPr>
        <w:tc>
          <w:tcPr>
            <w:tcW w:w="2127" w:type="dxa"/>
            <w:vMerge/>
            <w:vAlign w:val="center"/>
          </w:tcPr>
          <w:p w14:paraId="1A84279D" w14:textId="77777777" w:rsidR="00C02D67" w:rsidRPr="00D0587E" w:rsidRDefault="00C02D67" w:rsidP="00C02D67">
            <w:pPr>
              <w:rPr>
                <w:rFonts w:ascii="Times New Roman" w:hAnsi="Times New Roman" w:cs="Times New Roman"/>
              </w:rPr>
            </w:pPr>
          </w:p>
        </w:tc>
        <w:tc>
          <w:tcPr>
            <w:tcW w:w="992" w:type="dxa"/>
            <w:vAlign w:val="center"/>
          </w:tcPr>
          <w:p w14:paraId="5AF05FD1"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VR</w:t>
            </w:r>
          </w:p>
        </w:tc>
        <w:tc>
          <w:tcPr>
            <w:tcW w:w="1417" w:type="dxa"/>
            <w:gridSpan w:val="2"/>
            <w:vAlign w:val="center"/>
          </w:tcPr>
          <w:p w14:paraId="5298AE17"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465B880A"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407EBFC0"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598EF39A"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5C244664"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7AB16972" w14:textId="77777777" w:rsidTr="003C458C">
        <w:trPr>
          <w:trHeight w:val="624"/>
        </w:trPr>
        <w:tc>
          <w:tcPr>
            <w:tcW w:w="2127" w:type="dxa"/>
            <w:vMerge/>
            <w:vAlign w:val="center"/>
          </w:tcPr>
          <w:p w14:paraId="72D497FE" w14:textId="77777777" w:rsidR="00C02D67" w:rsidRPr="00D0587E" w:rsidRDefault="00C02D67" w:rsidP="00C02D67">
            <w:pPr>
              <w:rPr>
                <w:rFonts w:ascii="Times New Roman" w:hAnsi="Times New Roman" w:cs="Times New Roman"/>
              </w:rPr>
            </w:pPr>
          </w:p>
        </w:tc>
        <w:tc>
          <w:tcPr>
            <w:tcW w:w="992" w:type="dxa"/>
            <w:vAlign w:val="center"/>
          </w:tcPr>
          <w:p w14:paraId="60D7EB2D"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Spolu</w:t>
            </w:r>
          </w:p>
        </w:tc>
        <w:tc>
          <w:tcPr>
            <w:tcW w:w="1417" w:type="dxa"/>
            <w:gridSpan w:val="2"/>
            <w:vAlign w:val="center"/>
          </w:tcPr>
          <w:p w14:paraId="5665F995"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155 776,84</w:t>
            </w:r>
          </w:p>
        </w:tc>
        <w:tc>
          <w:tcPr>
            <w:tcW w:w="1276" w:type="dxa"/>
            <w:vAlign w:val="center"/>
          </w:tcPr>
          <w:p w14:paraId="2124B9F9"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110 991,00</w:t>
            </w:r>
          </w:p>
        </w:tc>
        <w:tc>
          <w:tcPr>
            <w:tcW w:w="1276" w:type="dxa"/>
            <w:gridSpan w:val="2"/>
            <w:vAlign w:val="center"/>
          </w:tcPr>
          <w:p w14:paraId="18FF4E11"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36 997,00</w:t>
            </w:r>
          </w:p>
        </w:tc>
        <w:tc>
          <w:tcPr>
            <w:tcW w:w="1495" w:type="dxa"/>
            <w:gridSpan w:val="3"/>
            <w:vAlign w:val="center"/>
          </w:tcPr>
          <w:p w14:paraId="15629607" w14:textId="77777777" w:rsidR="00C02D67" w:rsidRPr="00D0587E" w:rsidRDefault="00B84B06" w:rsidP="00C02D67">
            <w:pPr>
              <w:jc w:val="right"/>
              <w:rPr>
                <w:rFonts w:ascii="Times New Roman" w:hAnsi="Times New Roman" w:cs="Times New Roman"/>
              </w:rPr>
            </w:pPr>
            <w:r w:rsidRPr="00D0587E">
              <w:rPr>
                <w:rFonts w:ascii="Times New Roman" w:hAnsi="Times New Roman" w:cs="Times New Roman"/>
              </w:rPr>
              <w:t>7 788,84</w:t>
            </w:r>
          </w:p>
        </w:tc>
        <w:tc>
          <w:tcPr>
            <w:tcW w:w="937" w:type="dxa"/>
            <w:vAlign w:val="center"/>
          </w:tcPr>
          <w:p w14:paraId="022258B3"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32106C48" w14:textId="77777777" w:rsidTr="003C458C">
        <w:trPr>
          <w:trHeight w:val="624"/>
        </w:trPr>
        <w:tc>
          <w:tcPr>
            <w:tcW w:w="2127" w:type="dxa"/>
            <w:vAlign w:val="center"/>
          </w:tcPr>
          <w:p w14:paraId="032730E2"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Princípy pre stanovenie výberových a </w:t>
            </w:r>
          </w:p>
          <w:p w14:paraId="118AF8E4"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14"/>
            </w:r>
          </w:p>
        </w:tc>
        <w:tc>
          <w:tcPr>
            <w:tcW w:w="7393" w:type="dxa"/>
            <w:gridSpan w:val="10"/>
            <w:vAlign w:val="center"/>
          </w:tcPr>
          <w:p w14:paraId="1B7AEB72" w14:textId="77777777" w:rsidR="00C02D67" w:rsidRPr="00D0587E" w:rsidRDefault="00107282" w:rsidP="00107282">
            <w:pPr>
              <w:rPr>
                <w:rFonts w:ascii="Times New Roman" w:hAnsi="Times New Roman" w:cs="Times New Roman"/>
                <w:i/>
              </w:rPr>
            </w:pPr>
            <w:r w:rsidRPr="00D0587E">
              <w:rPr>
                <w:rFonts w:ascii="Times New Roman" w:hAnsi="Times New Roman" w:cs="Times New Roman"/>
                <w:i/>
              </w:rPr>
              <w:t>v súlade s PRV</w:t>
            </w:r>
            <w:r w:rsidR="00C02D67" w:rsidRPr="00D0587E">
              <w:rPr>
                <w:rFonts w:ascii="Times New Roman" w:hAnsi="Times New Roman" w:cs="Times New Roman"/>
                <w:i/>
              </w:rPr>
              <w:t xml:space="preserve">, vlastné </w:t>
            </w:r>
          </w:p>
          <w:p w14:paraId="55A729C3" w14:textId="77777777" w:rsidR="00107282" w:rsidRPr="00D0587E" w:rsidRDefault="00107282" w:rsidP="00107282">
            <w:pPr>
              <w:spacing w:after="60"/>
              <w:rPr>
                <w:rFonts w:ascii="Times New Roman" w:hAnsi="Times New Roman" w:cs="Times New Roman"/>
                <w:b/>
                <w:i/>
                <w:sz w:val="24"/>
                <w:szCs w:val="24"/>
              </w:rPr>
            </w:pPr>
            <w:r w:rsidRPr="00D0587E">
              <w:rPr>
                <w:rFonts w:ascii="Times New Roman" w:hAnsi="Times New Roman" w:cs="Times New Roman"/>
                <w:b/>
                <w:i/>
                <w:sz w:val="24"/>
                <w:szCs w:val="24"/>
              </w:rPr>
              <w:t>Zvýhodňované budú nasledovné projekty:</w:t>
            </w:r>
          </w:p>
          <w:p w14:paraId="08FA0445"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súvisiace s ekonomickým rozvojom alebo kombinujúce viacero akcií vytvárajúcich konkrétne podmienky pre ekonomický rozvoj vidieckych obcí</w:t>
            </w:r>
          </w:p>
          <w:p w14:paraId="7A828A27"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riešiace začleňovanie marginalizovaných skupín</w:t>
            </w:r>
          </w:p>
          <w:p w14:paraId="7CFAF81E"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vykazujúce inovatívne znaky či využívanie inovatívnych prvkov príp. technológií najmä v oblasti ochrany životného prostredia</w:t>
            </w:r>
          </w:p>
          <w:p w14:paraId="430DA423"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riešiace využitie OZE</w:t>
            </w:r>
          </w:p>
          <w:p w14:paraId="7D5EBBB0" w14:textId="77777777" w:rsidR="00107282" w:rsidRPr="00D0587E" w:rsidRDefault="00107282" w:rsidP="00107282">
            <w:pPr>
              <w:spacing w:after="60"/>
              <w:rPr>
                <w:rFonts w:ascii="Times New Roman" w:hAnsi="Times New Roman" w:cs="Times New Roman"/>
                <w:i/>
                <w:sz w:val="24"/>
                <w:szCs w:val="24"/>
              </w:rPr>
            </w:pPr>
            <w:r w:rsidRPr="00D0587E">
              <w:rPr>
                <w:rFonts w:ascii="Times New Roman" w:hAnsi="Times New Roman" w:cs="Times New Roman"/>
                <w:i/>
                <w:sz w:val="24"/>
                <w:szCs w:val="24"/>
              </w:rPr>
              <w:t>- riešiace úspory energie</w:t>
            </w:r>
          </w:p>
          <w:p w14:paraId="36533B23" w14:textId="77777777" w:rsidR="00107282" w:rsidRPr="00D0587E" w:rsidRDefault="00107282" w:rsidP="00107282">
            <w:pPr>
              <w:rPr>
                <w:rFonts w:ascii="Times New Roman" w:hAnsi="Times New Roman" w:cs="Times New Roman"/>
              </w:rPr>
            </w:pPr>
            <w:r w:rsidRPr="00D0587E">
              <w:rPr>
                <w:rFonts w:ascii="Times New Roman" w:hAnsi="Times New Roman" w:cs="Times New Roman"/>
                <w:i/>
                <w:sz w:val="24"/>
                <w:szCs w:val="24"/>
              </w:rPr>
              <w:t>- so znakmi integrovaného projektu (napr. má dokázateľnú prepojiteľnosť na iné projekty) alebo synergický efekt</w:t>
            </w:r>
          </w:p>
        </w:tc>
      </w:tr>
      <w:tr w:rsidR="00D0587E" w:rsidRPr="00D0587E" w14:paraId="6BEEC790" w14:textId="77777777" w:rsidTr="003C458C">
        <w:trPr>
          <w:trHeight w:val="624"/>
        </w:trPr>
        <w:tc>
          <w:tcPr>
            <w:tcW w:w="2127" w:type="dxa"/>
            <w:vAlign w:val="center"/>
          </w:tcPr>
          <w:p w14:paraId="3B16D355"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Povinné prílohy stanovené MAS</w:t>
            </w:r>
            <w:r w:rsidRPr="00D0587E">
              <w:rPr>
                <w:rStyle w:val="Odkaznapoznmkupodiarou"/>
                <w:rFonts w:ascii="Times New Roman" w:hAnsi="Times New Roman" w:cs="Times New Roman"/>
              </w:rPr>
              <w:footnoteReference w:id="15"/>
            </w:r>
          </w:p>
        </w:tc>
        <w:tc>
          <w:tcPr>
            <w:tcW w:w="7393" w:type="dxa"/>
            <w:gridSpan w:val="10"/>
            <w:vAlign w:val="center"/>
          </w:tcPr>
          <w:p w14:paraId="75B64129" w14:textId="77777777" w:rsidR="00C02D67" w:rsidRPr="00D0587E" w:rsidRDefault="003C458C" w:rsidP="00C02D67">
            <w:pPr>
              <w:rPr>
                <w:rFonts w:ascii="Times New Roman" w:hAnsi="Times New Roman" w:cs="Times New Roman"/>
                <w:i/>
              </w:rPr>
            </w:pPr>
            <w:r w:rsidRPr="00D0587E">
              <w:rPr>
                <w:rFonts w:ascii="Times New Roman" w:hAnsi="Times New Roman" w:cs="Times New Roman"/>
                <w:i/>
              </w:rPr>
              <w:t>žiadne</w:t>
            </w:r>
          </w:p>
        </w:tc>
      </w:tr>
      <w:tr w:rsidR="00D0587E" w:rsidRPr="00D0587E" w14:paraId="1FCA62C0" w14:textId="77777777" w:rsidTr="003C458C">
        <w:trPr>
          <w:trHeight w:val="624"/>
        </w:trPr>
        <w:tc>
          <w:tcPr>
            <w:tcW w:w="2127" w:type="dxa"/>
            <w:vMerge w:val="restart"/>
            <w:vAlign w:val="center"/>
          </w:tcPr>
          <w:p w14:paraId="426AE150"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Merateľné ukazovatele projektu</w:t>
            </w:r>
          </w:p>
        </w:tc>
        <w:tc>
          <w:tcPr>
            <w:tcW w:w="1890" w:type="dxa"/>
            <w:gridSpan w:val="2"/>
            <w:vAlign w:val="center"/>
          </w:tcPr>
          <w:p w14:paraId="19529999"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Kód/ID</w:t>
            </w:r>
          </w:p>
        </w:tc>
        <w:tc>
          <w:tcPr>
            <w:tcW w:w="1957" w:type="dxa"/>
            <w:gridSpan w:val="3"/>
            <w:vAlign w:val="center"/>
          </w:tcPr>
          <w:p w14:paraId="10DB4CC4"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481CA7EF"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0E636687"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1660EF56"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7B7BAF85" w14:textId="77777777" w:rsidTr="003C458C">
        <w:trPr>
          <w:trHeight w:val="624"/>
        </w:trPr>
        <w:tc>
          <w:tcPr>
            <w:tcW w:w="2127" w:type="dxa"/>
            <w:vMerge/>
            <w:vAlign w:val="center"/>
          </w:tcPr>
          <w:p w14:paraId="323B358B" w14:textId="77777777" w:rsidR="00AD2789" w:rsidRPr="00D0587E" w:rsidRDefault="00AD2789" w:rsidP="00C02D67">
            <w:pPr>
              <w:rPr>
                <w:rFonts w:ascii="Times New Roman" w:hAnsi="Times New Roman" w:cs="Times New Roman"/>
              </w:rPr>
            </w:pPr>
          </w:p>
        </w:tc>
        <w:tc>
          <w:tcPr>
            <w:tcW w:w="1890" w:type="dxa"/>
            <w:gridSpan w:val="2"/>
            <w:vAlign w:val="center"/>
          </w:tcPr>
          <w:p w14:paraId="2481EE83" w14:textId="77777777" w:rsidR="00AD2789" w:rsidRPr="00D0587E" w:rsidRDefault="00AD2789" w:rsidP="00C02D67">
            <w:pPr>
              <w:jc w:val="center"/>
              <w:rPr>
                <w:rFonts w:ascii="Times New Roman" w:hAnsi="Times New Roman" w:cs="Times New Roman"/>
              </w:rPr>
            </w:pPr>
            <w:r w:rsidRPr="00D0587E">
              <w:rPr>
                <w:rFonts w:ascii="Times New Roman" w:hAnsi="Times New Roman" w:cs="Times New Roman"/>
              </w:rPr>
              <w:t>7.5</w:t>
            </w:r>
          </w:p>
        </w:tc>
        <w:tc>
          <w:tcPr>
            <w:tcW w:w="1957" w:type="dxa"/>
            <w:gridSpan w:val="3"/>
            <w:vAlign w:val="center"/>
          </w:tcPr>
          <w:p w14:paraId="27A7E957" w14:textId="77777777" w:rsidR="00AD2789" w:rsidRPr="00D0587E" w:rsidRDefault="00AD2789" w:rsidP="00AD2789">
            <w:pPr>
              <w:rPr>
                <w:rFonts w:ascii="Times New Roman" w:hAnsi="Times New Roman" w:cs="Times New Roman"/>
              </w:rPr>
            </w:pPr>
            <w:r w:rsidRPr="00D0587E">
              <w:rPr>
                <w:rFonts w:ascii="Times New Roman" w:hAnsi="Times New Roman" w:cs="Times New Roman"/>
                <w:bCs/>
              </w:rPr>
              <w:t xml:space="preserve">Počet podporených turisticky zaujímavých objektov, bodov </w:t>
            </w:r>
            <w:r w:rsidRPr="00D0587E">
              <w:rPr>
                <w:rFonts w:ascii="Times New Roman" w:hAnsi="Times New Roman" w:cs="Times New Roman"/>
                <w:bCs/>
              </w:rPr>
              <w:lastRenderedPageBreak/>
              <w:t>a miest</w:t>
            </w:r>
          </w:p>
        </w:tc>
        <w:tc>
          <w:tcPr>
            <w:tcW w:w="1155" w:type="dxa"/>
            <w:gridSpan w:val="2"/>
            <w:vAlign w:val="center"/>
          </w:tcPr>
          <w:p w14:paraId="6FAF6899" w14:textId="77777777" w:rsidR="00AD2789" w:rsidRPr="00D0587E" w:rsidRDefault="00AD2789" w:rsidP="00AD2789">
            <w:pPr>
              <w:jc w:val="center"/>
              <w:rPr>
                <w:rFonts w:ascii="Times New Roman" w:hAnsi="Times New Roman" w:cs="Times New Roman"/>
              </w:rPr>
            </w:pPr>
            <w:r w:rsidRPr="00D0587E">
              <w:rPr>
                <w:rFonts w:ascii="Times New Roman" w:hAnsi="Times New Roman" w:cs="Times New Roman"/>
              </w:rPr>
              <w:lastRenderedPageBreak/>
              <w:t>Počet</w:t>
            </w:r>
          </w:p>
        </w:tc>
        <w:tc>
          <w:tcPr>
            <w:tcW w:w="1262" w:type="dxa"/>
            <w:vAlign w:val="center"/>
          </w:tcPr>
          <w:p w14:paraId="374CA60D" w14:textId="77777777" w:rsidR="00AD2789" w:rsidRPr="00D0587E" w:rsidRDefault="00AD2789" w:rsidP="00C02D67">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128B0CEE" w14:textId="77777777" w:rsidR="00AD2789" w:rsidRPr="00D0587E" w:rsidRDefault="00D313CC" w:rsidP="00C02D67">
            <w:pPr>
              <w:jc w:val="center"/>
              <w:rPr>
                <w:rFonts w:ascii="Times New Roman" w:hAnsi="Times New Roman" w:cs="Times New Roman"/>
              </w:rPr>
            </w:pPr>
            <w:r w:rsidRPr="00D0587E">
              <w:rPr>
                <w:rFonts w:ascii="Times New Roman" w:hAnsi="Times New Roman" w:cs="Times New Roman"/>
              </w:rPr>
              <w:t>3</w:t>
            </w:r>
          </w:p>
        </w:tc>
      </w:tr>
      <w:tr w:rsidR="00D0587E" w:rsidRPr="00D0587E" w14:paraId="185ADCB1" w14:textId="77777777" w:rsidTr="003C458C">
        <w:trPr>
          <w:trHeight w:val="624"/>
        </w:trPr>
        <w:tc>
          <w:tcPr>
            <w:tcW w:w="2127" w:type="dxa"/>
            <w:vMerge/>
            <w:vAlign w:val="center"/>
          </w:tcPr>
          <w:p w14:paraId="53096FD6" w14:textId="77777777" w:rsidR="00C02D67" w:rsidRPr="00D0587E" w:rsidRDefault="00C02D67" w:rsidP="00C02D67">
            <w:pPr>
              <w:spacing w:after="200" w:line="276" w:lineRule="auto"/>
              <w:rPr>
                <w:rFonts w:ascii="Times New Roman" w:hAnsi="Times New Roman" w:cs="Times New Roman"/>
              </w:rPr>
            </w:pPr>
          </w:p>
        </w:tc>
        <w:tc>
          <w:tcPr>
            <w:tcW w:w="1890" w:type="dxa"/>
            <w:gridSpan w:val="2"/>
            <w:vAlign w:val="center"/>
          </w:tcPr>
          <w:p w14:paraId="2C143B96" w14:textId="77777777" w:rsidR="00C02D67" w:rsidRPr="00D0587E" w:rsidRDefault="00AD2789" w:rsidP="00AD2789">
            <w:pPr>
              <w:spacing w:after="200" w:line="276" w:lineRule="auto"/>
              <w:jc w:val="center"/>
              <w:rPr>
                <w:rFonts w:ascii="Times New Roman" w:hAnsi="Times New Roman" w:cs="Times New Roman"/>
              </w:rPr>
            </w:pPr>
            <w:r w:rsidRPr="00D0587E">
              <w:rPr>
                <w:rFonts w:ascii="Times New Roman" w:hAnsi="Times New Roman" w:cs="Times New Roman"/>
              </w:rPr>
              <w:t>7.5</w:t>
            </w:r>
          </w:p>
        </w:tc>
        <w:tc>
          <w:tcPr>
            <w:tcW w:w="1957" w:type="dxa"/>
            <w:gridSpan w:val="3"/>
            <w:vAlign w:val="center"/>
          </w:tcPr>
          <w:p w14:paraId="1F3EB0FA" w14:textId="77777777" w:rsidR="00C02D67" w:rsidRPr="00D0587E" w:rsidRDefault="00AD2789" w:rsidP="00AD2789">
            <w:pPr>
              <w:spacing w:after="200" w:line="276" w:lineRule="auto"/>
              <w:rPr>
                <w:rFonts w:ascii="Times New Roman" w:hAnsi="Times New Roman" w:cs="Times New Roman"/>
                <w:i/>
              </w:rPr>
            </w:pPr>
            <w:r w:rsidRPr="00D0587E">
              <w:rPr>
                <w:rFonts w:ascii="Times New Roman" w:hAnsi="Times New Roman" w:cs="Times New Roman"/>
                <w:bCs/>
              </w:rPr>
              <w:t>Dĺžka podporených náučných chodníkov, cykloturistických chodníkov</w:t>
            </w:r>
          </w:p>
        </w:tc>
        <w:tc>
          <w:tcPr>
            <w:tcW w:w="1155" w:type="dxa"/>
            <w:gridSpan w:val="2"/>
            <w:vAlign w:val="center"/>
          </w:tcPr>
          <w:p w14:paraId="4318253C" w14:textId="77777777" w:rsidR="00C02D67" w:rsidRPr="00D0587E" w:rsidRDefault="00AD2789" w:rsidP="00AD2789">
            <w:pPr>
              <w:spacing w:after="200" w:line="276" w:lineRule="auto"/>
              <w:jc w:val="center"/>
              <w:rPr>
                <w:rFonts w:ascii="Times New Roman" w:hAnsi="Times New Roman" w:cs="Times New Roman"/>
              </w:rPr>
            </w:pPr>
            <w:r w:rsidRPr="00D0587E">
              <w:rPr>
                <w:rFonts w:ascii="Times New Roman" w:hAnsi="Times New Roman" w:cs="Times New Roman"/>
              </w:rPr>
              <w:t>km</w:t>
            </w:r>
          </w:p>
        </w:tc>
        <w:tc>
          <w:tcPr>
            <w:tcW w:w="1262" w:type="dxa"/>
            <w:vAlign w:val="center"/>
          </w:tcPr>
          <w:p w14:paraId="10595467" w14:textId="77777777" w:rsidR="00C02D67" w:rsidRPr="00D0587E" w:rsidRDefault="00AD2789" w:rsidP="00AD2789">
            <w:pPr>
              <w:spacing w:after="200" w:line="276" w:lineRule="auto"/>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4E07B295" w14:textId="77777777" w:rsidR="00C02D67" w:rsidRPr="00D0587E" w:rsidRDefault="003C458C" w:rsidP="003C458C">
            <w:pPr>
              <w:spacing w:after="200" w:line="276" w:lineRule="auto"/>
              <w:jc w:val="center"/>
              <w:rPr>
                <w:rFonts w:ascii="Times New Roman" w:hAnsi="Times New Roman" w:cs="Times New Roman"/>
                <w:i/>
              </w:rPr>
            </w:pPr>
            <w:r w:rsidRPr="00D0587E">
              <w:rPr>
                <w:rFonts w:ascii="Times New Roman" w:hAnsi="Times New Roman" w:cs="Times New Roman"/>
                <w:i/>
              </w:rPr>
              <w:t>2</w:t>
            </w:r>
          </w:p>
        </w:tc>
      </w:tr>
      <w:tr w:rsidR="00D0587E" w:rsidRPr="00D0587E" w14:paraId="39DCF038" w14:textId="77777777" w:rsidTr="003C458C">
        <w:trPr>
          <w:trHeight w:val="624"/>
        </w:trPr>
        <w:tc>
          <w:tcPr>
            <w:tcW w:w="2127" w:type="dxa"/>
            <w:vAlign w:val="center"/>
          </w:tcPr>
          <w:p w14:paraId="70D12E9E"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10"/>
          </w:tcPr>
          <w:p w14:paraId="23F645B5" w14:textId="1512BB69" w:rsidR="00C02D67" w:rsidRPr="00D0587E" w:rsidRDefault="008640DB" w:rsidP="00C02D67">
            <w:pPr>
              <w:jc w:val="both"/>
              <w:rPr>
                <w:rFonts w:ascii="Times New Roman" w:hAnsi="Times New Roman" w:cs="Times New Roman"/>
              </w:rPr>
            </w:pPr>
            <w:r>
              <w:rPr>
                <w:rFonts w:ascii="Times New Roman" w:hAnsi="Times New Roman" w:cs="Times New Roman"/>
                <w:i/>
              </w:rPr>
              <w:t>november</w:t>
            </w:r>
            <w:r w:rsidRPr="00D0587E">
              <w:rPr>
                <w:rFonts w:ascii="Times New Roman" w:hAnsi="Times New Roman" w:cs="Times New Roman"/>
                <w:i/>
              </w:rPr>
              <w:t xml:space="preserve"> </w:t>
            </w:r>
            <w:r w:rsidR="00B26DD2" w:rsidRPr="00D0587E">
              <w:rPr>
                <w:rFonts w:ascii="Times New Roman" w:hAnsi="Times New Roman" w:cs="Times New Roman"/>
                <w:i/>
              </w:rPr>
              <w:t>201</w:t>
            </w:r>
            <w:r>
              <w:rPr>
                <w:rFonts w:ascii="Times New Roman" w:hAnsi="Times New Roman" w:cs="Times New Roman"/>
                <w:i/>
              </w:rPr>
              <w:t>9</w:t>
            </w:r>
          </w:p>
        </w:tc>
      </w:tr>
    </w:tbl>
    <w:p w14:paraId="6BF86869" w14:textId="77777777" w:rsidR="00C02D67" w:rsidRDefault="00C02D67" w:rsidP="00362E8C">
      <w:pPr>
        <w:spacing w:after="0" w:line="312" w:lineRule="auto"/>
        <w:rPr>
          <w:rFonts w:ascii="Times New Roman" w:hAnsi="Times New Roman" w:cs="Times New Roman"/>
          <w:b/>
          <w:sz w:val="24"/>
          <w:szCs w:val="24"/>
        </w:rPr>
      </w:pPr>
    </w:p>
    <w:p w14:paraId="33CA7CB5"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D0587E">
        <w:rPr>
          <w:rFonts w:ascii="Times New Roman" w:hAnsi="Times New Roman" w:cs="Times New Roman"/>
          <w:b/>
          <w:sz w:val="20"/>
          <w:szCs w:val="20"/>
        </w:rPr>
        <w:t>D</w:t>
      </w:r>
      <w:r w:rsidRPr="008951E2">
        <w:rPr>
          <w:rFonts w:ascii="Times New Roman" w:hAnsi="Times New Roman" w:cs="Times New Roman"/>
          <w:b/>
          <w:sz w:val="20"/>
          <w:szCs w:val="20"/>
        </w:rPr>
        <w:t xml:space="preserve"> Opatrenie stratégie CLLD 2.3</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D0587E" w:rsidRPr="00D0587E" w14:paraId="6FC0CE8B" w14:textId="77777777" w:rsidTr="00F5521F">
        <w:trPr>
          <w:trHeight w:val="624"/>
        </w:trPr>
        <w:tc>
          <w:tcPr>
            <w:tcW w:w="2127" w:type="dxa"/>
            <w:vAlign w:val="center"/>
          </w:tcPr>
          <w:p w14:paraId="7A1EE944"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Názov opatrenia </w:t>
            </w:r>
          </w:p>
        </w:tc>
        <w:tc>
          <w:tcPr>
            <w:tcW w:w="7393" w:type="dxa"/>
            <w:gridSpan w:val="9"/>
          </w:tcPr>
          <w:p w14:paraId="0EE7DAC7" w14:textId="77777777" w:rsidR="00C02D67" w:rsidRPr="00D0587E" w:rsidRDefault="00C72D29" w:rsidP="00C02D67">
            <w:pPr>
              <w:rPr>
                <w:rFonts w:ascii="Times New Roman" w:hAnsi="Times New Roman" w:cs="Times New Roman"/>
              </w:rPr>
            </w:pPr>
            <w:r w:rsidRPr="00D0587E">
              <w:rPr>
                <w:rFonts w:ascii="Times New Roman" w:hAnsi="Times New Roman" w:cs="Times New Roman"/>
                <w:b/>
                <w:sz w:val="24"/>
                <w:szCs w:val="24"/>
              </w:rPr>
              <w:t>2.3 Podpora na investície do rozvoja vidieckeho cestovného ruchu a agroturistiky</w:t>
            </w:r>
          </w:p>
        </w:tc>
      </w:tr>
      <w:tr w:rsidR="00D0587E" w:rsidRPr="00D0587E" w14:paraId="3286B7D5" w14:textId="77777777" w:rsidTr="00F5521F">
        <w:trPr>
          <w:trHeight w:val="624"/>
        </w:trPr>
        <w:tc>
          <w:tcPr>
            <w:tcW w:w="2127" w:type="dxa"/>
            <w:vAlign w:val="center"/>
          </w:tcPr>
          <w:p w14:paraId="52C0AAEC"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Priradenie kódu opatrenia</w:t>
            </w:r>
            <w:r w:rsidRPr="00D0587E">
              <w:rPr>
                <w:rStyle w:val="Odkaznapoznmkupodiarou"/>
                <w:rFonts w:ascii="Times New Roman" w:hAnsi="Times New Roman" w:cs="Times New Roman"/>
              </w:rPr>
              <w:footnoteReference w:id="16"/>
            </w:r>
            <w:r w:rsidRPr="00D0587E">
              <w:rPr>
                <w:rFonts w:ascii="Times New Roman" w:hAnsi="Times New Roman" w:cs="Times New Roman"/>
              </w:rPr>
              <w:t xml:space="preserve"> </w:t>
            </w:r>
          </w:p>
        </w:tc>
        <w:tc>
          <w:tcPr>
            <w:tcW w:w="7393" w:type="dxa"/>
            <w:gridSpan w:val="9"/>
          </w:tcPr>
          <w:p w14:paraId="446A0676" w14:textId="77777777" w:rsidR="00C02D67" w:rsidRPr="00D0587E" w:rsidRDefault="00C72D29" w:rsidP="00C02D67">
            <w:pPr>
              <w:rPr>
                <w:rFonts w:ascii="Times New Roman" w:hAnsi="Times New Roman" w:cs="Times New Roman"/>
              </w:rPr>
            </w:pPr>
            <w:r w:rsidRPr="00D0587E">
              <w:rPr>
                <w:rFonts w:ascii="Times New Roman" w:hAnsi="Times New Roman" w:cs="Times New Roman"/>
              </w:rPr>
              <w:t>6.4.</w:t>
            </w:r>
          </w:p>
        </w:tc>
      </w:tr>
      <w:tr w:rsidR="00D0587E" w:rsidRPr="00D0587E" w14:paraId="205EEA01" w14:textId="77777777" w:rsidTr="00F5521F">
        <w:trPr>
          <w:trHeight w:val="624"/>
        </w:trPr>
        <w:tc>
          <w:tcPr>
            <w:tcW w:w="2127" w:type="dxa"/>
            <w:vAlign w:val="center"/>
          </w:tcPr>
          <w:p w14:paraId="75472D7C"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9"/>
          </w:tcPr>
          <w:p w14:paraId="46A8D659" w14:textId="77777777" w:rsidR="00A141C1" w:rsidRPr="00A141C1" w:rsidRDefault="00A141C1" w:rsidP="00A141C1">
            <w:pPr>
              <w:rPr>
                <w:rFonts w:ascii="Times New Roman" w:hAnsi="Times New Roman" w:cs="Times New Roman"/>
                <w:sz w:val="24"/>
                <w:szCs w:val="24"/>
              </w:rPr>
            </w:pPr>
            <w:r w:rsidRPr="00A141C1">
              <w:rPr>
                <w:rFonts w:ascii="Times New Roman" w:hAnsi="Times New Roman" w:cs="Times New Roman"/>
                <w:sz w:val="24"/>
                <w:szCs w:val="24"/>
              </w:rPr>
              <w:t>Sekundárna FO predominantná – 6A</w:t>
            </w:r>
          </w:p>
          <w:p w14:paraId="5633E82D" w14:textId="0AAC6E22" w:rsidR="00C02D67" w:rsidRPr="00D0587E" w:rsidRDefault="00A141C1" w:rsidP="00A141C1">
            <w:pPr>
              <w:rPr>
                <w:rFonts w:ascii="Times New Roman" w:hAnsi="Times New Roman" w:cs="Times New Roman"/>
              </w:rPr>
            </w:pPr>
            <w:r w:rsidRPr="00A141C1">
              <w:rPr>
                <w:rFonts w:ascii="Times New Roman" w:hAnsi="Times New Roman" w:cs="Times New Roman"/>
                <w:sz w:val="24"/>
                <w:szCs w:val="24"/>
              </w:rPr>
              <w:t>Sekundárna FO doplnková  – 2A</w:t>
            </w:r>
          </w:p>
        </w:tc>
      </w:tr>
      <w:tr w:rsidR="00D0587E" w:rsidRPr="00D0587E" w14:paraId="4ECA2719" w14:textId="77777777" w:rsidTr="00F5521F">
        <w:trPr>
          <w:trHeight w:val="624"/>
        </w:trPr>
        <w:tc>
          <w:tcPr>
            <w:tcW w:w="2127" w:type="dxa"/>
            <w:vAlign w:val="center"/>
          </w:tcPr>
          <w:p w14:paraId="7443F22A"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9"/>
            <w:vAlign w:val="center"/>
          </w:tcPr>
          <w:p w14:paraId="6DAE323C" w14:textId="77777777" w:rsidR="00C02D67" w:rsidRPr="00D0587E" w:rsidRDefault="003C458C" w:rsidP="00C02D67">
            <w:pPr>
              <w:jc w:val="both"/>
              <w:rPr>
                <w:rFonts w:ascii="Times New Roman" w:hAnsi="Times New Roman" w:cs="Times New Roman"/>
                <w:i/>
                <w:sz w:val="18"/>
                <w:szCs w:val="18"/>
              </w:rPr>
            </w:pPr>
            <w:r w:rsidRPr="00D0587E">
              <w:rPr>
                <w:rFonts w:ascii="Times New Roman" w:hAnsi="Times New Roman" w:cs="Times New Roman"/>
                <w:i/>
                <w:sz w:val="24"/>
                <w:szCs w:val="24"/>
              </w:rPr>
              <w:t>Opatrenie prispieva k naplneniu Špecifického cieľa: Zlepšiť podmienky pre rozvoj potenciálu vidieckeho cestovného ruchu a spolupráce. Cieľom opatrenia je rozvojom podnikateľskej činnosti na vidieku zabezpečiť nové pracovné príležitosti pre nezamestnaných a osobitne mladých ľudí a podporiť tak ekonomický rast, stabilizáciu a posilnenie vidieckej ekonomiky ako aj generovanie nových pracovných miest.</w:t>
            </w:r>
          </w:p>
        </w:tc>
      </w:tr>
      <w:tr w:rsidR="00D0587E" w:rsidRPr="00D0587E" w14:paraId="0E12AB10" w14:textId="77777777" w:rsidTr="00F5521F">
        <w:trPr>
          <w:trHeight w:val="624"/>
        </w:trPr>
        <w:tc>
          <w:tcPr>
            <w:tcW w:w="2127" w:type="dxa"/>
            <w:vAlign w:val="center"/>
          </w:tcPr>
          <w:p w14:paraId="3C4ADB4D"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Zdôvodnenie výberu</w:t>
            </w:r>
          </w:p>
        </w:tc>
        <w:tc>
          <w:tcPr>
            <w:tcW w:w="7393" w:type="dxa"/>
            <w:gridSpan w:val="9"/>
            <w:vAlign w:val="center"/>
          </w:tcPr>
          <w:p w14:paraId="1ECBDE0F" w14:textId="77777777" w:rsidR="00C02D67" w:rsidRPr="00D0587E" w:rsidRDefault="003C458C" w:rsidP="00C02D67">
            <w:pPr>
              <w:jc w:val="both"/>
              <w:rPr>
                <w:rFonts w:ascii="Times New Roman" w:hAnsi="Times New Roman" w:cs="Times New Roman"/>
                <w:i/>
              </w:rPr>
            </w:pPr>
            <w:r w:rsidRPr="00D0587E">
              <w:rPr>
                <w:rFonts w:ascii="Times New Roman" w:hAnsi="Times New Roman" w:cs="Times New Roman"/>
                <w:i/>
              </w:rPr>
              <w:t>Opatrenie reflektuje na potreby identifikované v oblasti Cestovný ruch, Hospodárstvo a Ľudské zdroje a sekundárne aj Životné prostredie v rámci Identifikácie potrieb</w:t>
            </w:r>
          </w:p>
        </w:tc>
      </w:tr>
      <w:tr w:rsidR="00D0587E" w:rsidRPr="00D0587E" w14:paraId="09E93DAB" w14:textId="77777777" w:rsidTr="00F5521F">
        <w:trPr>
          <w:trHeight w:val="624"/>
        </w:trPr>
        <w:tc>
          <w:tcPr>
            <w:tcW w:w="2127" w:type="dxa"/>
            <w:vAlign w:val="center"/>
          </w:tcPr>
          <w:p w14:paraId="7D392E78"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9"/>
            <w:vAlign w:val="center"/>
          </w:tcPr>
          <w:p w14:paraId="15B8B180"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Činnosť 1: činnosti spojené s vidieckym cestovným ruchom a agroturistikou zamerané na vytváranie podmienok pre rekreačné a relaxačné činnosti, vrátane vytvárania podmienok na poskytovanie vzdelávania a vytvorenie konferenčných priestorov.</w:t>
            </w:r>
          </w:p>
          <w:p w14:paraId="697E315F" w14:textId="77777777" w:rsidR="003C458C" w:rsidRPr="00D0587E" w:rsidRDefault="003C458C" w:rsidP="003C458C">
            <w:pPr>
              <w:spacing w:after="60"/>
              <w:rPr>
                <w:rFonts w:ascii="Times New Roman" w:hAnsi="Times New Roman" w:cs="Times New Roman"/>
                <w:i/>
                <w:sz w:val="24"/>
                <w:szCs w:val="24"/>
              </w:rPr>
            </w:pPr>
            <w:r w:rsidRPr="00D0587E">
              <w:rPr>
                <w:rFonts w:ascii="Times New Roman" w:hAnsi="Times New Roman" w:cs="Times New Roman"/>
                <w:i/>
                <w:sz w:val="24"/>
                <w:szCs w:val="24"/>
              </w:rPr>
              <w:t>Oprávnená je výstavba ubytovacích zariadení, rekonštrukcia a modernizácia existujúcich ubytovacích zariadení, ako aj nevyužívaných objektov na ubytovacie zariadenie a to s kapacitou od 5 do 30 lôžok, v nadväznosti na vytvorenie alebo modernizáciu areálu na rozvoj rekreačných a relaxačných činností</w:t>
            </w:r>
          </w:p>
          <w:p w14:paraId="2938FA5B" w14:textId="77777777" w:rsidR="00C02D67" w:rsidRPr="00D0587E" w:rsidRDefault="003C458C" w:rsidP="003C458C">
            <w:pPr>
              <w:jc w:val="both"/>
              <w:rPr>
                <w:rFonts w:ascii="Times New Roman" w:hAnsi="Times New Roman" w:cs="Times New Roman"/>
                <w:i/>
              </w:rPr>
            </w:pPr>
            <w:r w:rsidRPr="00D0587E">
              <w:rPr>
                <w:rFonts w:ascii="Times New Roman" w:hAnsi="Times New Roman" w:cs="Times New Roman"/>
                <w:i/>
                <w:sz w:val="24"/>
                <w:szCs w:val="24"/>
              </w:rPr>
              <w:t>Činnosť 2: činnosti spojené s poskytovaním služieb pre cieľovú skupinu: deti, seniori a občania so zníženou schopnosťou pohybu. V rámci danej oblasti je možné sa zamerať aj na terapie (hipoterapia, animoterapia), lesnú pedagogiku a pod., ktoré prispievajú k rekonvalescencii, lepšiemu začleneniu do spoločenského života, zvýšeniu motoriky cieľovej skupiny.</w:t>
            </w:r>
          </w:p>
        </w:tc>
      </w:tr>
      <w:tr w:rsidR="00D0587E" w:rsidRPr="00D0587E" w14:paraId="593BB212" w14:textId="77777777" w:rsidTr="00F5521F">
        <w:trPr>
          <w:trHeight w:val="624"/>
        </w:trPr>
        <w:tc>
          <w:tcPr>
            <w:tcW w:w="2127" w:type="dxa"/>
            <w:vAlign w:val="center"/>
          </w:tcPr>
          <w:p w14:paraId="53EF7CF8"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Oprávnení prijímatelia</w:t>
            </w:r>
          </w:p>
        </w:tc>
        <w:tc>
          <w:tcPr>
            <w:tcW w:w="7393" w:type="dxa"/>
            <w:gridSpan w:val="9"/>
            <w:vAlign w:val="center"/>
          </w:tcPr>
          <w:p w14:paraId="259A2A9C"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1. Mikropodniky a malé podniky (v zmysle odporúčania Komisie 2003/361/ES) vo vidieckych oblastiach.</w:t>
            </w:r>
          </w:p>
          <w:p w14:paraId="26616775"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2. Fyzické a právnické osoby podnikajúce v oblasti poľnohospodárskej prvovýroby.</w:t>
            </w:r>
          </w:p>
          <w:p w14:paraId="01CAC39B"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lastRenderedPageBreak/>
              <w:t>3. Fyzické a právnické osoby (mikropodniky a malé podniky vo vidieckych oblastiach v zmysle odporúčania Komisie 2003/361/ES) obhospodarujúce lesy vo vlastníctve:</w:t>
            </w:r>
          </w:p>
          <w:p w14:paraId="5ABECB74"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 súkromných vlastníkov a ich združení;</w:t>
            </w:r>
          </w:p>
          <w:p w14:paraId="648FF92F"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 obcí a ich združení;</w:t>
            </w:r>
          </w:p>
          <w:p w14:paraId="02575AF7"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 Cirkvi, ktorej majetok možno podľa právneho poriadku SR považovať za súkromný, pokiaľ ide o jeho správu a nakladanie s ním.</w:t>
            </w:r>
          </w:p>
          <w:p w14:paraId="6C4975DE" w14:textId="77777777" w:rsidR="00C02D67" w:rsidRPr="00D0587E" w:rsidRDefault="00C72D29" w:rsidP="00C72D29">
            <w:pPr>
              <w:jc w:val="both"/>
              <w:rPr>
                <w:rFonts w:ascii="Times New Roman" w:hAnsi="Times New Roman" w:cs="Times New Roman"/>
              </w:rPr>
            </w:pPr>
            <w:r w:rsidRPr="00D0587E">
              <w:rPr>
                <w:rFonts w:ascii="Times New Roman" w:hAnsi="Times New Roman" w:cs="Times New Roman"/>
                <w:i/>
                <w:sz w:val="24"/>
                <w:szCs w:val="24"/>
              </w:rPr>
              <w:t>V rámci opatrenia 6 je možné predkladať</w:t>
            </w:r>
            <w:r w:rsidR="000D7F51">
              <w:rPr>
                <w:rFonts w:ascii="Times New Roman" w:hAnsi="Times New Roman" w:cs="Times New Roman"/>
                <w:i/>
                <w:sz w:val="24"/>
                <w:szCs w:val="24"/>
              </w:rPr>
              <w:t xml:space="preserve"> </w:t>
            </w:r>
            <w:r w:rsidRPr="00D0587E">
              <w:rPr>
                <w:rFonts w:ascii="Times New Roman" w:hAnsi="Times New Roman" w:cs="Times New Roman"/>
                <w:i/>
                <w:sz w:val="24"/>
                <w:szCs w:val="24"/>
              </w:rPr>
              <w:t>integrované projekty zahŕňajúce podporu v rámci opatrenia 6, opatrenia 4 a opatrenia 16.</w:t>
            </w:r>
          </w:p>
        </w:tc>
      </w:tr>
      <w:tr w:rsidR="00D0587E" w:rsidRPr="00D0587E" w14:paraId="3DA1A082" w14:textId="77777777" w:rsidTr="00F5521F">
        <w:trPr>
          <w:trHeight w:val="624"/>
        </w:trPr>
        <w:tc>
          <w:tcPr>
            <w:tcW w:w="2127" w:type="dxa"/>
            <w:vAlign w:val="center"/>
          </w:tcPr>
          <w:p w14:paraId="622B4703"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lastRenderedPageBreak/>
              <w:t xml:space="preserve">Intenzita pomoci </w:t>
            </w:r>
            <w:r w:rsidRPr="00D0587E">
              <w:rPr>
                <w:rStyle w:val="Odkaznapoznmkupodiarou"/>
                <w:rFonts w:ascii="Times New Roman" w:hAnsi="Times New Roman" w:cs="Times New Roman"/>
              </w:rPr>
              <w:footnoteReference w:id="17"/>
            </w:r>
          </w:p>
        </w:tc>
        <w:tc>
          <w:tcPr>
            <w:tcW w:w="7393" w:type="dxa"/>
            <w:gridSpan w:val="9"/>
            <w:vAlign w:val="center"/>
          </w:tcPr>
          <w:p w14:paraId="31501C33"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pre mikro a malé podniky: 45 % </w:t>
            </w:r>
          </w:p>
          <w:p w14:paraId="6956AFC2" w14:textId="77777777" w:rsidR="00C02D67" w:rsidRPr="00D0587E" w:rsidRDefault="00C72D29" w:rsidP="00C72D29">
            <w:pPr>
              <w:jc w:val="both"/>
              <w:rPr>
                <w:rFonts w:ascii="Times New Roman" w:hAnsi="Times New Roman" w:cs="Times New Roman"/>
              </w:rPr>
            </w:pPr>
            <w:r w:rsidRPr="00D0587E">
              <w:rPr>
                <w:rFonts w:ascii="Times New Roman" w:hAnsi="Times New Roman" w:cs="Times New Roman"/>
                <w:i/>
                <w:sz w:val="24"/>
                <w:szCs w:val="24"/>
              </w:rPr>
              <w:t>pre stredné podniky: 35 %</w:t>
            </w:r>
          </w:p>
        </w:tc>
      </w:tr>
      <w:tr w:rsidR="00D0587E" w:rsidRPr="00D0587E" w14:paraId="4419DAFC" w14:textId="77777777" w:rsidTr="00F5521F">
        <w:trPr>
          <w:trHeight w:val="624"/>
        </w:trPr>
        <w:tc>
          <w:tcPr>
            <w:tcW w:w="2127" w:type="dxa"/>
            <w:vAlign w:val="center"/>
          </w:tcPr>
          <w:p w14:paraId="7C977ECE"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Oprávnené výdavky</w:t>
            </w:r>
          </w:p>
        </w:tc>
        <w:tc>
          <w:tcPr>
            <w:tcW w:w="7393" w:type="dxa"/>
            <w:gridSpan w:val="9"/>
            <w:vAlign w:val="center"/>
          </w:tcPr>
          <w:p w14:paraId="5AE88E09" w14:textId="77777777" w:rsidR="00C02D67" w:rsidRPr="00D0587E" w:rsidRDefault="00C02D67" w:rsidP="00C72D29">
            <w:pPr>
              <w:jc w:val="both"/>
              <w:rPr>
                <w:rFonts w:ascii="Times New Roman" w:hAnsi="Times New Roman" w:cs="Times New Roman"/>
                <w:i/>
              </w:rPr>
            </w:pPr>
            <w:r w:rsidRPr="00D0587E">
              <w:rPr>
                <w:rFonts w:ascii="Times New Roman" w:hAnsi="Times New Roman" w:cs="Times New Roman"/>
                <w:i/>
              </w:rPr>
              <w:t>v súlade s PRV (resp. s nariadením EÚ</w:t>
            </w:r>
            <w:r w:rsidR="00C72D29" w:rsidRPr="00D0587E">
              <w:rPr>
                <w:rFonts w:ascii="Times New Roman" w:hAnsi="Times New Roman" w:cs="Times New Roman"/>
                <w:i/>
              </w:rPr>
              <w:t xml:space="preserve"> (č. 1305/2013) :</w:t>
            </w:r>
          </w:p>
          <w:p w14:paraId="269DCA02"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 xml:space="preserve">1. výdavky na hmotné a nehmotné investície, ktoré sú v súlade s oprávnenými činnosťami v rámci tohto podopatrenia a špecifikáciou </w:t>
            </w:r>
            <w:r w:rsidR="000D7F51" w:rsidRPr="00D0587E">
              <w:rPr>
                <w:rFonts w:ascii="Times New Roman" w:hAnsi="Times New Roman" w:cs="Times New Roman"/>
                <w:i/>
                <w:sz w:val="24"/>
                <w:szCs w:val="24"/>
              </w:rPr>
              <w:t>výdavkov</w:t>
            </w:r>
            <w:r w:rsidRPr="00D0587E">
              <w:rPr>
                <w:rFonts w:ascii="Times New Roman" w:hAnsi="Times New Roman" w:cs="Times New Roman"/>
                <w:i/>
                <w:sz w:val="24"/>
                <w:szCs w:val="24"/>
              </w:rPr>
              <w:t xml:space="preserve"> uvedenou v podkapitole 8.1;</w:t>
            </w:r>
          </w:p>
          <w:p w14:paraId="0E5B874C" w14:textId="77777777" w:rsidR="00C72D29" w:rsidRPr="00D0587E" w:rsidRDefault="00C72D29" w:rsidP="00C72D29">
            <w:pPr>
              <w:spacing w:after="60"/>
              <w:rPr>
                <w:rFonts w:ascii="Times New Roman" w:hAnsi="Times New Roman" w:cs="Times New Roman"/>
                <w:i/>
                <w:sz w:val="24"/>
                <w:szCs w:val="24"/>
              </w:rPr>
            </w:pPr>
            <w:r w:rsidRPr="00D0587E">
              <w:rPr>
                <w:rFonts w:ascii="Times New Roman" w:hAnsi="Times New Roman" w:cs="Times New Roman"/>
                <w:i/>
                <w:sz w:val="24"/>
                <w:szCs w:val="24"/>
              </w:rPr>
              <w:t>2. všeobecné náklady súvisiace s bodom 1, špecifikované v podkapitole 8.1.</w:t>
            </w:r>
          </w:p>
          <w:p w14:paraId="1607CB95" w14:textId="77777777" w:rsidR="00C72D29" w:rsidRPr="00D0587E" w:rsidRDefault="00C72D29" w:rsidP="00C72D29">
            <w:pPr>
              <w:jc w:val="both"/>
              <w:rPr>
                <w:rFonts w:ascii="Times New Roman" w:hAnsi="Times New Roman" w:cs="Times New Roman"/>
              </w:rPr>
            </w:pPr>
            <w:r w:rsidRPr="00D0587E">
              <w:rPr>
                <w:rFonts w:ascii="Times New Roman" w:hAnsi="Times New Roman" w:cs="Times New Roman"/>
                <w:i/>
                <w:sz w:val="24"/>
                <w:szCs w:val="24"/>
              </w:rPr>
              <w:t>V prípade obhospodarovateľov lesa je činnosť 1 oprávnená s výnimkou budovania a obnovy občianskej a poznávacej infraštruktúry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tc>
      </w:tr>
      <w:tr w:rsidR="00D0587E" w:rsidRPr="00D0587E" w14:paraId="44AD6BC8" w14:textId="77777777" w:rsidTr="00F5521F">
        <w:trPr>
          <w:trHeight w:val="624"/>
        </w:trPr>
        <w:tc>
          <w:tcPr>
            <w:tcW w:w="2127" w:type="dxa"/>
            <w:vAlign w:val="center"/>
          </w:tcPr>
          <w:p w14:paraId="2EF2D6CE"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9"/>
            <w:vAlign w:val="center"/>
          </w:tcPr>
          <w:p w14:paraId="35276DD6" w14:textId="77777777" w:rsidR="00C02D67" w:rsidRPr="00D0587E" w:rsidRDefault="003C458C" w:rsidP="00C02D67">
            <w:pPr>
              <w:jc w:val="both"/>
              <w:rPr>
                <w:rFonts w:ascii="Times New Roman" w:hAnsi="Times New Roman" w:cs="Times New Roman"/>
              </w:rPr>
            </w:pPr>
            <w:r w:rsidRPr="00D0587E">
              <w:rPr>
                <w:rFonts w:ascii="Times New Roman" w:hAnsi="Times New Roman" w:cs="Times New Roman"/>
                <w:i/>
              </w:rPr>
              <w:t>5 000 – 55 000 EUR</w:t>
            </w:r>
          </w:p>
        </w:tc>
      </w:tr>
      <w:tr w:rsidR="00D0587E" w:rsidRPr="00D0587E" w14:paraId="29B8BF0D" w14:textId="77777777" w:rsidTr="00F5521F">
        <w:trPr>
          <w:trHeight w:val="624"/>
        </w:trPr>
        <w:tc>
          <w:tcPr>
            <w:tcW w:w="2127" w:type="dxa"/>
            <w:vMerge w:val="restart"/>
            <w:vAlign w:val="center"/>
          </w:tcPr>
          <w:p w14:paraId="4C0CA49B"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1C13BD0E"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18"/>
            </w:r>
          </w:p>
        </w:tc>
        <w:tc>
          <w:tcPr>
            <w:tcW w:w="1417" w:type="dxa"/>
            <w:vAlign w:val="center"/>
          </w:tcPr>
          <w:p w14:paraId="3C488765"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457F0834"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356A9CEA"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561297AC"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22517315" w14:textId="77777777" w:rsidR="00C02D67" w:rsidRPr="00D0587E" w:rsidRDefault="00C02D67" w:rsidP="00C02D67">
            <w:pPr>
              <w:jc w:val="center"/>
              <w:rPr>
                <w:rFonts w:ascii="Times New Roman" w:hAnsi="Times New Roman" w:cs="Times New Roman"/>
              </w:rPr>
            </w:pPr>
            <w:r w:rsidRPr="00D0587E">
              <w:rPr>
                <w:rFonts w:ascii="Times New Roman" w:hAnsi="Times New Roman" w:cs="Times New Roman"/>
              </w:rPr>
              <w:t>iné</w:t>
            </w:r>
          </w:p>
        </w:tc>
      </w:tr>
      <w:tr w:rsidR="00D0587E" w:rsidRPr="00D0587E" w14:paraId="2E7FF7E9" w14:textId="77777777" w:rsidTr="00F5521F">
        <w:trPr>
          <w:trHeight w:val="624"/>
        </w:trPr>
        <w:tc>
          <w:tcPr>
            <w:tcW w:w="2127" w:type="dxa"/>
            <w:vMerge/>
            <w:vAlign w:val="center"/>
          </w:tcPr>
          <w:p w14:paraId="2F862812" w14:textId="77777777" w:rsidR="00C02D67" w:rsidRPr="00D0587E" w:rsidRDefault="00C02D67" w:rsidP="00C02D67">
            <w:pPr>
              <w:rPr>
                <w:rFonts w:ascii="Times New Roman" w:hAnsi="Times New Roman" w:cs="Times New Roman"/>
              </w:rPr>
            </w:pPr>
          </w:p>
        </w:tc>
        <w:tc>
          <w:tcPr>
            <w:tcW w:w="992" w:type="dxa"/>
            <w:vAlign w:val="center"/>
          </w:tcPr>
          <w:p w14:paraId="48BC05EB"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 xml:space="preserve">MR </w:t>
            </w:r>
          </w:p>
        </w:tc>
        <w:tc>
          <w:tcPr>
            <w:tcW w:w="1417" w:type="dxa"/>
            <w:vAlign w:val="center"/>
          </w:tcPr>
          <w:p w14:paraId="703BD7DE"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591 966,67</w:t>
            </w:r>
          </w:p>
        </w:tc>
        <w:tc>
          <w:tcPr>
            <w:tcW w:w="1276" w:type="dxa"/>
            <w:vAlign w:val="center"/>
          </w:tcPr>
          <w:p w14:paraId="42D55523"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199 788,75</w:t>
            </w:r>
          </w:p>
        </w:tc>
        <w:tc>
          <w:tcPr>
            <w:tcW w:w="1276" w:type="dxa"/>
            <w:gridSpan w:val="2"/>
            <w:vAlign w:val="center"/>
          </w:tcPr>
          <w:p w14:paraId="0D2FF25D"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66 596,25</w:t>
            </w:r>
          </w:p>
        </w:tc>
        <w:tc>
          <w:tcPr>
            <w:tcW w:w="1495" w:type="dxa"/>
            <w:gridSpan w:val="3"/>
            <w:vAlign w:val="center"/>
          </w:tcPr>
          <w:p w14:paraId="03719AAD"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325 581,67</w:t>
            </w:r>
          </w:p>
        </w:tc>
        <w:tc>
          <w:tcPr>
            <w:tcW w:w="937" w:type="dxa"/>
            <w:vAlign w:val="center"/>
          </w:tcPr>
          <w:p w14:paraId="38479DDD"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4DC8963B" w14:textId="77777777" w:rsidTr="00F5521F">
        <w:trPr>
          <w:trHeight w:val="624"/>
        </w:trPr>
        <w:tc>
          <w:tcPr>
            <w:tcW w:w="2127" w:type="dxa"/>
            <w:vMerge/>
            <w:vAlign w:val="center"/>
          </w:tcPr>
          <w:p w14:paraId="7E566A33" w14:textId="77777777" w:rsidR="00C02D67" w:rsidRPr="00D0587E" w:rsidRDefault="00C02D67" w:rsidP="00C02D67">
            <w:pPr>
              <w:rPr>
                <w:rFonts w:ascii="Times New Roman" w:hAnsi="Times New Roman" w:cs="Times New Roman"/>
              </w:rPr>
            </w:pPr>
          </w:p>
        </w:tc>
        <w:tc>
          <w:tcPr>
            <w:tcW w:w="992" w:type="dxa"/>
            <w:vAlign w:val="center"/>
          </w:tcPr>
          <w:p w14:paraId="54352E72"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VR</w:t>
            </w:r>
          </w:p>
        </w:tc>
        <w:tc>
          <w:tcPr>
            <w:tcW w:w="1417" w:type="dxa"/>
            <w:vAlign w:val="center"/>
          </w:tcPr>
          <w:p w14:paraId="1743B870"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1C075F2E"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61DB2DEB"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307D71C7"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5782BE3A"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6D373A9A" w14:textId="77777777" w:rsidTr="00F5521F">
        <w:trPr>
          <w:trHeight w:val="624"/>
        </w:trPr>
        <w:tc>
          <w:tcPr>
            <w:tcW w:w="2127" w:type="dxa"/>
            <w:vMerge/>
            <w:vAlign w:val="center"/>
          </w:tcPr>
          <w:p w14:paraId="23382323" w14:textId="77777777" w:rsidR="00C02D67" w:rsidRPr="00D0587E" w:rsidRDefault="00C02D67" w:rsidP="00C02D67">
            <w:pPr>
              <w:rPr>
                <w:rFonts w:ascii="Times New Roman" w:hAnsi="Times New Roman" w:cs="Times New Roman"/>
              </w:rPr>
            </w:pPr>
          </w:p>
        </w:tc>
        <w:tc>
          <w:tcPr>
            <w:tcW w:w="992" w:type="dxa"/>
            <w:vAlign w:val="center"/>
          </w:tcPr>
          <w:p w14:paraId="3BA8B70E" w14:textId="77777777" w:rsidR="00C02D67" w:rsidRPr="00D0587E" w:rsidDel="00D14904" w:rsidRDefault="00C02D67" w:rsidP="00C02D67">
            <w:pPr>
              <w:jc w:val="center"/>
              <w:rPr>
                <w:rFonts w:ascii="Times New Roman" w:hAnsi="Times New Roman" w:cs="Times New Roman"/>
              </w:rPr>
            </w:pPr>
            <w:r w:rsidRPr="00D0587E">
              <w:rPr>
                <w:rFonts w:ascii="Times New Roman" w:hAnsi="Times New Roman" w:cs="Times New Roman"/>
              </w:rPr>
              <w:t>Spolu</w:t>
            </w:r>
          </w:p>
        </w:tc>
        <w:tc>
          <w:tcPr>
            <w:tcW w:w="1417" w:type="dxa"/>
            <w:vAlign w:val="center"/>
          </w:tcPr>
          <w:p w14:paraId="5283568C"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591 966,67</w:t>
            </w:r>
          </w:p>
        </w:tc>
        <w:tc>
          <w:tcPr>
            <w:tcW w:w="1276" w:type="dxa"/>
            <w:vAlign w:val="center"/>
          </w:tcPr>
          <w:p w14:paraId="139C171F"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199 788,75</w:t>
            </w:r>
          </w:p>
        </w:tc>
        <w:tc>
          <w:tcPr>
            <w:tcW w:w="1276" w:type="dxa"/>
            <w:gridSpan w:val="2"/>
            <w:vAlign w:val="center"/>
          </w:tcPr>
          <w:p w14:paraId="662FC711"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66 596,25</w:t>
            </w:r>
          </w:p>
        </w:tc>
        <w:tc>
          <w:tcPr>
            <w:tcW w:w="1495" w:type="dxa"/>
            <w:gridSpan w:val="3"/>
            <w:vAlign w:val="center"/>
          </w:tcPr>
          <w:p w14:paraId="51F4C9F7"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325 581,67</w:t>
            </w:r>
          </w:p>
        </w:tc>
        <w:tc>
          <w:tcPr>
            <w:tcW w:w="937" w:type="dxa"/>
            <w:vAlign w:val="center"/>
          </w:tcPr>
          <w:p w14:paraId="36F4ED0F" w14:textId="77777777" w:rsidR="00C02D67" w:rsidRPr="00D0587E" w:rsidRDefault="00465C76"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31A353AB" w14:textId="77777777" w:rsidTr="00F5521F">
        <w:trPr>
          <w:trHeight w:val="624"/>
        </w:trPr>
        <w:tc>
          <w:tcPr>
            <w:tcW w:w="2127" w:type="dxa"/>
            <w:vAlign w:val="center"/>
          </w:tcPr>
          <w:p w14:paraId="7AD02432"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Princípy pre stanovenie výberových a </w:t>
            </w:r>
          </w:p>
          <w:p w14:paraId="1E0994EB"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19"/>
            </w:r>
          </w:p>
        </w:tc>
        <w:tc>
          <w:tcPr>
            <w:tcW w:w="7393" w:type="dxa"/>
            <w:gridSpan w:val="9"/>
            <w:vAlign w:val="center"/>
          </w:tcPr>
          <w:p w14:paraId="70A2AD7F" w14:textId="77777777" w:rsidR="00C02D67" w:rsidRPr="00D0587E" w:rsidRDefault="00C72D29" w:rsidP="00C02D67">
            <w:pPr>
              <w:rPr>
                <w:rFonts w:ascii="Times New Roman" w:hAnsi="Times New Roman" w:cs="Times New Roman"/>
                <w:i/>
              </w:rPr>
            </w:pPr>
            <w:r w:rsidRPr="00D0587E">
              <w:rPr>
                <w:rFonts w:ascii="Times New Roman" w:hAnsi="Times New Roman" w:cs="Times New Roman"/>
                <w:i/>
              </w:rPr>
              <w:t>v súlade s PRV</w:t>
            </w:r>
            <w:r w:rsidR="00C02D67" w:rsidRPr="00D0587E">
              <w:rPr>
                <w:rFonts w:ascii="Times New Roman" w:hAnsi="Times New Roman" w:cs="Times New Roman"/>
                <w:i/>
              </w:rPr>
              <w:t xml:space="preserve">, vlastné </w:t>
            </w:r>
          </w:p>
          <w:p w14:paraId="2BE6CED5" w14:textId="77777777" w:rsidR="00C72D29" w:rsidRPr="00D0587E" w:rsidRDefault="00C72D29" w:rsidP="00C72D29">
            <w:pPr>
              <w:spacing w:after="60"/>
              <w:rPr>
                <w:rFonts w:ascii="Times New Roman" w:hAnsi="Times New Roman" w:cs="Times New Roman"/>
                <w:b/>
                <w:i/>
                <w:sz w:val="24"/>
                <w:szCs w:val="24"/>
              </w:rPr>
            </w:pPr>
            <w:r w:rsidRPr="00D0587E">
              <w:rPr>
                <w:rFonts w:ascii="Times New Roman" w:hAnsi="Times New Roman" w:cs="Times New Roman"/>
                <w:b/>
                <w:i/>
                <w:sz w:val="24"/>
                <w:szCs w:val="24"/>
              </w:rPr>
              <w:t>Zvýhodňované budú nasledovné projekty:</w:t>
            </w:r>
          </w:p>
          <w:p w14:paraId="50999838" w14:textId="77777777" w:rsidR="00C72D29" w:rsidRPr="00D0587E" w:rsidRDefault="00C72D29" w:rsidP="00C72D29">
            <w:pPr>
              <w:jc w:val="both"/>
              <w:rPr>
                <w:rFonts w:ascii="Times New Roman" w:eastAsia="SimSun" w:hAnsi="Times New Roman" w:cs="Mangal"/>
                <w:i/>
                <w:kern w:val="3"/>
                <w:sz w:val="24"/>
                <w:szCs w:val="24"/>
                <w:lang w:eastAsia="zh-CN" w:bidi="hi-IN"/>
              </w:rPr>
            </w:pPr>
            <w:r w:rsidRPr="00D0587E">
              <w:rPr>
                <w:rFonts w:ascii="Times New Roman" w:hAnsi="Times New Roman" w:cs="Times New Roman"/>
                <w:i/>
                <w:sz w:val="24"/>
                <w:szCs w:val="24"/>
              </w:rPr>
              <w:t>- s vyšším počtom vytvorených pracovných miest</w:t>
            </w:r>
          </w:p>
          <w:p w14:paraId="2F718A31" w14:textId="77777777" w:rsidR="00C72D29" w:rsidRPr="00D0587E" w:rsidRDefault="00C72D29" w:rsidP="00C72D29">
            <w:pPr>
              <w:jc w:val="both"/>
              <w:rPr>
                <w:rFonts w:ascii="Times New Roman" w:eastAsia="SimSun" w:hAnsi="Times New Roman" w:cs="Mangal"/>
                <w:i/>
                <w:kern w:val="3"/>
                <w:sz w:val="24"/>
                <w:szCs w:val="24"/>
                <w:lang w:eastAsia="zh-CN" w:bidi="hi-IN"/>
              </w:rPr>
            </w:pPr>
            <w:r w:rsidRPr="00D0587E">
              <w:rPr>
                <w:rFonts w:ascii="Times New Roman" w:hAnsi="Times New Roman" w:cs="Times New Roman"/>
                <w:i/>
                <w:sz w:val="24"/>
                <w:szCs w:val="24"/>
              </w:rPr>
              <w:t>- riešiace využitie zariadení na zachytávanie dažďovej vody a jej následné využitie na pranie, splachovanie WC, umývanie či polievanie rastlín alebo iné inovatívne zariadenia na efektívne využívanie prírodných zdrojov</w:t>
            </w:r>
          </w:p>
          <w:p w14:paraId="31CF3838" w14:textId="77777777" w:rsidR="00C72D29" w:rsidRPr="00D0587E" w:rsidRDefault="00C72D29" w:rsidP="00C72D29">
            <w:pPr>
              <w:jc w:val="both"/>
              <w:rPr>
                <w:rFonts w:ascii="Times New Roman" w:eastAsia="SimSun" w:hAnsi="Times New Roman" w:cs="Mangal"/>
                <w:i/>
                <w:kern w:val="3"/>
                <w:sz w:val="24"/>
                <w:szCs w:val="24"/>
                <w:lang w:eastAsia="zh-CN" w:bidi="hi-IN"/>
              </w:rPr>
            </w:pPr>
            <w:r w:rsidRPr="00D0587E">
              <w:rPr>
                <w:rFonts w:ascii="Times New Roman" w:hAnsi="Times New Roman" w:cs="Times New Roman"/>
                <w:i/>
                <w:sz w:val="24"/>
                <w:szCs w:val="24"/>
              </w:rPr>
              <w:t>- s vybudovaním zelenej infraštruktúry (zeleň, úprava okolia, výsadba stromov).</w:t>
            </w:r>
          </w:p>
          <w:p w14:paraId="75AC7B95" w14:textId="77777777" w:rsidR="00C72D29" w:rsidRPr="00D0587E" w:rsidRDefault="00C72D29" w:rsidP="00C72D29">
            <w:pPr>
              <w:jc w:val="both"/>
              <w:rPr>
                <w:rFonts w:ascii="Times New Roman" w:eastAsia="SimSun" w:hAnsi="Times New Roman" w:cs="Mangal"/>
                <w:i/>
                <w:kern w:val="3"/>
                <w:sz w:val="24"/>
                <w:szCs w:val="24"/>
                <w:lang w:eastAsia="zh-CN" w:bidi="hi-IN"/>
              </w:rPr>
            </w:pPr>
            <w:r w:rsidRPr="00D0587E">
              <w:rPr>
                <w:rFonts w:ascii="Times New Roman" w:hAnsi="Times New Roman" w:cs="Times New Roman"/>
                <w:i/>
                <w:sz w:val="24"/>
                <w:szCs w:val="24"/>
              </w:rPr>
              <w:lastRenderedPageBreak/>
              <w:t>- riešiace využitie OZE</w:t>
            </w:r>
          </w:p>
          <w:p w14:paraId="750DE8A7" w14:textId="77777777" w:rsidR="00C72D29" w:rsidRPr="00D0587E" w:rsidRDefault="00C72D29" w:rsidP="00F5521F">
            <w:pPr>
              <w:jc w:val="both"/>
              <w:rPr>
                <w:rFonts w:ascii="Times New Roman" w:hAnsi="Times New Roman" w:cs="Times New Roman"/>
              </w:rPr>
            </w:pPr>
            <w:r w:rsidRPr="00D0587E">
              <w:rPr>
                <w:rFonts w:ascii="Times New Roman" w:hAnsi="Times New Roman" w:cs="Times New Roman"/>
                <w:i/>
                <w:sz w:val="24"/>
                <w:szCs w:val="24"/>
              </w:rPr>
              <w:t>- riešiace uľahčenie prístupu marginalizovaných skupín (napr. bezbariérovým prístupom)</w:t>
            </w:r>
          </w:p>
        </w:tc>
      </w:tr>
      <w:tr w:rsidR="00D0587E" w:rsidRPr="00D0587E" w14:paraId="1B2374D3" w14:textId="77777777" w:rsidTr="00F5521F">
        <w:trPr>
          <w:trHeight w:val="624"/>
        </w:trPr>
        <w:tc>
          <w:tcPr>
            <w:tcW w:w="2127" w:type="dxa"/>
            <w:vAlign w:val="center"/>
          </w:tcPr>
          <w:p w14:paraId="61CD8A7B"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lastRenderedPageBreak/>
              <w:t>Povinné prílohy stanovené MAS</w:t>
            </w:r>
            <w:r w:rsidRPr="00D0587E">
              <w:rPr>
                <w:rStyle w:val="Odkaznapoznmkupodiarou"/>
                <w:rFonts w:ascii="Times New Roman" w:hAnsi="Times New Roman" w:cs="Times New Roman"/>
              </w:rPr>
              <w:footnoteReference w:id="20"/>
            </w:r>
          </w:p>
        </w:tc>
        <w:tc>
          <w:tcPr>
            <w:tcW w:w="7393" w:type="dxa"/>
            <w:gridSpan w:val="9"/>
            <w:vAlign w:val="center"/>
          </w:tcPr>
          <w:p w14:paraId="254675D7" w14:textId="77777777" w:rsidR="00C02D67" w:rsidRPr="00D0587E" w:rsidRDefault="003C458C" w:rsidP="003C458C">
            <w:pPr>
              <w:rPr>
                <w:rFonts w:ascii="Times New Roman" w:hAnsi="Times New Roman" w:cs="Times New Roman"/>
                <w:i/>
              </w:rPr>
            </w:pPr>
            <w:r w:rsidRPr="00D0587E">
              <w:rPr>
                <w:rFonts w:ascii="Times New Roman" w:hAnsi="Times New Roman" w:cs="Times New Roman"/>
                <w:i/>
              </w:rPr>
              <w:t>žiadne</w:t>
            </w:r>
            <w:r w:rsidRPr="00D0587E">
              <w:rPr>
                <w:rFonts w:ascii="Times New Roman" w:hAnsi="Times New Roman" w:cs="Times New Roman"/>
              </w:rPr>
              <w:t xml:space="preserve"> </w:t>
            </w:r>
          </w:p>
        </w:tc>
      </w:tr>
      <w:tr w:rsidR="00D0587E" w:rsidRPr="00D0587E" w14:paraId="58DCC80F" w14:textId="77777777" w:rsidTr="00F5521F">
        <w:trPr>
          <w:trHeight w:val="624"/>
        </w:trPr>
        <w:tc>
          <w:tcPr>
            <w:tcW w:w="2127" w:type="dxa"/>
            <w:vMerge w:val="restart"/>
            <w:vAlign w:val="center"/>
          </w:tcPr>
          <w:p w14:paraId="3A459393" w14:textId="77777777" w:rsidR="00C02D67" w:rsidRPr="00D0587E" w:rsidRDefault="003C458C" w:rsidP="00C02D67">
            <w:pPr>
              <w:rPr>
                <w:rFonts w:ascii="Times New Roman" w:hAnsi="Times New Roman" w:cs="Times New Roman"/>
              </w:rPr>
            </w:pPr>
            <w:r w:rsidRPr="00D0587E">
              <w:rPr>
                <w:rFonts w:ascii="Times New Roman" w:hAnsi="Times New Roman" w:cs="Times New Roman"/>
              </w:rPr>
              <w:t>Merateľné ukazovatele projektu</w:t>
            </w:r>
          </w:p>
        </w:tc>
        <w:tc>
          <w:tcPr>
            <w:tcW w:w="992" w:type="dxa"/>
            <w:vAlign w:val="center"/>
          </w:tcPr>
          <w:p w14:paraId="1A3B4ED6"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Kód/ID</w:t>
            </w:r>
          </w:p>
        </w:tc>
        <w:tc>
          <w:tcPr>
            <w:tcW w:w="2855" w:type="dxa"/>
            <w:gridSpan w:val="3"/>
            <w:vAlign w:val="center"/>
          </w:tcPr>
          <w:p w14:paraId="704C38D0"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372C71EF"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3F1BA6BB"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22D823A9" w14:textId="77777777" w:rsidR="00C02D67" w:rsidRPr="00D0587E" w:rsidRDefault="00C02D67" w:rsidP="00C02D67">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49776F3E" w14:textId="77777777" w:rsidTr="00F5521F">
        <w:trPr>
          <w:trHeight w:val="624"/>
        </w:trPr>
        <w:tc>
          <w:tcPr>
            <w:tcW w:w="2127" w:type="dxa"/>
            <w:vMerge/>
            <w:vAlign w:val="center"/>
          </w:tcPr>
          <w:p w14:paraId="28F3D419" w14:textId="77777777" w:rsidR="00F5521F" w:rsidRPr="00D0587E" w:rsidRDefault="00F5521F" w:rsidP="00C02D67">
            <w:pPr>
              <w:rPr>
                <w:rFonts w:ascii="Times New Roman" w:hAnsi="Times New Roman" w:cs="Times New Roman"/>
              </w:rPr>
            </w:pPr>
          </w:p>
        </w:tc>
        <w:tc>
          <w:tcPr>
            <w:tcW w:w="992" w:type="dxa"/>
            <w:vAlign w:val="center"/>
          </w:tcPr>
          <w:p w14:paraId="2D1C8518"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6.4</w:t>
            </w:r>
          </w:p>
        </w:tc>
        <w:tc>
          <w:tcPr>
            <w:tcW w:w="2855" w:type="dxa"/>
            <w:gridSpan w:val="3"/>
            <w:vAlign w:val="center"/>
          </w:tcPr>
          <w:p w14:paraId="3A2AC488" w14:textId="0E2E6BD7" w:rsidR="00F5521F" w:rsidRPr="00D0587E" w:rsidRDefault="009B1170" w:rsidP="00D313CC">
            <w:pPr>
              <w:spacing w:after="60" w:line="276" w:lineRule="auto"/>
              <w:rPr>
                <w:rFonts w:ascii="Times New Roman" w:hAnsi="Times New Roman" w:cs="Times New Roman"/>
              </w:rPr>
            </w:pPr>
            <w:r w:rsidRPr="009B1170">
              <w:rPr>
                <w:rFonts w:ascii="Times New Roman" w:hAnsi="Times New Roman" w:cs="Times New Roman"/>
                <w:bCs/>
              </w:rPr>
              <w:t>Počet prijímateľov na nevýrobné investície</w:t>
            </w:r>
          </w:p>
        </w:tc>
        <w:tc>
          <w:tcPr>
            <w:tcW w:w="1155" w:type="dxa"/>
            <w:gridSpan w:val="2"/>
            <w:vAlign w:val="center"/>
          </w:tcPr>
          <w:p w14:paraId="15C274F1"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600D0BBA"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6F87D807" w14:textId="77777777" w:rsidR="00F5521F" w:rsidRPr="00D0587E" w:rsidRDefault="00716859" w:rsidP="00C02D67">
            <w:pPr>
              <w:jc w:val="center"/>
              <w:rPr>
                <w:rFonts w:ascii="Times New Roman" w:hAnsi="Times New Roman" w:cs="Times New Roman"/>
              </w:rPr>
            </w:pPr>
            <w:r w:rsidRPr="00D0587E">
              <w:rPr>
                <w:rFonts w:ascii="Times New Roman" w:hAnsi="Times New Roman" w:cs="Times New Roman"/>
              </w:rPr>
              <w:t>5</w:t>
            </w:r>
          </w:p>
        </w:tc>
      </w:tr>
      <w:tr w:rsidR="00D0587E" w:rsidRPr="00D0587E" w14:paraId="12A22525" w14:textId="77777777" w:rsidTr="00F5521F">
        <w:trPr>
          <w:trHeight w:val="624"/>
        </w:trPr>
        <w:tc>
          <w:tcPr>
            <w:tcW w:w="2127" w:type="dxa"/>
            <w:vMerge/>
            <w:vAlign w:val="center"/>
          </w:tcPr>
          <w:p w14:paraId="05F36A2E" w14:textId="77777777" w:rsidR="00F5521F" w:rsidRPr="00D0587E" w:rsidRDefault="00F5521F" w:rsidP="00C02D67">
            <w:pPr>
              <w:rPr>
                <w:rFonts w:ascii="Times New Roman" w:hAnsi="Times New Roman" w:cs="Times New Roman"/>
              </w:rPr>
            </w:pPr>
          </w:p>
        </w:tc>
        <w:tc>
          <w:tcPr>
            <w:tcW w:w="992" w:type="dxa"/>
            <w:vAlign w:val="center"/>
          </w:tcPr>
          <w:p w14:paraId="663D1337"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6.4</w:t>
            </w:r>
          </w:p>
        </w:tc>
        <w:tc>
          <w:tcPr>
            <w:tcW w:w="2855" w:type="dxa"/>
            <w:gridSpan w:val="3"/>
            <w:vAlign w:val="center"/>
          </w:tcPr>
          <w:p w14:paraId="50172123" w14:textId="25EBD5BF" w:rsidR="00F5521F" w:rsidRPr="00D0587E" w:rsidRDefault="009B1170" w:rsidP="009B1170">
            <w:pPr>
              <w:spacing w:after="60" w:line="276" w:lineRule="auto"/>
              <w:rPr>
                <w:rFonts w:ascii="Times New Roman" w:hAnsi="Times New Roman" w:cs="Times New Roman"/>
              </w:rPr>
            </w:pPr>
            <w:r w:rsidRPr="009B1170">
              <w:rPr>
                <w:rFonts w:ascii="Times New Roman" w:hAnsi="Times New Roman" w:cs="Times New Roman"/>
                <w:bCs/>
              </w:rPr>
              <w:t xml:space="preserve">Výstavba nových ubytovacích zariadení - Kapacita lôžok (počet) </w:t>
            </w:r>
          </w:p>
        </w:tc>
        <w:tc>
          <w:tcPr>
            <w:tcW w:w="1155" w:type="dxa"/>
            <w:gridSpan w:val="2"/>
            <w:vAlign w:val="center"/>
          </w:tcPr>
          <w:p w14:paraId="225F14BB"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34AB1BAE" w14:textId="77777777" w:rsidR="00F5521F" w:rsidRPr="00D0587E" w:rsidRDefault="00F5521F" w:rsidP="00C02D67">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2351C292" w14:textId="77777777" w:rsidR="00F5521F" w:rsidRPr="00D0587E" w:rsidRDefault="00D313CC" w:rsidP="00C02D67">
            <w:pPr>
              <w:jc w:val="center"/>
              <w:rPr>
                <w:rFonts w:ascii="Times New Roman" w:hAnsi="Times New Roman" w:cs="Times New Roman"/>
              </w:rPr>
            </w:pPr>
            <w:r w:rsidRPr="00D0587E">
              <w:rPr>
                <w:rFonts w:ascii="Times New Roman" w:hAnsi="Times New Roman" w:cs="Times New Roman"/>
              </w:rPr>
              <w:t>20</w:t>
            </w:r>
          </w:p>
        </w:tc>
      </w:tr>
      <w:tr w:rsidR="00D0587E" w:rsidRPr="00D0587E" w14:paraId="5CD4F061" w14:textId="77777777" w:rsidTr="00F5521F">
        <w:trPr>
          <w:trHeight w:val="624"/>
        </w:trPr>
        <w:tc>
          <w:tcPr>
            <w:tcW w:w="2127" w:type="dxa"/>
            <w:vMerge/>
            <w:vAlign w:val="center"/>
          </w:tcPr>
          <w:p w14:paraId="7177C891" w14:textId="77777777" w:rsidR="00C02D67" w:rsidRPr="00D0587E" w:rsidRDefault="00C02D67" w:rsidP="00C02D67">
            <w:pPr>
              <w:spacing w:after="200" w:line="276" w:lineRule="auto"/>
              <w:rPr>
                <w:rFonts w:ascii="Times New Roman" w:hAnsi="Times New Roman" w:cs="Times New Roman"/>
              </w:rPr>
            </w:pPr>
          </w:p>
        </w:tc>
        <w:tc>
          <w:tcPr>
            <w:tcW w:w="992" w:type="dxa"/>
            <w:vAlign w:val="center"/>
          </w:tcPr>
          <w:p w14:paraId="1B56517F" w14:textId="77777777" w:rsidR="00C02D67" w:rsidRPr="00D0587E" w:rsidRDefault="00F5521F" w:rsidP="00F5521F">
            <w:pPr>
              <w:spacing w:after="200" w:line="276" w:lineRule="auto"/>
              <w:jc w:val="center"/>
              <w:rPr>
                <w:rFonts w:ascii="Times New Roman" w:hAnsi="Times New Roman" w:cs="Times New Roman"/>
              </w:rPr>
            </w:pPr>
            <w:r w:rsidRPr="00D0587E">
              <w:rPr>
                <w:rFonts w:ascii="Times New Roman" w:hAnsi="Times New Roman" w:cs="Times New Roman"/>
              </w:rPr>
              <w:t>6.4</w:t>
            </w:r>
          </w:p>
        </w:tc>
        <w:tc>
          <w:tcPr>
            <w:tcW w:w="2855" w:type="dxa"/>
            <w:gridSpan w:val="3"/>
            <w:vAlign w:val="center"/>
          </w:tcPr>
          <w:p w14:paraId="5981417D" w14:textId="6373D488" w:rsidR="00C02D67" w:rsidRPr="00D0587E" w:rsidRDefault="00761003" w:rsidP="00F5521F">
            <w:pPr>
              <w:spacing w:after="60" w:line="276" w:lineRule="auto"/>
              <w:rPr>
                <w:rFonts w:ascii="Times New Roman" w:hAnsi="Times New Roman" w:cs="Times New Roman"/>
                <w:i/>
              </w:rPr>
            </w:pPr>
            <w:r w:rsidRPr="00761003">
              <w:rPr>
                <w:rFonts w:ascii="Times New Roman" w:hAnsi="Times New Roman" w:cs="Times New Roman"/>
                <w:bCs/>
              </w:rPr>
              <w:t>Počet novovytvorených pracovných miest projektom prepočítaný na ekvivalent plného pracovného úväzku celkom (Novovytvorené pracovné miesta - Ide o pracovné miesta, ktoré vznikli výlučne vplyvom projektu a viažu sa na daný projekt. Ide o vytvorené pracovné miesta uzatvorením pracovných zmlúv, netýka sa udržaných pracovných miest. Pri skrátených pracovných úväzkoch ide o ekvivalenty plných pracovných úväzkov, napr. ak v podniku bolo počas celého roka zamestnaných 10 pracovníkov a 2 pracovníci boli zamestnaní len na 3 mesiace, tak EPM = ((10 x12)+(2x3))/12 = 10,5.):</w:t>
            </w:r>
            <w:r w:rsidRPr="00761003" w:rsidDel="00761003">
              <w:rPr>
                <w:rFonts w:ascii="Times New Roman" w:hAnsi="Times New Roman" w:cs="Times New Roman"/>
                <w:bCs/>
              </w:rPr>
              <w:t xml:space="preserve"> </w:t>
            </w:r>
          </w:p>
        </w:tc>
        <w:tc>
          <w:tcPr>
            <w:tcW w:w="1155" w:type="dxa"/>
            <w:gridSpan w:val="2"/>
            <w:vAlign w:val="center"/>
          </w:tcPr>
          <w:p w14:paraId="4EBA35C5" w14:textId="77777777" w:rsidR="00C02D67" w:rsidRPr="00D0587E" w:rsidRDefault="00F5521F" w:rsidP="00F5521F">
            <w:pPr>
              <w:spacing w:after="200" w:line="276" w:lineRule="auto"/>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58ADACD8" w14:textId="77777777" w:rsidR="00C02D67" w:rsidRPr="00D0587E" w:rsidRDefault="00F5521F" w:rsidP="00F5521F">
            <w:pPr>
              <w:spacing w:after="200" w:line="276" w:lineRule="auto"/>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19CCB1FD" w14:textId="77777777" w:rsidR="00C02D67" w:rsidRPr="00D0587E" w:rsidRDefault="00716859" w:rsidP="00F5521F">
            <w:pPr>
              <w:spacing w:after="200" w:line="276" w:lineRule="auto"/>
              <w:jc w:val="center"/>
              <w:rPr>
                <w:rFonts w:ascii="Times New Roman" w:hAnsi="Times New Roman" w:cs="Times New Roman"/>
              </w:rPr>
            </w:pPr>
            <w:r w:rsidRPr="00D0587E">
              <w:rPr>
                <w:rFonts w:ascii="Times New Roman" w:hAnsi="Times New Roman" w:cs="Times New Roman"/>
              </w:rPr>
              <w:t>5</w:t>
            </w:r>
          </w:p>
        </w:tc>
      </w:tr>
      <w:tr w:rsidR="00D0587E" w:rsidRPr="00D0587E" w14:paraId="58E537D4" w14:textId="77777777" w:rsidTr="00F5521F">
        <w:trPr>
          <w:trHeight w:val="624"/>
        </w:trPr>
        <w:tc>
          <w:tcPr>
            <w:tcW w:w="2127" w:type="dxa"/>
            <w:vAlign w:val="center"/>
          </w:tcPr>
          <w:p w14:paraId="70169F4A" w14:textId="77777777" w:rsidR="00C02D67" w:rsidRPr="00D0587E" w:rsidRDefault="00C02D67" w:rsidP="00C02D67">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9"/>
          </w:tcPr>
          <w:p w14:paraId="2EE9C2DC" w14:textId="2A4646B9" w:rsidR="00C02D67" w:rsidRPr="00D0587E" w:rsidRDefault="00761003" w:rsidP="00C02D67">
            <w:pPr>
              <w:jc w:val="both"/>
              <w:rPr>
                <w:rFonts w:ascii="Times New Roman" w:hAnsi="Times New Roman" w:cs="Times New Roman"/>
              </w:rPr>
            </w:pPr>
            <w:r>
              <w:rPr>
                <w:rFonts w:ascii="Times New Roman" w:hAnsi="Times New Roman" w:cs="Times New Roman"/>
                <w:i/>
              </w:rPr>
              <w:t>február</w:t>
            </w:r>
            <w:r w:rsidRPr="00D0587E">
              <w:rPr>
                <w:rFonts w:ascii="Times New Roman" w:hAnsi="Times New Roman" w:cs="Times New Roman"/>
                <w:i/>
              </w:rPr>
              <w:t xml:space="preserve"> </w:t>
            </w:r>
            <w:r w:rsidR="00716859" w:rsidRPr="00D0587E">
              <w:rPr>
                <w:rFonts w:ascii="Times New Roman" w:hAnsi="Times New Roman" w:cs="Times New Roman"/>
                <w:i/>
              </w:rPr>
              <w:t>201</w:t>
            </w:r>
            <w:r>
              <w:rPr>
                <w:rFonts w:ascii="Times New Roman" w:hAnsi="Times New Roman" w:cs="Times New Roman"/>
                <w:i/>
              </w:rPr>
              <w:t>9</w:t>
            </w:r>
          </w:p>
        </w:tc>
      </w:tr>
    </w:tbl>
    <w:p w14:paraId="6C9BABE9" w14:textId="77777777" w:rsidR="00C02D67" w:rsidRDefault="00C02D67" w:rsidP="00D2349E">
      <w:pPr>
        <w:spacing w:after="60" w:line="312" w:lineRule="auto"/>
        <w:rPr>
          <w:rFonts w:ascii="Times New Roman" w:hAnsi="Times New Roman" w:cs="Times New Roman"/>
          <w:b/>
          <w:sz w:val="24"/>
          <w:szCs w:val="24"/>
        </w:rPr>
      </w:pPr>
    </w:p>
    <w:p w14:paraId="2B1EF911" w14:textId="77777777" w:rsidR="00D0587E" w:rsidRDefault="00D0587E" w:rsidP="00D2349E">
      <w:pPr>
        <w:spacing w:after="60" w:line="312" w:lineRule="auto"/>
        <w:rPr>
          <w:rFonts w:ascii="Times New Roman" w:hAnsi="Times New Roman" w:cs="Times New Roman"/>
          <w:b/>
          <w:sz w:val="24"/>
          <w:szCs w:val="24"/>
        </w:rPr>
      </w:pPr>
    </w:p>
    <w:p w14:paraId="5E45B88C" w14:textId="77777777" w:rsidR="00D0587E" w:rsidRDefault="00D0587E" w:rsidP="00D2349E">
      <w:pPr>
        <w:spacing w:after="60" w:line="312" w:lineRule="auto"/>
        <w:rPr>
          <w:rFonts w:ascii="Times New Roman" w:hAnsi="Times New Roman" w:cs="Times New Roman"/>
          <w:b/>
          <w:sz w:val="24"/>
          <w:szCs w:val="24"/>
        </w:rPr>
      </w:pPr>
    </w:p>
    <w:p w14:paraId="33C5B59E" w14:textId="77777777" w:rsidR="000D7F51" w:rsidRPr="003C0D7F" w:rsidRDefault="000D7F51" w:rsidP="00D2349E">
      <w:pPr>
        <w:spacing w:after="60" w:line="312" w:lineRule="auto"/>
        <w:rPr>
          <w:rFonts w:ascii="Times New Roman" w:hAnsi="Times New Roman" w:cs="Times New Roman"/>
          <w:b/>
          <w:sz w:val="24"/>
          <w:szCs w:val="24"/>
        </w:rPr>
      </w:pPr>
    </w:p>
    <w:p w14:paraId="42D5314F"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D0587E">
        <w:rPr>
          <w:rFonts w:ascii="Times New Roman" w:hAnsi="Times New Roman" w:cs="Times New Roman"/>
          <w:b/>
          <w:sz w:val="20"/>
          <w:szCs w:val="20"/>
        </w:rPr>
        <w:t>E</w:t>
      </w:r>
      <w:r w:rsidRPr="008951E2">
        <w:rPr>
          <w:rFonts w:ascii="Times New Roman" w:hAnsi="Times New Roman" w:cs="Times New Roman"/>
          <w:b/>
          <w:sz w:val="20"/>
          <w:szCs w:val="20"/>
        </w:rPr>
        <w:t xml:space="preserve"> Opatrenie stratégie CLLD 2.4</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D0587E" w:rsidRPr="00D0587E" w14:paraId="39D66EBF" w14:textId="77777777" w:rsidTr="008F3BDE">
        <w:trPr>
          <w:trHeight w:val="624"/>
        </w:trPr>
        <w:tc>
          <w:tcPr>
            <w:tcW w:w="2127" w:type="dxa"/>
            <w:vAlign w:val="center"/>
          </w:tcPr>
          <w:p w14:paraId="07D18569" w14:textId="77777777" w:rsidR="00F5521F" w:rsidRPr="00D0587E" w:rsidRDefault="00F5521F" w:rsidP="008F3BDE">
            <w:pPr>
              <w:rPr>
                <w:rFonts w:ascii="Times New Roman" w:hAnsi="Times New Roman" w:cs="Times New Roman"/>
              </w:rPr>
            </w:pPr>
            <w:r w:rsidRPr="00D0587E">
              <w:rPr>
                <w:rFonts w:ascii="Times New Roman" w:hAnsi="Times New Roman" w:cs="Times New Roman"/>
              </w:rPr>
              <w:lastRenderedPageBreak/>
              <w:t xml:space="preserve">Názov opatrenia </w:t>
            </w:r>
          </w:p>
        </w:tc>
        <w:tc>
          <w:tcPr>
            <w:tcW w:w="7393" w:type="dxa"/>
            <w:gridSpan w:val="9"/>
          </w:tcPr>
          <w:p w14:paraId="0BF7BB3B" w14:textId="77777777" w:rsidR="00F5521F" w:rsidRPr="00D0587E" w:rsidRDefault="00F5521F" w:rsidP="008F3BDE">
            <w:pPr>
              <w:rPr>
                <w:rFonts w:ascii="Times New Roman" w:hAnsi="Times New Roman" w:cs="Times New Roman"/>
              </w:rPr>
            </w:pPr>
            <w:r w:rsidRPr="00D0587E">
              <w:rPr>
                <w:rFonts w:ascii="Times New Roman" w:hAnsi="Times New Roman" w:cs="Times New Roman"/>
                <w:b/>
                <w:sz w:val="24"/>
                <w:szCs w:val="24"/>
              </w:rPr>
              <w:t>2.4 Budovanie a značenie jazdeckých a bežkárskych trás a cyklotrás</w:t>
            </w:r>
          </w:p>
        </w:tc>
      </w:tr>
      <w:tr w:rsidR="00D0587E" w:rsidRPr="00D0587E" w14:paraId="023BF6F1" w14:textId="77777777" w:rsidTr="008F3BDE">
        <w:trPr>
          <w:trHeight w:val="624"/>
        </w:trPr>
        <w:tc>
          <w:tcPr>
            <w:tcW w:w="2127" w:type="dxa"/>
            <w:vAlign w:val="center"/>
          </w:tcPr>
          <w:p w14:paraId="72636495" w14:textId="77777777" w:rsidR="00F5521F" w:rsidRPr="00D0587E" w:rsidRDefault="00F5521F" w:rsidP="008F3BDE">
            <w:pPr>
              <w:rPr>
                <w:rFonts w:ascii="Times New Roman" w:hAnsi="Times New Roman" w:cs="Times New Roman"/>
              </w:rPr>
            </w:pPr>
            <w:r w:rsidRPr="00D0587E">
              <w:rPr>
                <w:rFonts w:ascii="Times New Roman" w:hAnsi="Times New Roman" w:cs="Times New Roman"/>
              </w:rPr>
              <w:t>Priradenie kódu opatrenia</w:t>
            </w:r>
            <w:r w:rsidRPr="00D0587E">
              <w:rPr>
                <w:rStyle w:val="Odkaznapoznmkupodiarou"/>
                <w:rFonts w:ascii="Times New Roman" w:hAnsi="Times New Roman" w:cs="Times New Roman"/>
              </w:rPr>
              <w:footnoteReference w:id="21"/>
            </w:r>
            <w:r w:rsidRPr="00D0587E">
              <w:rPr>
                <w:rFonts w:ascii="Times New Roman" w:hAnsi="Times New Roman" w:cs="Times New Roman"/>
              </w:rPr>
              <w:t xml:space="preserve"> </w:t>
            </w:r>
          </w:p>
        </w:tc>
        <w:tc>
          <w:tcPr>
            <w:tcW w:w="7393" w:type="dxa"/>
            <w:gridSpan w:val="9"/>
          </w:tcPr>
          <w:p w14:paraId="6A16A81B" w14:textId="77777777" w:rsidR="00F5521F" w:rsidRPr="00D0587E" w:rsidRDefault="00465C76" w:rsidP="00F5521F">
            <w:pPr>
              <w:rPr>
                <w:rFonts w:ascii="Times New Roman" w:hAnsi="Times New Roman" w:cs="Times New Roman"/>
              </w:rPr>
            </w:pPr>
            <w:r w:rsidRPr="00D0587E">
              <w:rPr>
                <w:rFonts w:ascii="Times New Roman" w:hAnsi="Times New Roman" w:cs="Times New Roman"/>
              </w:rPr>
              <w:t>-</w:t>
            </w:r>
          </w:p>
        </w:tc>
      </w:tr>
      <w:tr w:rsidR="00D0587E" w:rsidRPr="00D0587E" w14:paraId="73CB7FFC" w14:textId="77777777" w:rsidTr="008F3BDE">
        <w:trPr>
          <w:trHeight w:val="624"/>
        </w:trPr>
        <w:tc>
          <w:tcPr>
            <w:tcW w:w="2127" w:type="dxa"/>
            <w:vAlign w:val="center"/>
          </w:tcPr>
          <w:p w14:paraId="517D3AF0" w14:textId="77777777" w:rsidR="00F5521F" w:rsidRPr="00D0587E" w:rsidRDefault="00F5521F" w:rsidP="008F3BDE">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9"/>
          </w:tcPr>
          <w:p w14:paraId="4C4AFCA7" w14:textId="77777777" w:rsidR="00F5521F" w:rsidRPr="00D0587E" w:rsidRDefault="00465C76" w:rsidP="008F3BDE">
            <w:pPr>
              <w:rPr>
                <w:rFonts w:ascii="Times New Roman" w:hAnsi="Times New Roman" w:cs="Times New Roman"/>
              </w:rPr>
            </w:pPr>
            <w:r w:rsidRPr="00D0587E">
              <w:rPr>
                <w:rFonts w:ascii="Times New Roman" w:hAnsi="Times New Roman" w:cs="Times New Roman"/>
              </w:rPr>
              <w:t>-</w:t>
            </w:r>
          </w:p>
        </w:tc>
      </w:tr>
      <w:tr w:rsidR="00D0587E" w:rsidRPr="00D0587E" w14:paraId="66991E99" w14:textId="77777777" w:rsidTr="008F3BDE">
        <w:trPr>
          <w:trHeight w:val="624"/>
        </w:trPr>
        <w:tc>
          <w:tcPr>
            <w:tcW w:w="2127" w:type="dxa"/>
            <w:vAlign w:val="center"/>
          </w:tcPr>
          <w:p w14:paraId="60F9E746" w14:textId="77777777" w:rsidR="00F5521F" w:rsidRPr="00D0587E" w:rsidRDefault="00F5521F" w:rsidP="008F3BDE">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9"/>
            <w:vAlign w:val="center"/>
          </w:tcPr>
          <w:p w14:paraId="6E2A44AA" w14:textId="77777777" w:rsidR="00F5521F" w:rsidRPr="00D0587E" w:rsidRDefault="00FF603B" w:rsidP="008F3BDE">
            <w:pPr>
              <w:jc w:val="both"/>
              <w:rPr>
                <w:rFonts w:ascii="Times New Roman" w:hAnsi="Times New Roman" w:cs="Times New Roman"/>
                <w:i/>
                <w:sz w:val="18"/>
                <w:szCs w:val="18"/>
              </w:rPr>
            </w:pPr>
            <w:r w:rsidRPr="00D0587E">
              <w:rPr>
                <w:rFonts w:ascii="Times New Roman" w:hAnsi="Times New Roman" w:cs="Times New Roman"/>
                <w:i/>
                <w:sz w:val="24"/>
                <w:szCs w:val="24"/>
              </w:rPr>
              <w:t>Opatrenie prispieva k naplneniu Špecifického cieľa: Zlepšiť podmienky pre rozvoj potenciálu vidieckeho cestovného ruchu a spolupráce.</w:t>
            </w:r>
          </w:p>
        </w:tc>
      </w:tr>
      <w:tr w:rsidR="00D0587E" w:rsidRPr="00D0587E" w14:paraId="2545EB9F" w14:textId="77777777" w:rsidTr="008F3BDE">
        <w:trPr>
          <w:trHeight w:val="624"/>
        </w:trPr>
        <w:tc>
          <w:tcPr>
            <w:tcW w:w="2127" w:type="dxa"/>
            <w:vAlign w:val="center"/>
          </w:tcPr>
          <w:p w14:paraId="1B37C2B4"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Zdôvodnenie výberu</w:t>
            </w:r>
          </w:p>
        </w:tc>
        <w:tc>
          <w:tcPr>
            <w:tcW w:w="7393" w:type="dxa"/>
            <w:gridSpan w:val="9"/>
            <w:vAlign w:val="center"/>
          </w:tcPr>
          <w:p w14:paraId="4535352D" w14:textId="77777777" w:rsidR="00FF603B" w:rsidRPr="00D0587E" w:rsidRDefault="00FF603B" w:rsidP="008F3BDE">
            <w:pPr>
              <w:jc w:val="both"/>
              <w:rPr>
                <w:rFonts w:ascii="Times New Roman" w:hAnsi="Times New Roman" w:cs="Times New Roman"/>
                <w:i/>
              </w:rPr>
            </w:pPr>
            <w:r w:rsidRPr="00D0587E">
              <w:rPr>
                <w:rFonts w:ascii="Times New Roman" w:hAnsi="Times New Roman" w:cs="Times New Roman"/>
                <w:i/>
                <w:sz w:val="24"/>
                <w:szCs w:val="24"/>
              </w:rPr>
              <w:t>Opatrenie reflektuje na potreby identifikované v oblasti Cestovný ruch a Hospodárstvo v rámci Identifikácie potrieb</w:t>
            </w:r>
          </w:p>
        </w:tc>
      </w:tr>
      <w:tr w:rsidR="00D0587E" w:rsidRPr="00D0587E" w14:paraId="101D0B6C" w14:textId="77777777" w:rsidTr="008F3BDE">
        <w:trPr>
          <w:trHeight w:val="624"/>
        </w:trPr>
        <w:tc>
          <w:tcPr>
            <w:tcW w:w="2127" w:type="dxa"/>
            <w:vAlign w:val="center"/>
          </w:tcPr>
          <w:p w14:paraId="066CF84D"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9"/>
            <w:vAlign w:val="center"/>
          </w:tcPr>
          <w:p w14:paraId="1D7E44AB" w14:textId="77777777" w:rsidR="00FF603B" w:rsidRPr="00D0587E" w:rsidRDefault="00FF603B" w:rsidP="008F3BDE">
            <w:pPr>
              <w:jc w:val="both"/>
              <w:rPr>
                <w:rFonts w:ascii="Times New Roman" w:hAnsi="Times New Roman" w:cs="Times New Roman"/>
                <w:i/>
              </w:rPr>
            </w:pPr>
            <w:r w:rsidRPr="00D0587E">
              <w:rPr>
                <w:rFonts w:ascii="Times New Roman" w:hAnsi="Times New Roman" w:cs="Times New Roman"/>
                <w:i/>
                <w:sz w:val="24"/>
                <w:szCs w:val="24"/>
              </w:rPr>
              <w:t>Rekonštrukcia  a  budovanie  miestnych  turistických  chodníkov,  cyklotrás,  jazdeckých  ciest (hipoturistika),  tematických  chodníkov  a tratí na bežecké lyžovanie a ich propagácia.</w:t>
            </w:r>
          </w:p>
        </w:tc>
      </w:tr>
      <w:tr w:rsidR="00D0587E" w:rsidRPr="00D0587E" w14:paraId="6BFCE3ED" w14:textId="77777777" w:rsidTr="008F3BDE">
        <w:trPr>
          <w:trHeight w:val="624"/>
        </w:trPr>
        <w:tc>
          <w:tcPr>
            <w:tcW w:w="2127" w:type="dxa"/>
            <w:vAlign w:val="center"/>
          </w:tcPr>
          <w:p w14:paraId="454BE3A9"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Oprávnení prijímatelia</w:t>
            </w:r>
          </w:p>
        </w:tc>
        <w:tc>
          <w:tcPr>
            <w:tcW w:w="7393" w:type="dxa"/>
            <w:gridSpan w:val="9"/>
            <w:vAlign w:val="center"/>
          </w:tcPr>
          <w:p w14:paraId="0B69916E" w14:textId="77777777" w:rsidR="00FF603B" w:rsidRPr="00D0587E" w:rsidRDefault="00FF603B" w:rsidP="008F3BDE">
            <w:pPr>
              <w:jc w:val="both"/>
              <w:rPr>
                <w:rFonts w:ascii="Times New Roman" w:hAnsi="Times New Roman" w:cs="Times New Roman"/>
                <w:i/>
              </w:rPr>
            </w:pPr>
            <w:r w:rsidRPr="00D0587E">
              <w:rPr>
                <w:rFonts w:ascii="Times New Roman" w:hAnsi="Times New Roman" w:cs="Times New Roman"/>
                <w:i/>
              </w:rPr>
              <w:t>V súlade s programom Interreg V - A</w:t>
            </w:r>
          </w:p>
        </w:tc>
      </w:tr>
      <w:tr w:rsidR="00D0587E" w:rsidRPr="00D0587E" w14:paraId="387A1DCE" w14:textId="77777777" w:rsidTr="008F3BDE">
        <w:trPr>
          <w:trHeight w:val="624"/>
        </w:trPr>
        <w:tc>
          <w:tcPr>
            <w:tcW w:w="2127" w:type="dxa"/>
            <w:vAlign w:val="center"/>
          </w:tcPr>
          <w:p w14:paraId="5FC0F96D"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 xml:space="preserve">Intenzita pomoci </w:t>
            </w:r>
            <w:r w:rsidRPr="00D0587E">
              <w:rPr>
                <w:rStyle w:val="Odkaznapoznmkupodiarou"/>
                <w:rFonts w:ascii="Times New Roman" w:hAnsi="Times New Roman" w:cs="Times New Roman"/>
              </w:rPr>
              <w:footnoteReference w:id="22"/>
            </w:r>
          </w:p>
        </w:tc>
        <w:tc>
          <w:tcPr>
            <w:tcW w:w="7393" w:type="dxa"/>
            <w:gridSpan w:val="9"/>
            <w:vAlign w:val="center"/>
          </w:tcPr>
          <w:p w14:paraId="092DAE08" w14:textId="77777777" w:rsidR="00FF603B" w:rsidRPr="00D0587E" w:rsidRDefault="00FF603B" w:rsidP="008F3BDE">
            <w:pPr>
              <w:jc w:val="both"/>
              <w:rPr>
                <w:rFonts w:ascii="Times New Roman" w:hAnsi="Times New Roman" w:cs="Times New Roman"/>
              </w:rPr>
            </w:pPr>
            <w:r w:rsidRPr="00D0587E">
              <w:rPr>
                <w:rFonts w:ascii="Times New Roman" w:hAnsi="Times New Roman" w:cs="Times New Roman"/>
                <w:i/>
                <w:sz w:val="24"/>
                <w:szCs w:val="24"/>
              </w:rPr>
              <w:t>95 %</w:t>
            </w:r>
          </w:p>
        </w:tc>
      </w:tr>
      <w:tr w:rsidR="00D0587E" w:rsidRPr="00D0587E" w14:paraId="122C4D5F" w14:textId="77777777" w:rsidTr="008F3BDE">
        <w:trPr>
          <w:trHeight w:val="624"/>
        </w:trPr>
        <w:tc>
          <w:tcPr>
            <w:tcW w:w="2127" w:type="dxa"/>
            <w:vAlign w:val="center"/>
          </w:tcPr>
          <w:p w14:paraId="3FD64AD1"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Oprávnené výdavky</w:t>
            </w:r>
          </w:p>
        </w:tc>
        <w:tc>
          <w:tcPr>
            <w:tcW w:w="7393" w:type="dxa"/>
            <w:gridSpan w:val="9"/>
            <w:vAlign w:val="center"/>
          </w:tcPr>
          <w:p w14:paraId="1B010BBF" w14:textId="77777777" w:rsidR="00FF603B" w:rsidRPr="00D0587E" w:rsidRDefault="00FF603B" w:rsidP="008F3BDE">
            <w:pPr>
              <w:jc w:val="both"/>
              <w:rPr>
                <w:rFonts w:ascii="Times New Roman" w:hAnsi="Times New Roman" w:cs="Times New Roman"/>
                <w:i/>
              </w:rPr>
            </w:pPr>
            <w:r w:rsidRPr="00D0587E">
              <w:rPr>
                <w:rFonts w:ascii="Times New Roman" w:hAnsi="Times New Roman" w:cs="Times New Roman"/>
                <w:i/>
              </w:rPr>
              <w:t>V súlade s programom Interreg V - A</w:t>
            </w:r>
          </w:p>
        </w:tc>
      </w:tr>
      <w:tr w:rsidR="00D0587E" w:rsidRPr="00D0587E" w14:paraId="6043B0C0" w14:textId="77777777" w:rsidTr="008F3BDE">
        <w:trPr>
          <w:trHeight w:val="624"/>
        </w:trPr>
        <w:tc>
          <w:tcPr>
            <w:tcW w:w="2127" w:type="dxa"/>
            <w:vAlign w:val="center"/>
          </w:tcPr>
          <w:p w14:paraId="48A0E4B7"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9"/>
            <w:vAlign w:val="center"/>
          </w:tcPr>
          <w:p w14:paraId="5F732AF4" w14:textId="77777777" w:rsidR="00FF603B" w:rsidRPr="00D0587E" w:rsidRDefault="00FF603B" w:rsidP="008F3BDE">
            <w:pPr>
              <w:jc w:val="both"/>
              <w:rPr>
                <w:rFonts w:ascii="Times New Roman" w:hAnsi="Times New Roman" w:cs="Times New Roman"/>
              </w:rPr>
            </w:pPr>
            <w:r w:rsidRPr="00D0587E">
              <w:rPr>
                <w:rFonts w:ascii="Times New Roman" w:hAnsi="Times New Roman" w:cs="Times New Roman"/>
                <w:i/>
              </w:rPr>
              <w:t>10 000 – 40 000 EUR</w:t>
            </w:r>
          </w:p>
        </w:tc>
      </w:tr>
      <w:tr w:rsidR="00D0587E" w:rsidRPr="00D0587E" w14:paraId="5A943041" w14:textId="77777777" w:rsidTr="008F3BDE">
        <w:trPr>
          <w:trHeight w:val="624"/>
        </w:trPr>
        <w:tc>
          <w:tcPr>
            <w:tcW w:w="2127" w:type="dxa"/>
            <w:vMerge w:val="restart"/>
            <w:vAlign w:val="center"/>
          </w:tcPr>
          <w:p w14:paraId="1FE094FC"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05C05C38" w14:textId="77777777" w:rsidR="00FF603B" w:rsidRPr="00D0587E" w:rsidDel="00D14904" w:rsidRDefault="00FF603B" w:rsidP="008F3BDE">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23"/>
            </w:r>
          </w:p>
        </w:tc>
        <w:tc>
          <w:tcPr>
            <w:tcW w:w="1417" w:type="dxa"/>
            <w:vAlign w:val="center"/>
          </w:tcPr>
          <w:p w14:paraId="3F9E8D8F"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40A99026"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440BDC8B"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16189910"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48B4C91D"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iné</w:t>
            </w:r>
          </w:p>
        </w:tc>
      </w:tr>
      <w:tr w:rsidR="00D0587E" w:rsidRPr="00D0587E" w14:paraId="3CC3974A" w14:textId="77777777" w:rsidTr="008F3BDE">
        <w:trPr>
          <w:trHeight w:val="624"/>
        </w:trPr>
        <w:tc>
          <w:tcPr>
            <w:tcW w:w="2127" w:type="dxa"/>
            <w:vMerge/>
            <w:vAlign w:val="center"/>
          </w:tcPr>
          <w:p w14:paraId="020C1BD6" w14:textId="77777777" w:rsidR="00FF603B" w:rsidRPr="00D0587E" w:rsidRDefault="00FF603B" w:rsidP="008F3BDE">
            <w:pPr>
              <w:rPr>
                <w:rFonts w:ascii="Times New Roman" w:hAnsi="Times New Roman" w:cs="Times New Roman"/>
              </w:rPr>
            </w:pPr>
          </w:p>
        </w:tc>
        <w:tc>
          <w:tcPr>
            <w:tcW w:w="992" w:type="dxa"/>
            <w:vAlign w:val="center"/>
          </w:tcPr>
          <w:p w14:paraId="25949BA3" w14:textId="77777777" w:rsidR="00FF603B" w:rsidRPr="00D0587E" w:rsidDel="00D14904" w:rsidRDefault="00FF603B" w:rsidP="008F3BDE">
            <w:pPr>
              <w:jc w:val="center"/>
              <w:rPr>
                <w:rFonts w:ascii="Times New Roman" w:hAnsi="Times New Roman" w:cs="Times New Roman"/>
              </w:rPr>
            </w:pPr>
            <w:r w:rsidRPr="00D0587E">
              <w:rPr>
                <w:rFonts w:ascii="Times New Roman" w:hAnsi="Times New Roman" w:cs="Times New Roman"/>
              </w:rPr>
              <w:t xml:space="preserve">MR </w:t>
            </w:r>
          </w:p>
        </w:tc>
        <w:tc>
          <w:tcPr>
            <w:tcW w:w="1417" w:type="dxa"/>
            <w:vAlign w:val="center"/>
          </w:tcPr>
          <w:p w14:paraId="51238D37"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100 000</w:t>
            </w:r>
          </w:p>
        </w:tc>
        <w:tc>
          <w:tcPr>
            <w:tcW w:w="1276" w:type="dxa"/>
            <w:vAlign w:val="center"/>
          </w:tcPr>
          <w:p w14:paraId="5BED4F05"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85 000</w:t>
            </w:r>
          </w:p>
        </w:tc>
        <w:tc>
          <w:tcPr>
            <w:tcW w:w="1276" w:type="dxa"/>
            <w:gridSpan w:val="2"/>
            <w:vAlign w:val="center"/>
          </w:tcPr>
          <w:p w14:paraId="39FD5D11"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10 000</w:t>
            </w:r>
          </w:p>
        </w:tc>
        <w:tc>
          <w:tcPr>
            <w:tcW w:w="1495" w:type="dxa"/>
            <w:gridSpan w:val="3"/>
            <w:vAlign w:val="center"/>
          </w:tcPr>
          <w:p w14:paraId="47E81E61"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5 000</w:t>
            </w:r>
          </w:p>
        </w:tc>
        <w:tc>
          <w:tcPr>
            <w:tcW w:w="937" w:type="dxa"/>
            <w:vAlign w:val="center"/>
          </w:tcPr>
          <w:p w14:paraId="2EE25AD6"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r>
      <w:tr w:rsidR="00D0587E" w:rsidRPr="00D0587E" w14:paraId="075B0FFD" w14:textId="77777777" w:rsidTr="008F3BDE">
        <w:trPr>
          <w:trHeight w:val="624"/>
        </w:trPr>
        <w:tc>
          <w:tcPr>
            <w:tcW w:w="2127" w:type="dxa"/>
            <w:vMerge/>
            <w:vAlign w:val="center"/>
          </w:tcPr>
          <w:p w14:paraId="368FB9AA" w14:textId="77777777" w:rsidR="00FF603B" w:rsidRPr="00D0587E" w:rsidRDefault="00FF603B" w:rsidP="008F3BDE">
            <w:pPr>
              <w:rPr>
                <w:rFonts w:ascii="Times New Roman" w:hAnsi="Times New Roman" w:cs="Times New Roman"/>
              </w:rPr>
            </w:pPr>
          </w:p>
        </w:tc>
        <w:tc>
          <w:tcPr>
            <w:tcW w:w="992" w:type="dxa"/>
            <w:vAlign w:val="center"/>
          </w:tcPr>
          <w:p w14:paraId="42D2890C" w14:textId="77777777" w:rsidR="00FF603B" w:rsidRPr="00D0587E" w:rsidDel="00D14904" w:rsidRDefault="00FF603B" w:rsidP="008F3BDE">
            <w:pPr>
              <w:jc w:val="center"/>
              <w:rPr>
                <w:rFonts w:ascii="Times New Roman" w:hAnsi="Times New Roman" w:cs="Times New Roman"/>
              </w:rPr>
            </w:pPr>
            <w:r w:rsidRPr="00D0587E">
              <w:rPr>
                <w:rFonts w:ascii="Times New Roman" w:hAnsi="Times New Roman" w:cs="Times New Roman"/>
              </w:rPr>
              <w:t>VR</w:t>
            </w:r>
          </w:p>
        </w:tc>
        <w:tc>
          <w:tcPr>
            <w:tcW w:w="1417" w:type="dxa"/>
            <w:vAlign w:val="center"/>
          </w:tcPr>
          <w:p w14:paraId="21E0667B"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38C83D59"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74E64FCD"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42906ED2"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39F8582A"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r>
      <w:tr w:rsidR="00D0587E" w:rsidRPr="00D0587E" w14:paraId="6C151286" w14:textId="77777777" w:rsidTr="008F3BDE">
        <w:trPr>
          <w:trHeight w:val="624"/>
        </w:trPr>
        <w:tc>
          <w:tcPr>
            <w:tcW w:w="2127" w:type="dxa"/>
            <w:vMerge/>
            <w:vAlign w:val="center"/>
          </w:tcPr>
          <w:p w14:paraId="4B811063" w14:textId="77777777" w:rsidR="00FF603B" w:rsidRPr="00D0587E" w:rsidRDefault="00FF603B" w:rsidP="008F3BDE">
            <w:pPr>
              <w:rPr>
                <w:rFonts w:ascii="Times New Roman" w:hAnsi="Times New Roman" w:cs="Times New Roman"/>
              </w:rPr>
            </w:pPr>
          </w:p>
        </w:tc>
        <w:tc>
          <w:tcPr>
            <w:tcW w:w="992" w:type="dxa"/>
            <w:vAlign w:val="center"/>
          </w:tcPr>
          <w:p w14:paraId="315E77A3" w14:textId="77777777" w:rsidR="00FF603B" w:rsidRPr="00D0587E" w:rsidDel="00D14904" w:rsidRDefault="00FF603B" w:rsidP="008F3BDE">
            <w:pPr>
              <w:jc w:val="center"/>
              <w:rPr>
                <w:rFonts w:ascii="Times New Roman" w:hAnsi="Times New Roman" w:cs="Times New Roman"/>
              </w:rPr>
            </w:pPr>
            <w:r w:rsidRPr="00D0587E">
              <w:rPr>
                <w:rFonts w:ascii="Times New Roman" w:hAnsi="Times New Roman" w:cs="Times New Roman"/>
              </w:rPr>
              <w:t>Spolu</w:t>
            </w:r>
          </w:p>
        </w:tc>
        <w:tc>
          <w:tcPr>
            <w:tcW w:w="1417" w:type="dxa"/>
            <w:vAlign w:val="center"/>
          </w:tcPr>
          <w:p w14:paraId="1020819C"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100 000</w:t>
            </w:r>
          </w:p>
        </w:tc>
        <w:tc>
          <w:tcPr>
            <w:tcW w:w="1276" w:type="dxa"/>
            <w:vAlign w:val="center"/>
          </w:tcPr>
          <w:p w14:paraId="4A18E589"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85 000</w:t>
            </w:r>
          </w:p>
        </w:tc>
        <w:tc>
          <w:tcPr>
            <w:tcW w:w="1276" w:type="dxa"/>
            <w:gridSpan w:val="2"/>
            <w:vAlign w:val="center"/>
          </w:tcPr>
          <w:p w14:paraId="382A8486"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10 000</w:t>
            </w:r>
          </w:p>
        </w:tc>
        <w:tc>
          <w:tcPr>
            <w:tcW w:w="1495" w:type="dxa"/>
            <w:gridSpan w:val="3"/>
            <w:vAlign w:val="center"/>
          </w:tcPr>
          <w:p w14:paraId="522AD4A8"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5 000</w:t>
            </w:r>
          </w:p>
        </w:tc>
        <w:tc>
          <w:tcPr>
            <w:tcW w:w="937" w:type="dxa"/>
            <w:vAlign w:val="center"/>
          </w:tcPr>
          <w:p w14:paraId="502D11EA" w14:textId="77777777" w:rsidR="00FF603B" w:rsidRPr="00D0587E" w:rsidRDefault="00FF603B" w:rsidP="008F3BDE">
            <w:pPr>
              <w:jc w:val="right"/>
              <w:rPr>
                <w:rFonts w:ascii="Times New Roman" w:hAnsi="Times New Roman" w:cs="Times New Roman"/>
              </w:rPr>
            </w:pPr>
            <w:r w:rsidRPr="00D0587E">
              <w:rPr>
                <w:rFonts w:ascii="Times New Roman" w:hAnsi="Times New Roman" w:cs="Times New Roman"/>
              </w:rPr>
              <w:t>-</w:t>
            </w:r>
          </w:p>
        </w:tc>
      </w:tr>
      <w:tr w:rsidR="00D0587E" w:rsidRPr="00D0587E" w14:paraId="3172A46C" w14:textId="77777777" w:rsidTr="008F3BDE">
        <w:trPr>
          <w:trHeight w:val="624"/>
        </w:trPr>
        <w:tc>
          <w:tcPr>
            <w:tcW w:w="2127" w:type="dxa"/>
            <w:vAlign w:val="center"/>
          </w:tcPr>
          <w:p w14:paraId="7F749AAF"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Princípy pre stanovenie výberových a </w:t>
            </w:r>
          </w:p>
          <w:p w14:paraId="375F1D17"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24"/>
            </w:r>
          </w:p>
        </w:tc>
        <w:tc>
          <w:tcPr>
            <w:tcW w:w="7393" w:type="dxa"/>
            <w:gridSpan w:val="9"/>
            <w:vAlign w:val="center"/>
          </w:tcPr>
          <w:p w14:paraId="56EBDC63" w14:textId="77777777" w:rsidR="00FF603B" w:rsidRPr="00D0587E" w:rsidRDefault="00FF603B" w:rsidP="008F3BDE">
            <w:pPr>
              <w:jc w:val="both"/>
              <w:rPr>
                <w:rFonts w:ascii="Times New Roman" w:hAnsi="Times New Roman" w:cs="Times New Roman"/>
                <w:i/>
              </w:rPr>
            </w:pPr>
            <w:r w:rsidRPr="00D0587E">
              <w:rPr>
                <w:rFonts w:ascii="Times New Roman" w:hAnsi="Times New Roman" w:cs="Times New Roman"/>
                <w:i/>
              </w:rPr>
              <w:t>V súlade s programom Interreg V - A</w:t>
            </w:r>
          </w:p>
        </w:tc>
      </w:tr>
      <w:tr w:rsidR="00D0587E" w:rsidRPr="00D0587E" w14:paraId="65353DF1" w14:textId="77777777" w:rsidTr="008F3BDE">
        <w:trPr>
          <w:trHeight w:val="624"/>
        </w:trPr>
        <w:tc>
          <w:tcPr>
            <w:tcW w:w="2127" w:type="dxa"/>
            <w:vAlign w:val="center"/>
          </w:tcPr>
          <w:p w14:paraId="161A90A3"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Povinné prílohy stanovené MAS</w:t>
            </w:r>
            <w:r w:rsidRPr="00D0587E">
              <w:rPr>
                <w:rStyle w:val="Odkaznapoznmkupodiarou"/>
                <w:rFonts w:ascii="Times New Roman" w:hAnsi="Times New Roman" w:cs="Times New Roman"/>
              </w:rPr>
              <w:footnoteReference w:id="25"/>
            </w:r>
          </w:p>
        </w:tc>
        <w:tc>
          <w:tcPr>
            <w:tcW w:w="7393" w:type="dxa"/>
            <w:gridSpan w:val="9"/>
            <w:vAlign w:val="center"/>
          </w:tcPr>
          <w:p w14:paraId="142B890C" w14:textId="77777777" w:rsidR="00FF603B" w:rsidRPr="00D0587E" w:rsidRDefault="00FF603B" w:rsidP="008F3BDE">
            <w:pPr>
              <w:rPr>
                <w:rFonts w:ascii="Times New Roman" w:hAnsi="Times New Roman" w:cs="Times New Roman"/>
                <w:i/>
              </w:rPr>
            </w:pPr>
            <w:r w:rsidRPr="00D0587E">
              <w:rPr>
                <w:rFonts w:ascii="Times New Roman" w:hAnsi="Times New Roman" w:cs="Times New Roman"/>
                <w:i/>
              </w:rPr>
              <w:t>žiadne</w:t>
            </w:r>
          </w:p>
        </w:tc>
      </w:tr>
      <w:tr w:rsidR="00D0587E" w:rsidRPr="00D0587E" w14:paraId="525D3055" w14:textId="77777777" w:rsidTr="008F3BDE">
        <w:trPr>
          <w:trHeight w:val="624"/>
        </w:trPr>
        <w:tc>
          <w:tcPr>
            <w:tcW w:w="2127" w:type="dxa"/>
            <w:vMerge w:val="restart"/>
            <w:vAlign w:val="center"/>
          </w:tcPr>
          <w:p w14:paraId="46962350"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lastRenderedPageBreak/>
              <w:t>Merateľné ukazovatele projektu</w:t>
            </w:r>
          </w:p>
        </w:tc>
        <w:tc>
          <w:tcPr>
            <w:tcW w:w="992" w:type="dxa"/>
            <w:vAlign w:val="center"/>
          </w:tcPr>
          <w:p w14:paraId="08D588F6" w14:textId="77777777" w:rsidR="00FF603B" w:rsidRPr="00D0587E" w:rsidRDefault="00FF603B" w:rsidP="008F3BDE">
            <w:pPr>
              <w:jc w:val="center"/>
              <w:rPr>
                <w:rFonts w:ascii="Times New Roman" w:hAnsi="Times New Roman" w:cs="Times New Roman"/>
                <w:i/>
              </w:rPr>
            </w:pPr>
            <w:r w:rsidRPr="00D0587E">
              <w:rPr>
                <w:rFonts w:ascii="Times New Roman" w:hAnsi="Times New Roman" w:cs="Times New Roman"/>
              </w:rPr>
              <w:t>Kód/ID</w:t>
            </w:r>
          </w:p>
        </w:tc>
        <w:tc>
          <w:tcPr>
            <w:tcW w:w="2855" w:type="dxa"/>
            <w:gridSpan w:val="3"/>
            <w:vAlign w:val="center"/>
          </w:tcPr>
          <w:p w14:paraId="02F3F121" w14:textId="77777777" w:rsidR="00FF603B" w:rsidRPr="00D0587E" w:rsidRDefault="00FF603B" w:rsidP="008F3BDE">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63763576" w14:textId="77777777" w:rsidR="00FF603B" w:rsidRPr="00D0587E" w:rsidRDefault="00FF603B" w:rsidP="008F3BDE">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48EDCBBB" w14:textId="77777777" w:rsidR="00FF603B" w:rsidRPr="00D0587E" w:rsidRDefault="00FF603B" w:rsidP="008F3BDE">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65ADA9EF" w14:textId="77777777" w:rsidR="00FF603B" w:rsidRPr="00D0587E" w:rsidRDefault="00FF603B" w:rsidP="008F3BDE">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391A6ED3" w14:textId="77777777" w:rsidTr="008F3BDE">
        <w:trPr>
          <w:trHeight w:val="624"/>
        </w:trPr>
        <w:tc>
          <w:tcPr>
            <w:tcW w:w="2127" w:type="dxa"/>
            <w:vMerge/>
            <w:vAlign w:val="center"/>
          </w:tcPr>
          <w:p w14:paraId="5C14060B" w14:textId="77777777" w:rsidR="00FF603B" w:rsidRPr="00D0587E" w:rsidRDefault="00FF603B" w:rsidP="008F3BDE">
            <w:pPr>
              <w:rPr>
                <w:rFonts w:ascii="Times New Roman" w:hAnsi="Times New Roman" w:cs="Times New Roman"/>
              </w:rPr>
            </w:pPr>
          </w:p>
        </w:tc>
        <w:tc>
          <w:tcPr>
            <w:tcW w:w="992" w:type="dxa"/>
            <w:vAlign w:val="center"/>
          </w:tcPr>
          <w:p w14:paraId="0738B3AF" w14:textId="77777777" w:rsidR="00FF603B" w:rsidRPr="00D0587E" w:rsidRDefault="00FF603B" w:rsidP="008F3BDE">
            <w:pPr>
              <w:jc w:val="center"/>
              <w:rPr>
                <w:rFonts w:ascii="Times New Roman" w:hAnsi="Times New Roman" w:cs="Times New Roman"/>
              </w:rPr>
            </w:pPr>
          </w:p>
        </w:tc>
        <w:tc>
          <w:tcPr>
            <w:tcW w:w="2855" w:type="dxa"/>
            <w:gridSpan w:val="3"/>
            <w:vAlign w:val="center"/>
          </w:tcPr>
          <w:p w14:paraId="2551F254" w14:textId="77777777" w:rsidR="00FF603B" w:rsidRPr="00D0587E" w:rsidRDefault="00FF603B" w:rsidP="008F3BDE">
            <w:pPr>
              <w:spacing w:after="60" w:line="276" w:lineRule="auto"/>
              <w:rPr>
                <w:rFonts w:ascii="Times New Roman" w:hAnsi="Times New Roman" w:cs="Times New Roman"/>
              </w:rPr>
            </w:pPr>
            <w:r w:rsidRPr="00D0587E">
              <w:rPr>
                <w:rFonts w:ascii="Times New Roman" w:hAnsi="Times New Roman" w:cs="Times New Roman"/>
                <w:bCs/>
              </w:rPr>
              <w:t>Dĺžka vyznačených hipotrás</w:t>
            </w:r>
          </w:p>
        </w:tc>
        <w:tc>
          <w:tcPr>
            <w:tcW w:w="1155" w:type="dxa"/>
            <w:gridSpan w:val="2"/>
            <w:vAlign w:val="center"/>
          </w:tcPr>
          <w:p w14:paraId="53CA4B5E"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km</w:t>
            </w:r>
          </w:p>
        </w:tc>
        <w:tc>
          <w:tcPr>
            <w:tcW w:w="1262" w:type="dxa"/>
            <w:vAlign w:val="center"/>
          </w:tcPr>
          <w:p w14:paraId="12BA4099"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0E4CF332"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50</w:t>
            </w:r>
          </w:p>
        </w:tc>
      </w:tr>
      <w:tr w:rsidR="00D0587E" w:rsidRPr="00D0587E" w14:paraId="649D8222" w14:textId="77777777" w:rsidTr="008F3BDE">
        <w:trPr>
          <w:trHeight w:val="624"/>
        </w:trPr>
        <w:tc>
          <w:tcPr>
            <w:tcW w:w="2127" w:type="dxa"/>
            <w:vMerge/>
            <w:vAlign w:val="center"/>
          </w:tcPr>
          <w:p w14:paraId="461A6E31" w14:textId="77777777" w:rsidR="00FF603B" w:rsidRPr="00D0587E" w:rsidRDefault="00FF603B" w:rsidP="008F3BDE">
            <w:pPr>
              <w:rPr>
                <w:rFonts w:ascii="Times New Roman" w:hAnsi="Times New Roman" w:cs="Times New Roman"/>
              </w:rPr>
            </w:pPr>
          </w:p>
        </w:tc>
        <w:tc>
          <w:tcPr>
            <w:tcW w:w="992" w:type="dxa"/>
            <w:vAlign w:val="center"/>
          </w:tcPr>
          <w:p w14:paraId="7F0229F6" w14:textId="77777777" w:rsidR="00FF603B" w:rsidRPr="00D0587E" w:rsidRDefault="00FF603B" w:rsidP="008F3BDE">
            <w:pPr>
              <w:jc w:val="center"/>
              <w:rPr>
                <w:rFonts w:ascii="Times New Roman" w:hAnsi="Times New Roman" w:cs="Times New Roman"/>
              </w:rPr>
            </w:pPr>
          </w:p>
        </w:tc>
        <w:tc>
          <w:tcPr>
            <w:tcW w:w="2855" w:type="dxa"/>
            <w:gridSpan w:val="3"/>
            <w:vAlign w:val="center"/>
          </w:tcPr>
          <w:p w14:paraId="1110AC3E" w14:textId="77777777" w:rsidR="00FF603B" w:rsidRPr="00D0587E" w:rsidRDefault="00FF603B" w:rsidP="00F5521F">
            <w:pPr>
              <w:spacing w:after="60" w:line="276" w:lineRule="auto"/>
              <w:rPr>
                <w:rFonts w:ascii="Times New Roman" w:hAnsi="Times New Roman" w:cs="Times New Roman"/>
              </w:rPr>
            </w:pPr>
            <w:r w:rsidRPr="00D0587E">
              <w:rPr>
                <w:rFonts w:ascii="Times New Roman" w:hAnsi="Times New Roman" w:cs="Times New Roman"/>
                <w:bCs/>
              </w:rPr>
              <w:t>Dĺžka vyznačených bežeckých trás</w:t>
            </w:r>
          </w:p>
        </w:tc>
        <w:tc>
          <w:tcPr>
            <w:tcW w:w="1155" w:type="dxa"/>
            <w:gridSpan w:val="2"/>
            <w:vAlign w:val="center"/>
          </w:tcPr>
          <w:p w14:paraId="47AC9353"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km</w:t>
            </w:r>
          </w:p>
        </w:tc>
        <w:tc>
          <w:tcPr>
            <w:tcW w:w="1262" w:type="dxa"/>
            <w:vAlign w:val="center"/>
          </w:tcPr>
          <w:p w14:paraId="429CB7F6"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114A25EC"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15</w:t>
            </w:r>
          </w:p>
        </w:tc>
      </w:tr>
      <w:tr w:rsidR="00D0587E" w:rsidRPr="00D0587E" w14:paraId="2BFAD8EA" w14:textId="77777777" w:rsidTr="008F3BDE">
        <w:trPr>
          <w:trHeight w:val="624"/>
        </w:trPr>
        <w:tc>
          <w:tcPr>
            <w:tcW w:w="2127" w:type="dxa"/>
            <w:vMerge/>
            <w:vAlign w:val="center"/>
          </w:tcPr>
          <w:p w14:paraId="0996436C" w14:textId="77777777" w:rsidR="00FF603B" w:rsidRPr="00D0587E" w:rsidRDefault="00FF603B" w:rsidP="008F3BDE">
            <w:pPr>
              <w:rPr>
                <w:rFonts w:ascii="Times New Roman" w:hAnsi="Times New Roman" w:cs="Times New Roman"/>
              </w:rPr>
            </w:pPr>
          </w:p>
        </w:tc>
        <w:tc>
          <w:tcPr>
            <w:tcW w:w="992" w:type="dxa"/>
            <w:vAlign w:val="center"/>
          </w:tcPr>
          <w:p w14:paraId="64A53D61" w14:textId="77777777" w:rsidR="00FF603B" w:rsidRPr="00D0587E" w:rsidRDefault="00FF603B" w:rsidP="008F3BDE">
            <w:pPr>
              <w:jc w:val="center"/>
              <w:rPr>
                <w:rFonts w:ascii="Times New Roman" w:hAnsi="Times New Roman" w:cs="Times New Roman"/>
              </w:rPr>
            </w:pPr>
          </w:p>
        </w:tc>
        <w:tc>
          <w:tcPr>
            <w:tcW w:w="2855" w:type="dxa"/>
            <w:gridSpan w:val="3"/>
            <w:vAlign w:val="center"/>
          </w:tcPr>
          <w:p w14:paraId="3230A674" w14:textId="77777777" w:rsidR="00FF603B" w:rsidRPr="00D0587E" w:rsidRDefault="00FF603B" w:rsidP="00F5521F">
            <w:pPr>
              <w:spacing w:after="60" w:line="276" w:lineRule="auto"/>
              <w:rPr>
                <w:rFonts w:ascii="Times New Roman" w:hAnsi="Times New Roman" w:cs="Times New Roman"/>
              </w:rPr>
            </w:pPr>
            <w:r w:rsidRPr="00D0587E">
              <w:rPr>
                <w:rFonts w:ascii="Times New Roman" w:hAnsi="Times New Roman" w:cs="Times New Roman"/>
                <w:bCs/>
              </w:rPr>
              <w:t>Dĺžka vybudovaných alebo vyznačených cyklotrás</w:t>
            </w:r>
          </w:p>
        </w:tc>
        <w:tc>
          <w:tcPr>
            <w:tcW w:w="1155" w:type="dxa"/>
            <w:gridSpan w:val="2"/>
            <w:vAlign w:val="center"/>
          </w:tcPr>
          <w:p w14:paraId="0F6E7F6B"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km</w:t>
            </w:r>
          </w:p>
        </w:tc>
        <w:tc>
          <w:tcPr>
            <w:tcW w:w="1262" w:type="dxa"/>
            <w:vAlign w:val="center"/>
          </w:tcPr>
          <w:p w14:paraId="1D1AE618"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2BF9DF5E" w14:textId="77777777" w:rsidR="00FF603B" w:rsidRPr="00D0587E" w:rsidRDefault="00FF603B" w:rsidP="008F3BDE">
            <w:pPr>
              <w:jc w:val="center"/>
              <w:rPr>
                <w:rFonts w:ascii="Times New Roman" w:hAnsi="Times New Roman" w:cs="Times New Roman"/>
              </w:rPr>
            </w:pPr>
            <w:r w:rsidRPr="00D0587E">
              <w:rPr>
                <w:rFonts w:ascii="Times New Roman" w:hAnsi="Times New Roman" w:cs="Times New Roman"/>
              </w:rPr>
              <w:t>5</w:t>
            </w:r>
          </w:p>
        </w:tc>
      </w:tr>
      <w:tr w:rsidR="00D0587E" w:rsidRPr="00D0587E" w14:paraId="66B39BFA" w14:textId="77777777" w:rsidTr="008F3BDE">
        <w:trPr>
          <w:trHeight w:val="624"/>
        </w:trPr>
        <w:tc>
          <w:tcPr>
            <w:tcW w:w="2127" w:type="dxa"/>
            <w:vAlign w:val="center"/>
          </w:tcPr>
          <w:p w14:paraId="51605296" w14:textId="77777777" w:rsidR="00FF603B" w:rsidRPr="00D0587E" w:rsidRDefault="00FF603B" w:rsidP="008F3BDE">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9"/>
          </w:tcPr>
          <w:p w14:paraId="774D2C91" w14:textId="77777777" w:rsidR="00FF603B" w:rsidRPr="00D0587E" w:rsidRDefault="00FF603B" w:rsidP="00465C76">
            <w:pPr>
              <w:jc w:val="both"/>
              <w:rPr>
                <w:rFonts w:ascii="Times New Roman" w:hAnsi="Times New Roman" w:cs="Times New Roman"/>
              </w:rPr>
            </w:pPr>
            <w:r w:rsidRPr="00D0587E">
              <w:rPr>
                <w:rFonts w:ascii="Times New Roman" w:hAnsi="Times New Roman" w:cs="Times New Roman"/>
                <w:i/>
              </w:rPr>
              <w:t>December 2018, december 2019</w:t>
            </w:r>
          </w:p>
        </w:tc>
      </w:tr>
    </w:tbl>
    <w:p w14:paraId="1373B5D7" w14:textId="77777777" w:rsidR="00F5521F" w:rsidRDefault="00F5521F" w:rsidP="00D2349E">
      <w:pPr>
        <w:spacing w:after="60" w:line="312" w:lineRule="auto"/>
        <w:rPr>
          <w:rFonts w:ascii="Times New Roman" w:hAnsi="Times New Roman" w:cs="Times New Roman"/>
          <w:b/>
          <w:sz w:val="24"/>
          <w:szCs w:val="24"/>
        </w:rPr>
      </w:pPr>
    </w:p>
    <w:p w14:paraId="5913C1C9" w14:textId="77777777" w:rsidR="00362E8C" w:rsidRPr="00362E8C" w:rsidRDefault="00362E8C" w:rsidP="00362E8C">
      <w:pPr>
        <w:spacing w:after="0" w:line="312" w:lineRule="auto"/>
        <w:rPr>
          <w:rFonts w:ascii="Times New Roman" w:hAnsi="Times New Roman" w:cs="Times New Roman"/>
          <w:b/>
          <w:sz w:val="18"/>
          <w:szCs w:val="18"/>
        </w:rPr>
      </w:pPr>
      <w:r w:rsidRPr="00362E8C">
        <w:rPr>
          <w:rFonts w:ascii="Times New Roman" w:hAnsi="Times New Roman" w:cs="Times New Roman"/>
          <w:b/>
          <w:sz w:val="18"/>
          <w:szCs w:val="18"/>
        </w:rPr>
        <w:t>Tabuľka č. 5.2</w:t>
      </w:r>
      <w:r w:rsidR="002A0E09">
        <w:rPr>
          <w:rFonts w:ascii="Times New Roman" w:hAnsi="Times New Roman" w:cs="Times New Roman"/>
          <w:b/>
          <w:sz w:val="18"/>
          <w:szCs w:val="18"/>
        </w:rPr>
        <w:t>.F</w:t>
      </w:r>
      <w:r w:rsidRPr="00362E8C">
        <w:rPr>
          <w:rFonts w:ascii="Times New Roman" w:hAnsi="Times New Roman" w:cs="Times New Roman"/>
          <w:b/>
          <w:sz w:val="18"/>
          <w:szCs w:val="18"/>
        </w:rPr>
        <w:t xml:space="preserve"> Opatrenie stratégie CLLD </w:t>
      </w:r>
      <w:r>
        <w:rPr>
          <w:rFonts w:ascii="Times New Roman" w:hAnsi="Times New Roman" w:cs="Times New Roman"/>
          <w:b/>
          <w:sz w:val="18"/>
          <w:szCs w:val="18"/>
        </w:rPr>
        <w:t>2.5</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D0587E" w:rsidRPr="00D0587E" w14:paraId="528FABE4" w14:textId="77777777" w:rsidTr="008762C6">
        <w:trPr>
          <w:trHeight w:val="624"/>
        </w:trPr>
        <w:tc>
          <w:tcPr>
            <w:tcW w:w="2127" w:type="dxa"/>
            <w:vAlign w:val="center"/>
          </w:tcPr>
          <w:p w14:paraId="65FE1D33"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 xml:space="preserve">Názov opatrenia </w:t>
            </w:r>
          </w:p>
        </w:tc>
        <w:tc>
          <w:tcPr>
            <w:tcW w:w="7393" w:type="dxa"/>
            <w:gridSpan w:val="9"/>
          </w:tcPr>
          <w:p w14:paraId="60B31DEB" w14:textId="77777777" w:rsidR="008762C6" w:rsidRPr="00D0587E" w:rsidRDefault="008762C6" w:rsidP="00C02D67">
            <w:pPr>
              <w:rPr>
                <w:rFonts w:ascii="Times New Roman" w:hAnsi="Times New Roman" w:cs="Times New Roman"/>
              </w:rPr>
            </w:pPr>
            <w:r w:rsidRPr="00D0587E">
              <w:rPr>
                <w:rFonts w:ascii="Times New Roman" w:hAnsi="Times New Roman" w:cs="Times New Roman"/>
                <w:b/>
                <w:sz w:val="24"/>
                <w:szCs w:val="24"/>
              </w:rPr>
              <w:t>2.5 Grantový program „Podporujeme akčných!“</w:t>
            </w:r>
          </w:p>
        </w:tc>
      </w:tr>
      <w:tr w:rsidR="00D0587E" w:rsidRPr="00D0587E" w14:paraId="50515E95" w14:textId="77777777" w:rsidTr="008762C6">
        <w:trPr>
          <w:trHeight w:val="624"/>
        </w:trPr>
        <w:tc>
          <w:tcPr>
            <w:tcW w:w="2127" w:type="dxa"/>
            <w:vAlign w:val="center"/>
          </w:tcPr>
          <w:p w14:paraId="6CC23CC4"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Priradenie kódu opatrenia</w:t>
            </w:r>
            <w:r w:rsidRPr="00D0587E">
              <w:rPr>
                <w:rStyle w:val="Odkaznapoznmkupodiarou"/>
                <w:rFonts w:ascii="Times New Roman" w:hAnsi="Times New Roman" w:cs="Times New Roman"/>
              </w:rPr>
              <w:footnoteReference w:id="26"/>
            </w:r>
            <w:r w:rsidRPr="00D0587E">
              <w:rPr>
                <w:rFonts w:ascii="Times New Roman" w:hAnsi="Times New Roman" w:cs="Times New Roman"/>
              </w:rPr>
              <w:t xml:space="preserve"> </w:t>
            </w:r>
          </w:p>
        </w:tc>
        <w:tc>
          <w:tcPr>
            <w:tcW w:w="7393" w:type="dxa"/>
            <w:gridSpan w:val="9"/>
          </w:tcPr>
          <w:p w14:paraId="72A21D77"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w:t>
            </w:r>
          </w:p>
        </w:tc>
      </w:tr>
      <w:tr w:rsidR="00D0587E" w:rsidRPr="00D0587E" w14:paraId="77E6D610" w14:textId="77777777" w:rsidTr="008762C6">
        <w:trPr>
          <w:trHeight w:val="624"/>
        </w:trPr>
        <w:tc>
          <w:tcPr>
            <w:tcW w:w="2127" w:type="dxa"/>
            <w:vAlign w:val="center"/>
          </w:tcPr>
          <w:p w14:paraId="5CA659D0"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9"/>
          </w:tcPr>
          <w:p w14:paraId="74D058AD"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w:t>
            </w:r>
          </w:p>
        </w:tc>
      </w:tr>
      <w:tr w:rsidR="00D0587E" w:rsidRPr="00D0587E" w14:paraId="51037E23" w14:textId="77777777" w:rsidTr="008762C6">
        <w:trPr>
          <w:trHeight w:val="624"/>
        </w:trPr>
        <w:tc>
          <w:tcPr>
            <w:tcW w:w="2127" w:type="dxa"/>
            <w:vAlign w:val="center"/>
          </w:tcPr>
          <w:p w14:paraId="6DAF0F55"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9"/>
            <w:vAlign w:val="center"/>
          </w:tcPr>
          <w:p w14:paraId="6FEC22E4" w14:textId="77777777" w:rsidR="00FF603B" w:rsidRPr="00D0587E" w:rsidRDefault="00FF603B" w:rsidP="00C02D67">
            <w:pPr>
              <w:jc w:val="both"/>
              <w:rPr>
                <w:rFonts w:ascii="Times New Roman" w:hAnsi="Times New Roman" w:cs="Times New Roman"/>
                <w:i/>
                <w:sz w:val="18"/>
                <w:szCs w:val="18"/>
              </w:rPr>
            </w:pPr>
            <w:r w:rsidRPr="00D0587E">
              <w:rPr>
                <w:rFonts w:ascii="Times New Roman" w:hAnsi="Times New Roman" w:cs="Times New Roman"/>
                <w:i/>
                <w:sz w:val="24"/>
                <w:szCs w:val="24"/>
              </w:rPr>
              <w:t>Opatrenie prispieva k naplneniu Špecifického cieľa: Zlepšiť podmienky pre rozvoj potenciálu vidieckeho cestovného ruchu a spolupráce.</w:t>
            </w:r>
          </w:p>
        </w:tc>
      </w:tr>
      <w:tr w:rsidR="00D0587E" w:rsidRPr="00D0587E" w14:paraId="6F9EABFD" w14:textId="77777777" w:rsidTr="008762C6">
        <w:trPr>
          <w:trHeight w:val="624"/>
        </w:trPr>
        <w:tc>
          <w:tcPr>
            <w:tcW w:w="2127" w:type="dxa"/>
            <w:vAlign w:val="center"/>
          </w:tcPr>
          <w:p w14:paraId="0E0AE18E"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Zdôvodnenie výberu</w:t>
            </w:r>
          </w:p>
        </w:tc>
        <w:tc>
          <w:tcPr>
            <w:tcW w:w="7393" w:type="dxa"/>
            <w:gridSpan w:val="9"/>
            <w:vAlign w:val="center"/>
          </w:tcPr>
          <w:p w14:paraId="527BBA15" w14:textId="77777777" w:rsidR="00FF603B" w:rsidRPr="00D0587E" w:rsidRDefault="00FF603B" w:rsidP="00C02D67">
            <w:pPr>
              <w:jc w:val="both"/>
              <w:rPr>
                <w:rFonts w:ascii="Times New Roman" w:hAnsi="Times New Roman" w:cs="Times New Roman"/>
                <w:i/>
              </w:rPr>
            </w:pPr>
            <w:r w:rsidRPr="00D0587E">
              <w:rPr>
                <w:rFonts w:ascii="Times New Roman" w:hAnsi="Times New Roman" w:cs="Times New Roman"/>
                <w:i/>
                <w:sz w:val="24"/>
                <w:szCs w:val="24"/>
              </w:rPr>
              <w:t>Opatrenie reflektuje na potreby identifikované v oblasti Cestovný ruch a Ľudské zdroje v rámci Identifikácie potrieb.</w:t>
            </w:r>
          </w:p>
        </w:tc>
      </w:tr>
      <w:tr w:rsidR="00D0587E" w:rsidRPr="00D0587E" w14:paraId="7B5ABAB8" w14:textId="77777777" w:rsidTr="008762C6">
        <w:trPr>
          <w:trHeight w:val="624"/>
        </w:trPr>
        <w:tc>
          <w:tcPr>
            <w:tcW w:w="2127" w:type="dxa"/>
            <w:vAlign w:val="center"/>
          </w:tcPr>
          <w:p w14:paraId="35390C7C"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9"/>
            <w:vAlign w:val="center"/>
          </w:tcPr>
          <w:p w14:paraId="68A0C963" w14:textId="77777777" w:rsidR="00FF603B" w:rsidRPr="00D0587E" w:rsidRDefault="00FF603B" w:rsidP="00C02D67">
            <w:pPr>
              <w:jc w:val="both"/>
              <w:rPr>
                <w:rFonts w:ascii="Times New Roman" w:hAnsi="Times New Roman" w:cs="Times New Roman"/>
                <w:i/>
              </w:rPr>
            </w:pPr>
            <w:r w:rsidRPr="00D0587E">
              <w:rPr>
                <w:rFonts w:ascii="Times New Roman" w:hAnsi="Times New Roman" w:cs="Times New Roman"/>
                <w:i/>
                <w:sz w:val="24"/>
                <w:szCs w:val="24"/>
              </w:rPr>
              <w:t>Podpora subjektov tretieho (občianskeho) sektora v oblasti organizovania podujatí kultúrno-spoločenského, športového charakteru, ktorých cieľom je do regiónu prilákať ľudí.</w:t>
            </w:r>
          </w:p>
        </w:tc>
      </w:tr>
      <w:tr w:rsidR="00D0587E" w:rsidRPr="00D0587E" w14:paraId="4E8D5383" w14:textId="77777777" w:rsidTr="008762C6">
        <w:trPr>
          <w:trHeight w:val="624"/>
        </w:trPr>
        <w:tc>
          <w:tcPr>
            <w:tcW w:w="2127" w:type="dxa"/>
            <w:vAlign w:val="center"/>
          </w:tcPr>
          <w:p w14:paraId="62BA2A4A"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Oprávnení prijímatelia</w:t>
            </w:r>
          </w:p>
        </w:tc>
        <w:tc>
          <w:tcPr>
            <w:tcW w:w="7393" w:type="dxa"/>
            <w:gridSpan w:val="9"/>
            <w:vAlign w:val="center"/>
          </w:tcPr>
          <w:p w14:paraId="1AF5460E" w14:textId="77777777" w:rsidR="00FF603B" w:rsidRPr="00D0587E" w:rsidRDefault="00FF603B" w:rsidP="008762C6">
            <w:pPr>
              <w:jc w:val="both"/>
              <w:rPr>
                <w:rFonts w:ascii="Times New Roman" w:hAnsi="Times New Roman" w:cs="Times New Roman"/>
              </w:rPr>
            </w:pPr>
            <w:r w:rsidRPr="00D0587E">
              <w:rPr>
                <w:rFonts w:ascii="Times New Roman" w:hAnsi="Times New Roman" w:cs="Times New Roman"/>
                <w:i/>
                <w:sz w:val="24"/>
                <w:szCs w:val="24"/>
              </w:rPr>
              <w:t>Občianske združenia, neziskové organizácie, cirkev, neformálne skupiny občanov</w:t>
            </w:r>
          </w:p>
        </w:tc>
      </w:tr>
      <w:tr w:rsidR="00D0587E" w:rsidRPr="00D0587E" w14:paraId="03A433F0" w14:textId="77777777" w:rsidTr="008762C6">
        <w:trPr>
          <w:trHeight w:val="624"/>
        </w:trPr>
        <w:tc>
          <w:tcPr>
            <w:tcW w:w="2127" w:type="dxa"/>
            <w:vAlign w:val="center"/>
          </w:tcPr>
          <w:p w14:paraId="1EC9ACEC"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Intenzita pomoci </w:t>
            </w:r>
            <w:r w:rsidRPr="00D0587E">
              <w:rPr>
                <w:rStyle w:val="Odkaznapoznmkupodiarou"/>
                <w:rFonts w:ascii="Times New Roman" w:hAnsi="Times New Roman" w:cs="Times New Roman"/>
              </w:rPr>
              <w:footnoteReference w:id="27"/>
            </w:r>
          </w:p>
        </w:tc>
        <w:tc>
          <w:tcPr>
            <w:tcW w:w="7393" w:type="dxa"/>
            <w:gridSpan w:val="9"/>
            <w:vAlign w:val="center"/>
          </w:tcPr>
          <w:p w14:paraId="39FB9587"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80 %</w:t>
            </w:r>
          </w:p>
        </w:tc>
      </w:tr>
      <w:tr w:rsidR="00D0587E" w:rsidRPr="00D0587E" w14:paraId="5E00B3BE" w14:textId="77777777" w:rsidTr="008762C6">
        <w:trPr>
          <w:trHeight w:val="624"/>
        </w:trPr>
        <w:tc>
          <w:tcPr>
            <w:tcW w:w="2127" w:type="dxa"/>
            <w:vAlign w:val="center"/>
          </w:tcPr>
          <w:p w14:paraId="4D693423"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Oprávnené výdavky</w:t>
            </w:r>
          </w:p>
        </w:tc>
        <w:tc>
          <w:tcPr>
            <w:tcW w:w="7393" w:type="dxa"/>
            <w:gridSpan w:val="9"/>
            <w:vAlign w:val="center"/>
          </w:tcPr>
          <w:p w14:paraId="5801F429"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V zmysle výzvy KR-MAS</w:t>
            </w:r>
          </w:p>
        </w:tc>
      </w:tr>
      <w:tr w:rsidR="00D0587E" w:rsidRPr="00D0587E" w14:paraId="08F2674E" w14:textId="77777777" w:rsidTr="008762C6">
        <w:trPr>
          <w:trHeight w:val="624"/>
        </w:trPr>
        <w:tc>
          <w:tcPr>
            <w:tcW w:w="2127" w:type="dxa"/>
            <w:vAlign w:val="center"/>
          </w:tcPr>
          <w:p w14:paraId="5BFC5A9C"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9"/>
            <w:vAlign w:val="center"/>
          </w:tcPr>
          <w:p w14:paraId="7B2D03A9"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200 – 500 EUR</w:t>
            </w:r>
          </w:p>
        </w:tc>
      </w:tr>
      <w:tr w:rsidR="00D0587E" w:rsidRPr="00D0587E" w14:paraId="49BA148A" w14:textId="77777777" w:rsidTr="008762C6">
        <w:trPr>
          <w:trHeight w:val="624"/>
        </w:trPr>
        <w:tc>
          <w:tcPr>
            <w:tcW w:w="2127" w:type="dxa"/>
            <w:vMerge w:val="restart"/>
            <w:vAlign w:val="center"/>
          </w:tcPr>
          <w:p w14:paraId="5671C705"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65ECE0AF"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28"/>
            </w:r>
          </w:p>
        </w:tc>
        <w:tc>
          <w:tcPr>
            <w:tcW w:w="1417" w:type="dxa"/>
            <w:vAlign w:val="center"/>
          </w:tcPr>
          <w:p w14:paraId="4B74798F"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4E683093"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0E1C5823"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706DFD4B"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469B2A7F"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iné</w:t>
            </w:r>
          </w:p>
        </w:tc>
      </w:tr>
      <w:tr w:rsidR="00D0587E" w:rsidRPr="00D0587E" w14:paraId="7A81BEF6" w14:textId="77777777" w:rsidTr="008762C6">
        <w:trPr>
          <w:trHeight w:val="624"/>
        </w:trPr>
        <w:tc>
          <w:tcPr>
            <w:tcW w:w="2127" w:type="dxa"/>
            <w:vMerge/>
            <w:vAlign w:val="center"/>
          </w:tcPr>
          <w:p w14:paraId="02B2DA23" w14:textId="77777777" w:rsidR="00FF603B" w:rsidRPr="00D0587E" w:rsidRDefault="00FF603B" w:rsidP="00C02D67">
            <w:pPr>
              <w:rPr>
                <w:rFonts w:ascii="Times New Roman" w:hAnsi="Times New Roman" w:cs="Times New Roman"/>
              </w:rPr>
            </w:pPr>
          </w:p>
        </w:tc>
        <w:tc>
          <w:tcPr>
            <w:tcW w:w="992" w:type="dxa"/>
            <w:vAlign w:val="center"/>
          </w:tcPr>
          <w:p w14:paraId="226728B0"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 xml:space="preserve">MR </w:t>
            </w:r>
          </w:p>
        </w:tc>
        <w:tc>
          <w:tcPr>
            <w:tcW w:w="1417" w:type="dxa"/>
            <w:vAlign w:val="center"/>
          </w:tcPr>
          <w:p w14:paraId="6A90B5B7" w14:textId="77777777" w:rsidR="00FF603B" w:rsidRPr="00D0587E" w:rsidRDefault="00B26DD2" w:rsidP="00C02D67">
            <w:pPr>
              <w:jc w:val="right"/>
              <w:rPr>
                <w:rFonts w:ascii="Times New Roman" w:hAnsi="Times New Roman" w:cs="Times New Roman"/>
              </w:rPr>
            </w:pPr>
            <w:r w:rsidRPr="00D0587E">
              <w:rPr>
                <w:rFonts w:ascii="Times New Roman" w:hAnsi="Times New Roman" w:cs="Times New Roman"/>
              </w:rPr>
              <w:t>3 000</w:t>
            </w:r>
          </w:p>
        </w:tc>
        <w:tc>
          <w:tcPr>
            <w:tcW w:w="1276" w:type="dxa"/>
            <w:vAlign w:val="center"/>
          </w:tcPr>
          <w:p w14:paraId="4C980CCA"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002F7D06"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38DC0847" w14:textId="77777777" w:rsidR="00FF603B" w:rsidRPr="00D0587E" w:rsidRDefault="00FF603B" w:rsidP="00B26DD2">
            <w:pPr>
              <w:jc w:val="right"/>
              <w:rPr>
                <w:rFonts w:ascii="Times New Roman" w:hAnsi="Times New Roman" w:cs="Times New Roman"/>
              </w:rPr>
            </w:pPr>
            <w:r w:rsidRPr="00D0587E">
              <w:rPr>
                <w:rFonts w:ascii="Times New Roman" w:hAnsi="Times New Roman" w:cs="Times New Roman"/>
              </w:rPr>
              <w:t xml:space="preserve"> </w:t>
            </w:r>
            <w:r w:rsidR="00B26DD2" w:rsidRPr="00D0587E">
              <w:rPr>
                <w:rFonts w:ascii="Times New Roman" w:hAnsi="Times New Roman" w:cs="Times New Roman"/>
              </w:rPr>
              <w:t>5</w:t>
            </w:r>
            <w:r w:rsidRPr="00D0587E">
              <w:rPr>
                <w:rFonts w:ascii="Times New Roman" w:hAnsi="Times New Roman" w:cs="Times New Roman"/>
              </w:rPr>
              <w:t>00</w:t>
            </w:r>
          </w:p>
        </w:tc>
        <w:tc>
          <w:tcPr>
            <w:tcW w:w="937" w:type="dxa"/>
            <w:vAlign w:val="center"/>
          </w:tcPr>
          <w:p w14:paraId="6C364F01" w14:textId="77777777" w:rsidR="00FF603B" w:rsidRPr="00D0587E" w:rsidRDefault="00B26DD2" w:rsidP="00C02D67">
            <w:pPr>
              <w:jc w:val="right"/>
              <w:rPr>
                <w:rFonts w:ascii="Times New Roman" w:hAnsi="Times New Roman" w:cs="Times New Roman"/>
              </w:rPr>
            </w:pPr>
            <w:r w:rsidRPr="00D0587E">
              <w:rPr>
                <w:rFonts w:ascii="Times New Roman" w:hAnsi="Times New Roman" w:cs="Times New Roman"/>
              </w:rPr>
              <w:t>2 500</w:t>
            </w:r>
          </w:p>
        </w:tc>
      </w:tr>
      <w:tr w:rsidR="00D0587E" w:rsidRPr="00D0587E" w14:paraId="6DF4E669" w14:textId="77777777" w:rsidTr="008762C6">
        <w:trPr>
          <w:trHeight w:val="624"/>
        </w:trPr>
        <w:tc>
          <w:tcPr>
            <w:tcW w:w="2127" w:type="dxa"/>
            <w:vMerge/>
            <w:vAlign w:val="center"/>
          </w:tcPr>
          <w:p w14:paraId="5E87EF42" w14:textId="77777777" w:rsidR="00FF603B" w:rsidRPr="00D0587E" w:rsidRDefault="00FF603B" w:rsidP="00C02D67">
            <w:pPr>
              <w:rPr>
                <w:rFonts w:ascii="Times New Roman" w:hAnsi="Times New Roman" w:cs="Times New Roman"/>
              </w:rPr>
            </w:pPr>
          </w:p>
        </w:tc>
        <w:tc>
          <w:tcPr>
            <w:tcW w:w="992" w:type="dxa"/>
            <w:vAlign w:val="center"/>
          </w:tcPr>
          <w:p w14:paraId="1FF2959D"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VR</w:t>
            </w:r>
          </w:p>
        </w:tc>
        <w:tc>
          <w:tcPr>
            <w:tcW w:w="1417" w:type="dxa"/>
            <w:vAlign w:val="center"/>
          </w:tcPr>
          <w:p w14:paraId="38626B52"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32BC06FA"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726464A8"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107677F2"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2BE43C95"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5B9BB050" w14:textId="77777777" w:rsidTr="008762C6">
        <w:trPr>
          <w:trHeight w:val="624"/>
        </w:trPr>
        <w:tc>
          <w:tcPr>
            <w:tcW w:w="2127" w:type="dxa"/>
            <w:vMerge/>
            <w:vAlign w:val="center"/>
          </w:tcPr>
          <w:p w14:paraId="67383285" w14:textId="77777777" w:rsidR="00FF603B" w:rsidRPr="00D0587E" w:rsidRDefault="00FF603B" w:rsidP="00C02D67">
            <w:pPr>
              <w:rPr>
                <w:rFonts w:ascii="Times New Roman" w:hAnsi="Times New Roman" w:cs="Times New Roman"/>
              </w:rPr>
            </w:pPr>
          </w:p>
        </w:tc>
        <w:tc>
          <w:tcPr>
            <w:tcW w:w="992" w:type="dxa"/>
            <w:vAlign w:val="center"/>
          </w:tcPr>
          <w:p w14:paraId="71F6F334"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Spolu</w:t>
            </w:r>
          </w:p>
        </w:tc>
        <w:tc>
          <w:tcPr>
            <w:tcW w:w="1417" w:type="dxa"/>
            <w:vAlign w:val="center"/>
          </w:tcPr>
          <w:p w14:paraId="29DCF865" w14:textId="77777777" w:rsidR="00FF603B" w:rsidRPr="00D0587E" w:rsidRDefault="00B26DD2" w:rsidP="00C02D67">
            <w:pPr>
              <w:jc w:val="right"/>
              <w:rPr>
                <w:rFonts w:ascii="Times New Roman" w:hAnsi="Times New Roman" w:cs="Times New Roman"/>
              </w:rPr>
            </w:pPr>
            <w:r w:rsidRPr="00D0587E">
              <w:rPr>
                <w:rFonts w:ascii="Times New Roman" w:hAnsi="Times New Roman" w:cs="Times New Roman"/>
              </w:rPr>
              <w:t>3</w:t>
            </w:r>
            <w:r w:rsidR="00FF603B" w:rsidRPr="00D0587E">
              <w:rPr>
                <w:rFonts w:ascii="Times New Roman" w:hAnsi="Times New Roman" w:cs="Times New Roman"/>
              </w:rPr>
              <w:t xml:space="preserve"> 000</w:t>
            </w:r>
          </w:p>
        </w:tc>
        <w:tc>
          <w:tcPr>
            <w:tcW w:w="1276" w:type="dxa"/>
            <w:vAlign w:val="center"/>
          </w:tcPr>
          <w:p w14:paraId="1D3200C0"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22539939"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7C29E084" w14:textId="77777777" w:rsidR="00FF603B" w:rsidRPr="00D0587E" w:rsidRDefault="00B26DD2" w:rsidP="00C02D67">
            <w:pPr>
              <w:jc w:val="right"/>
              <w:rPr>
                <w:rFonts w:ascii="Times New Roman" w:hAnsi="Times New Roman" w:cs="Times New Roman"/>
              </w:rPr>
            </w:pPr>
            <w:r w:rsidRPr="00D0587E">
              <w:rPr>
                <w:rFonts w:ascii="Times New Roman" w:hAnsi="Times New Roman" w:cs="Times New Roman"/>
              </w:rPr>
              <w:t>500</w:t>
            </w:r>
          </w:p>
        </w:tc>
        <w:tc>
          <w:tcPr>
            <w:tcW w:w="937" w:type="dxa"/>
            <w:vAlign w:val="center"/>
          </w:tcPr>
          <w:p w14:paraId="6D972CB9" w14:textId="77777777" w:rsidR="00FF603B" w:rsidRPr="00D0587E" w:rsidRDefault="00B26DD2" w:rsidP="00C02D67">
            <w:pPr>
              <w:jc w:val="right"/>
              <w:rPr>
                <w:rFonts w:ascii="Times New Roman" w:hAnsi="Times New Roman" w:cs="Times New Roman"/>
              </w:rPr>
            </w:pPr>
            <w:r w:rsidRPr="00D0587E">
              <w:rPr>
                <w:rFonts w:ascii="Times New Roman" w:hAnsi="Times New Roman" w:cs="Times New Roman"/>
              </w:rPr>
              <w:t>2 500</w:t>
            </w:r>
          </w:p>
        </w:tc>
      </w:tr>
      <w:tr w:rsidR="00D0587E" w:rsidRPr="00D0587E" w14:paraId="0AA98347" w14:textId="77777777" w:rsidTr="008762C6">
        <w:trPr>
          <w:trHeight w:val="624"/>
        </w:trPr>
        <w:tc>
          <w:tcPr>
            <w:tcW w:w="2127" w:type="dxa"/>
            <w:vAlign w:val="center"/>
          </w:tcPr>
          <w:p w14:paraId="7EC7D7AF"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Princípy pre stanovenie výberových a </w:t>
            </w:r>
          </w:p>
          <w:p w14:paraId="53AA409F"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29"/>
            </w:r>
          </w:p>
        </w:tc>
        <w:tc>
          <w:tcPr>
            <w:tcW w:w="7393" w:type="dxa"/>
            <w:gridSpan w:val="9"/>
            <w:vAlign w:val="center"/>
          </w:tcPr>
          <w:p w14:paraId="457DEAE7" w14:textId="77777777" w:rsidR="00FF603B" w:rsidRPr="00D0587E" w:rsidRDefault="00FF603B" w:rsidP="00C02D67">
            <w:pPr>
              <w:rPr>
                <w:rFonts w:ascii="Times New Roman" w:hAnsi="Times New Roman" w:cs="Times New Roman"/>
              </w:rPr>
            </w:pPr>
            <w:r w:rsidRPr="00D0587E">
              <w:rPr>
                <w:rFonts w:ascii="Times New Roman" w:hAnsi="Times New Roman" w:cs="Times New Roman"/>
                <w:i/>
              </w:rPr>
              <w:t>V súlade s KR-MAS</w:t>
            </w:r>
          </w:p>
        </w:tc>
      </w:tr>
      <w:tr w:rsidR="00D0587E" w:rsidRPr="00D0587E" w14:paraId="085DF625" w14:textId="77777777" w:rsidTr="008762C6">
        <w:trPr>
          <w:trHeight w:val="624"/>
        </w:trPr>
        <w:tc>
          <w:tcPr>
            <w:tcW w:w="2127" w:type="dxa"/>
            <w:vAlign w:val="center"/>
          </w:tcPr>
          <w:p w14:paraId="241DE8BA"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Povinné prílohy stanovené MAS</w:t>
            </w:r>
            <w:r w:rsidRPr="00D0587E">
              <w:rPr>
                <w:rStyle w:val="Odkaznapoznmkupodiarou"/>
                <w:rFonts w:ascii="Times New Roman" w:hAnsi="Times New Roman" w:cs="Times New Roman"/>
              </w:rPr>
              <w:footnoteReference w:id="30"/>
            </w:r>
          </w:p>
        </w:tc>
        <w:tc>
          <w:tcPr>
            <w:tcW w:w="7393" w:type="dxa"/>
            <w:gridSpan w:val="9"/>
            <w:vAlign w:val="center"/>
          </w:tcPr>
          <w:p w14:paraId="2A75E84F" w14:textId="77777777" w:rsidR="00FF603B" w:rsidRPr="00D0587E" w:rsidRDefault="00FF603B" w:rsidP="00C02D67">
            <w:pPr>
              <w:rPr>
                <w:rFonts w:ascii="Times New Roman" w:hAnsi="Times New Roman" w:cs="Times New Roman"/>
                <w:i/>
              </w:rPr>
            </w:pPr>
            <w:r w:rsidRPr="00D0587E">
              <w:rPr>
                <w:rFonts w:ascii="Times New Roman" w:hAnsi="Times New Roman" w:cs="Times New Roman"/>
                <w:i/>
              </w:rPr>
              <w:t>Ustanovujúce dokumenty</w:t>
            </w:r>
          </w:p>
        </w:tc>
      </w:tr>
      <w:tr w:rsidR="00D0587E" w:rsidRPr="00D0587E" w14:paraId="06628931" w14:textId="77777777" w:rsidTr="008762C6">
        <w:trPr>
          <w:trHeight w:val="624"/>
        </w:trPr>
        <w:tc>
          <w:tcPr>
            <w:tcW w:w="2127" w:type="dxa"/>
            <w:vMerge w:val="restart"/>
            <w:vAlign w:val="center"/>
          </w:tcPr>
          <w:p w14:paraId="17B89BF2"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Merateľné ukazovatele projektu</w:t>
            </w:r>
          </w:p>
        </w:tc>
        <w:tc>
          <w:tcPr>
            <w:tcW w:w="992" w:type="dxa"/>
            <w:vAlign w:val="center"/>
          </w:tcPr>
          <w:p w14:paraId="204356BA"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Kód/ID</w:t>
            </w:r>
          </w:p>
        </w:tc>
        <w:tc>
          <w:tcPr>
            <w:tcW w:w="2855" w:type="dxa"/>
            <w:gridSpan w:val="3"/>
            <w:vAlign w:val="center"/>
          </w:tcPr>
          <w:p w14:paraId="5262DFCE"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3630D18E"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09E407C3"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0C0A68C8"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2911E176" w14:textId="77777777" w:rsidTr="008762C6">
        <w:trPr>
          <w:trHeight w:val="624"/>
        </w:trPr>
        <w:tc>
          <w:tcPr>
            <w:tcW w:w="2127" w:type="dxa"/>
            <w:vMerge/>
            <w:vAlign w:val="center"/>
          </w:tcPr>
          <w:p w14:paraId="0D35C9B0" w14:textId="77777777" w:rsidR="00FF603B" w:rsidRPr="00D0587E" w:rsidRDefault="00FF603B" w:rsidP="00C02D67">
            <w:pPr>
              <w:rPr>
                <w:rFonts w:ascii="Times New Roman" w:hAnsi="Times New Roman" w:cs="Times New Roman"/>
              </w:rPr>
            </w:pPr>
          </w:p>
        </w:tc>
        <w:tc>
          <w:tcPr>
            <w:tcW w:w="992" w:type="dxa"/>
            <w:vAlign w:val="center"/>
          </w:tcPr>
          <w:p w14:paraId="638710D8" w14:textId="77777777" w:rsidR="00FF603B" w:rsidRPr="00D0587E" w:rsidRDefault="00FF603B" w:rsidP="00C02D67">
            <w:pPr>
              <w:jc w:val="center"/>
              <w:rPr>
                <w:rFonts w:ascii="Times New Roman" w:hAnsi="Times New Roman" w:cs="Times New Roman"/>
              </w:rPr>
            </w:pPr>
          </w:p>
        </w:tc>
        <w:tc>
          <w:tcPr>
            <w:tcW w:w="2855" w:type="dxa"/>
            <w:gridSpan w:val="3"/>
            <w:vAlign w:val="center"/>
          </w:tcPr>
          <w:p w14:paraId="4F9E193E" w14:textId="77777777" w:rsidR="00FF603B" w:rsidRPr="00D0587E" w:rsidRDefault="00FF603B" w:rsidP="008762C6">
            <w:pPr>
              <w:rPr>
                <w:rFonts w:ascii="Times New Roman" w:hAnsi="Times New Roman" w:cs="Times New Roman"/>
              </w:rPr>
            </w:pPr>
            <w:r w:rsidRPr="00D0587E">
              <w:rPr>
                <w:rFonts w:ascii="Times New Roman" w:hAnsi="Times New Roman" w:cs="Times New Roman"/>
                <w:bCs/>
              </w:rPr>
              <w:t>Počet podporených projektov</w:t>
            </w:r>
          </w:p>
        </w:tc>
        <w:tc>
          <w:tcPr>
            <w:tcW w:w="1155" w:type="dxa"/>
            <w:gridSpan w:val="2"/>
            <w:vAlign w:val="center"/>
          </w:tcPr>
          <w:p w14:paraId="7F3B3324"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1D25E132"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513CEB0B" w14:textId="77777777" w:rsidR="00FF603B" w:rsidRPr="00D0587E" w:rsidRDefault="00D313CC" w:rsidP="00C02D67">
            <w:pPr>
              <w:jc w:val="center"/>
              <w:rPr>
                <w:rFonts w:ascii="Times New Roman" w:hAnsi="Times New Roman" w:cs="Times New Roman"/>
              </w:rPr>
            </w:pPr>
            <w:r w:rsidRPr="00D0587E">
              <w:rPr>
                <w:rFonts w:ascii="Times New Roman" w:hAnsi="Times New Roman" w:cs="Times New Roman"/>
              </w:rPr>
              <w:t>15</w:t>
            </w:r>
          </w:p>
        </w:tc>
      </w:tr>
      <w:tr w:rsidR="00D0587E" w:rsidRPr="00D0587E" w14:paraId="30502345" w14:textId="77777777" w:rsidTr="008762C6">
        <w:trPr>
          <w:trHeight w:val="624"/>
        </w:trPr>
        <w:tc>
          <w:tcPr>
            <w:tcW w:w="2127" w:type="dxa"/>
            <w:vMerge/>
            <w:vAlign w:val="center"/>
          </w:tcPr>
          <w:p w14:paraId="2E0324E4" w14:textId="77777777" w:rsidR="00FF603B" w:rsidRPr="00D0587E" w:rsidRDefault="00FF603B" w:rsidP="00C02D67">
            <w:pPr>
              <w:spacing w:after="200" w:line="276" w:lineRule="auto"/>
              <w:rPr>
                <w:rFonts w:ascii="Times New Roman" w:hAnsi="Times New Roman" w:cs="Times New Roman"/>
              </w:rPr>
            </w:pPr>
          </w:p>
        </w:tc>
        <w:tc>
          <w:tcPr>
            <w:tcW w:w="992" w:type="dxa"/>
            <w:vAlign w:val="center"/>
          </w:tcPr>
          <w:p w14:paraId="49AAFB12" w14:textId="77777777" w:rsidR="00FF603B" w:rsidRPr="00D0587E" w:rsidRDefault="00FF603B" w:rsidP="00C02D67">
            <w:pPr>
              <w:spacing w:after="200" w:line="276" w:lineRule="auto"/>
              <w:jc w:val="right"/>
              <w:rPr>
                <w:rFonts w:ascii="Times New Roman" w:hAnsi="Times New Roman" w:cs="Times New Roman"/>
                <w:i/>
              </w:rPr>
            </w:pPr>
          </w:p>
        </w:tc>
        <w:tc>
          <w:tcPr>
            <w:tcW w:w="2855" w:type="dxa"/>
            <w:gridSpan w:val="3"/>
            <w:vAlign w:val="center"/>
          </w:tcPr>
          <w:p w14:paraId="3F6EBCE1" w14:textId="77777777" w:rsidR="00FF603B" w:rsidRPr="00D0587E" w:rsidRDefault="00FF603B" w:rsidP="008762C6">
            <w:pPr>
              <w:spacing w:after="60" w:line="276" w:lineRule="auto"/>
              <w:rPr>
                <w:rFonts w:ascii="Times New Roman" w:hAnsi="Times New Roman" w:cs="Times New Roman"/>
                <w:i/>
              </w:rPr>
            </w:pPr>
            <w:r w:rsidRPr="00D0587E">
              <w:rPr>
                <w:rFonts w:ascii="Times New Roman" w:hAnsi="Times New Roman" w:cs="Times New Roman"/>
                <w:bCs/>
              </w:rPr>
              <w:t>Počet podporených podujatí kultúrno-spoločenského, športového charakteru, ktorých cieľom je do regiónu prilákať ľudí</w:t>
            </w:r>
          </w:p>
        </w:tc>
        <w:tc>
          <w:tcPr>
            <w:tcW w:w="1155" w:type="dxa"/>
            <w:gridSpan w:val="2"/>
            <w:vAlign w:val="center"/>
          </w:tcPr>
          <w:p w14:paraId="1650C754" w14:textId="77777777" w:rsidR="00FF603B" w:rsidRPr="00D0587E" w:rsidRDefault="00FF603B" w:rsidP="008762C6">
            <w:pPr>
              <w:spacing w:after="200" w:line="276" w:lineRule="auto"/>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33FB8ED9" w14:textId="77777777" w:rsidR="00FF603B" w:rsidRPr="00D0587E" w:rsidRDefault="00FF603B" w:rsidP="008762C6">
            <w:pPr>
              <w:spacing w:after="200" w:line="276" w:lineRule="auto"/>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54A3F08D" w14:textId="77777777" w:rsidR="00FF603B" w:rsidRPr="00D0587E" w:rsidRDefault="00D313CC" w:rsidP="008762C6">
            <w:pPr>
              <w:spacing w:after="200" w:line="276" w:lineRule="auto"/>
              <w:jc w:val="center"/>
              <w:rPr>
                <w:rFonts w:ascii="Times New Roman" w:hAnsi="Times New Roman" w:cs="Times New Roman"/>
              </w:rPr>
            </w:pPr>
            <w:r w:rsidRPr="00D0587E">
              <w:rPr>
                <w:rFonts w:ascii="Times New Roman" w:hAnsi="Times New Roman" w:cs="Times New Roman"/>
              </w:rPr>
              <w:t>10</w:t>
            </w:r>
          </w:p>
        </w:tc>
      </w:tr>
      <w:tr w:rsidR="00D0587E" w:rsidRPr="00D0587E" w14:paraId="5091FDD3" w14:textId="77777777" w:rsidTr="008762C6">
        <w:trPr>
          <w:trHeight w:val="624"/>
        </w:trPr>
        <w:tc>
          <w:tcPr>
            <w:tcW w:w="2127" w:type="dxa"/>
            <w:vAlign w:val="center"/>
          </w:tcPr>
          <w:p w14:paraId="0D65E3F0"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9"/>
          </w:tcPr>
          <w:p w14:paraId="18E627CF"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December 2018 – december 2020</w:t>
            </w:r>
          </w:p>
        </w:tc>
      </w:tr>
    </w:tbl>
    <w:p w14:paraId="0BC36863" w14:textId="77777777" w:rsidR="00C02D67" w:rsidRDefault="00C02D67" w:rsidP="00D2349E">
      <w:pPr>
        <w:spacing w:after="60" w:line="312" w:lineRule="auto"/>
        <w:rPr>
          <w:rFonts w:ascii="Times New Roman" w:hAnsi="Times New Roman" w:cs="Times New Roman"/>
          <w:b/>
          <w:sz w:val="24"/>
          <w:szCs w:val="24"/>
        </w:rPr>
      </w:pPr>
    </w:p>
    <w:p w14:paraId="6288648C"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G</w:t>
      </w:r>
      <w:r w:rsidRPr="008951E2">
        <w:rPr>
          <w:rFonts w:ascii="Times New Roman" w:hAnsi="Times New Roman" w:cs="Times New Roman"/>
          <w:b/>
          <w:sz w:val="20"/>
          <w:szCs w:val="20"/>
        </w:rPr>
        <w:t xml:space="preserve"> Opatrenie stratégie CLLD 2.6</w:t>
      </w:r>
    </w:p>
    <w:tbl>
      <w:tblPr>
        <w:tblStyle w:val="Mriekatabuky"/>
        <w:tblW w:w="9520" w:type="dxa"/>
        <w:tblInd w:w="108" w:type="dxa"/>
        <w:tblLayout w:type="fixed"/>
        <w:tblLook w:val="04A0" w:firstRow="1" w:lastRow="0" w:firstColumn="1" w:lastColumn="0" w:noHBand="0" w:noVBand="1"/>
      </w:tblPr>
      <w:tblGrid>
        <w:gridCol w:w="2127"/>
        <w:gridCol w:w="992"/>
        <w:gridCol w:w="142"/>
        <w:gridCol w:w="1275"/>
        <w:gridCol w:w="1276"/>
        <w:gridCol w:w="162"/>
        <w:gridCol w:w="1114"/>
        <w:gridCol w:w="41"/>
        <w:gridCol w:w="1262"/>
        <w:gridCol w:w="192"/>
        <w:gridCol w:w="937"/>
      </w:tblGrid>
      <w:tr w:rsidR="00D0587E" w:rsidRPr="00D0587E" w14:paraId="779DFE82" w14:textId="77777777" w:rsidTr="008762C6">
        <w:trPr>
          <w:trHeight w:val="624"/>
        </w:trPr>
        <w:tc>
          <w:tcPr>
            <w:tcW w:w="2127" w:type="dxa"/>
            <w:vAlign w:val="center"/>
          </w:tcPr>
          <w:p w14:paraId="25862CBF"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 xml:space="preserve">Názov opatrenia </w:t>
            </w:r>
          </w:p>
        </w:tc>
        <w:tc>
          <w:tcPr>
            <w:tcW w:w="7393" w:type="dxa"/>
            <w:gridSpan w:val="10"/>
          </w:tcPr>
          <w:p w14:paraId="276F65B8" w14:textId="77777777" w:rsidR="008762C6" w:rsidRPr="00D0587E" w:rsidRDefault="008762C6" w:rsidP="00C02D67">
            <w:pPr>
              <w:rPr>
                <w:rFonts w:ascii="Times New Roman" w:hAnsi="Times New Roman" w:cs="Times New Roman"/>
              </w:rPr>
            </w:pPr>
            <w:r w:rsidRPr="00D0587E">
              <w:rPr>
                <w:rFonts w:ascii="Times New Roman" w:hAnsi="Times New Roman" w:cs="Times New Roman"/>
                <w:b/>
                <w:sz w:val="24"/>
                <w:szCs w:val="24"/>
              </w:rPr>
              <w:t>2.6 Projekty spolupráce so zameraním na cestovný ruch</w:t>
            </w:r>
          </w:p>
        </w:tc>
      </w:tr>
      <w:tr w:rsidR="00D0587E" w:rsidRPr="00D0587E" w14:paraId="02B4F36A" w14:textId="77777777" w:rsidTr="008762C6">
        <w:trPr>
          <w:trHeight w:val="624"/>
        </w:trPr>
        <w:tc>
          <w:tcPr>
            <w:tcW w:w="2127" w:type="dxa"/>
            <w:vAlign w:val="center"/>
          </w:tcPr>
          <w:p w14:paraId="0339CA0D"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Priradenie kódu opatrenia</w:t>
            </w:r>
            <w:r w:rsidRPr="00D0587E">
              <w:rPr>
                <w:rStyle w:val="Odkaznapoznmkupodiarou"/>
                <w:rFonts w:ascii="Times New Roman" w:hAnsi="Times New Roman" w:cs="Times New Roman"/>
              </w:rPr>
              <w:footnoteReference w:id="31"/>
            </w:r>
            <w:r w:rsidRPr="00D0587E">
              <w:rPr>
                <w:rFonts w:ascii="Times New Roman" w:hAnsi="Times New Roman" w:cs="Times New Roman"/>
              </w:rPr>
              <w:t xml:space="preserve"> </w:t>
            </w:r>
          </w:p>
        </w:tc>
        <w:tc>
          <w:tcPr>
            <w:tcW w:w="7393" w:type="dxa"/>
            <w:gridSpan w:val="10"/>
          </w:tcPr>
          <w:p w14:paraId="5B08FBE9" w14:textId="77777777" w:rsidR="008762C6" w:rsidRPr="00D0587E" w:rsidRDefault="00465C76" w:rsidP="00C02D67">
            <w:pPr>
              <w:rPr>
                <w:rFonts w:ascii="Times New Roman" w:hAnsi="Times New Roman" w:cs="Times New Roman"/>
              </w:rPr>
            </w:pPr>
            <w:r w:rsidRPr="00D0587E">
              <w:rPr>
                <w:rFonts w:ascii="Times New Roman" w:hAnsi="Times New Roman" w:cs="Times New Roman"/>
              </w:rPr>
              <w:t>-</w:t>
            </w:r>
          </w:p>
        </w:tc>
      </w:tr>
      <w:tr w:rsidR="00D0587E" w:rsidRPr="00D0587E" w14:paraId="7C47A041" w14:textId="77777777" w:rsidTr="008762C6">
        <w:trPr>
          <w:trHeight w:val="624"/>
        </w:trPr>
        <w:tc>
          <w:tcPr>
            <w:tcW w:w="2127" w:type="dxa"/>
            <w:vAlign w:val="center"/>
          </w:tcPr>
          <w:p w14:paraId="72EAE4D9" w14:textId="77777777" w:rsidR="008762C6" w:rsidRPr="00D0587E" w:rsidRDefault="008762C6" w:rsidP="00C02D67">
            <w:pPr>
              <w:rPr>
                <w:rFonts w:ascii="Times New Roman" w:hAnsi="Times New Roman" w:cs="Times New Roman"/>
              </w:rPr>
            </w:pPr>
            <w:r w:rsidRPr="00D0587E">
              <w:rPr>
                <w:rFonts w:ascii="Times New Roman" w:hAnsi="Times New Roman" w:cs="Times New Roman"/>
              </w:rPr>
              <w:t>Priradenie k fokusovej oblasti PRV/ŠC IROP</w:t>
            </w:r>
          </w:p>
        </w:tc>
        <w:tc>
          <w:tcPr>
            <w:tcW w:w="7393" w:type="dxa"/>
            <w:gridSpan w:val="10"/>
          </w:tcPr>
          <w:p w14:paraId="385A53A5" w14:textId="77777777" w:rsidR="008762C6" w:rsidRPr="00D0587E" w:rsidRDefault="00465C76" w:rsidP="00C02D67">
            <w:pPr>
              <w:rPr>
                <w:rFonts w:ascii="Times New Roman" w:hAnsi="Times New Roman" w:cs="Times New Roman"/>
              </w:rPr>
            </w:pPr>
            <w:r w:rsidRPr="00D0587E">
              <w:rPr>
                <w:rFonts w:ascii="Times New Roman" w:hAnsi="Times New Roman" w:cs="Times New Roman"/>
              </w:rPr>
              <w:t>-</w:t>
            </w:r>
          </w:p>
        </w:tc>
      </w:tr>
      <w:tr w:rsidR="00D0587E" w:rsidRPr="00D0587E" w14:paraId="10D139BB" w14:textId="77777777" w:rsidTr="008762C6">
        <w:trPr>
          <w:trHeight w:val="624"/>
        </w:trPr>
        <w:tc>
          <w:tcPr>
            <w:tcW w:w="2127" w:type="dxa"/>
            <w:vAlign w:val="center"/>
          </w:tcPr>
          <w:p w14:paraId="62DBCA1C"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Ciele opatrenia </w:t>
            </w:r>
          </w:p>
        </w:tc>
        <w:tc>
          <w:tcPr>
            <w:tcW w:w="7393" w:type="dxa"/>
            <w:gridSpan w:val="10"/>
            <w:vAlign w:val="center"/>
          </w:tcPr>
          <w:p w14:paraId="24E56E9D" w14:textId="77777777" w:rsidR="00FF603B" w:rsidRPr="00D0587E" w:rsidRDefault="00FF603B" w:rsidP="00C02D67">
            <w:pPr>
              <w:jc w:val="both"/>
              <w:rPr>
                <w:rFonts w:ascii="Times New Roman" w:hAnsi="Times New Roman" w:cs="Times New Roman"/>
                <w:i/>
                <w:sz w:val="18"/>
                <w:szCs w:val="18"/>
              </w:rPr>
            </w:pPr>
            <w:r w:rsidRPr="00D0587E">
              <w:rPr>
                <w:rFonts w:ascii="Times New Roman" w:hAnsi="Times New Roman" w:cs="Times New Roman"/>
                <w:i/>
                <w:sz w:val="24"/>
                <w:szCs w:val="24"/>
              </w:rPr>
              <w:t>Opatrenie prispieva k naplneniu Špecifického cieľa: Zlepšiť podmienky pre rozvoj potenciálu vidieckeho cestovného ruchu a spolupráce.</w:t>
            </w:r>
          </w:p>
        </w:tc>
      </w:tr>
      <w:tr w:rsidR="00D0587E" w:rsidRPr="00D0587E" w14:paraId="4DCD0F19" w14:textId="77777777" w:rsidTr="008762C6">
        <w:trPr>
          <w:trHeight w:val="624"/>
        </w:trPr>
        <w:tc>
          <w:tcPr>
            <w:tcW w:w="2127" w:type="dxa"/>
            <w:vAlign w:val="center"/>
          </w:tcPr>
          <w:p w14:paraId="45A0735B"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Zdôvodnenie výberu</w:t>
            </w:r>
          </w:p>
        </w:tc>
        <w:tc>
          <w:tcPr>
            <w:tcW w:w="7393" w:type="dxa"/>
            <w:gridSpan w:val="10"/>
            <w:vAlign w:val="center"/>
          </w:tcPr>
          <w:p w14:paraId="37763B48" w14:textId="77777777" w:rsidR="00FF603B" w:rsidRPr="00D0587E" w:rsidRDefault="00FF603B" w:rsidP="00C02D67">
            <w:pPr>
              <w:jc w:val="both"/>
              <w:rPr>
                <w:rFonts w:ascii="Times New Roman" w:hAnsi="Times New Roman" w:cs="Times New Roman"/>
                <w:i/>
              </w:rPr>
            </w:pPr>
            <w:r w:rsidRPr="00D0587E">
              <w:rPr>
                <w:rFonts w:ascii="Times New Roman" w:hAnsi="Times New Roman" w:cs="Times New Roman"/>
                <w:i/>
                <w:sz w:val="24"/>
                <w:szCs w:val="24"/>
              </w:rPr>
              <w:t>Opatrenie reflektuje na potreby identifikované v oblasti Cestovný ruch a sekundárne aj Životné prostredie v rámci Identifikácie potrieb</w:t>
            </w:r>
          </w:p>
        </w:tc>
      </w:tr>
      <w:tr w:rsidR="00D0587E" w:rsidRPr="00D0587E" w14:paraId="02B2880A" w14:textId="77777777" w:rsidTr="008762C6">
        <w:trPr>
          <w:trHeight w:val="624"/>
        </w:trPr>
        <w:tc>
          <w:tcPr>
            <w:tcW w:w="2127" w:type="dxa"/>
            <w:vAlign w:val="center"/>
          </w:tcPr>
          <w:p w14:paraId="4EC91908"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Rozsah a oprávnené činnosti</w:t>
            </w:r>
          </w:p>
        </w:tc>
        <w:tc>
          <w:tcPr>
            <w:tcW w:w="7393" w:type="dxa"/>
            <w:gridSpan w:val="10"/>
            <w:vAlign w:val="center"/>
          </w:tcPr>
          <w:p w14:paraId="13D237C7" w14:textId="77777777" w:rsidR="00FF603B" w:rsidRPr="00D0587E" w:rsidRDefault="00FF603B" w:rsidP="00C02D67">
            <w:pPr>
              <w:jc w:val="both"/>
              <w:rPr>
                <w:rFonts w:ascii="Times New Roman" w:hAnsi="Times New Roman" w:cs="Times New Roman"/>
                <w:i/>
              </w:rPr>
            </w:pPr>
            <w:r w:rsidRPr="00D0587E">
              <w:rPr>
                <w:rFonts w:ascii="Times New Roman" w:hAnsi="Times New Roman" w:cs="Times New Roman"/>
                <w:i/>
                <w:sz w:val="24"/>
                <w:szCs w:val="24"/>
              </w:rPr>
              <w:t>Jedná sa o projekty, ktoré prispejú k rozvoju cestovného ruchu v regióne pričom ich riešiteľom bude KR - MAS v spolupráci s partnerskými subjektmi či už SR, ČR alebo i iných krajín EÚ. Projekty budú podporené z programu cezhraničnej spolupráce s ČR Interreg V – A alebo podopatrenia 19.4. Príprava a vykonávanie činností spolupráce miestnej akčnej skupiny z PRV SR 2014 -2020 a Dunajského nadnárodného programu</w:t>
            </w:r>
          </w:p>
        </w:tc>
      </w:tr>
      <w:tr w:rsidR="00D0587E" w:rsidRPr="00D0587E" w14:paraId="768D221E" w14:textId="77777777" w:rsidTr="008762C6">
        <w:trPr>
          <w:trHeight w:val="624"/>
        </w:trPr>
        <w:tc>
          <w:tcPr>
            <w:tcW w:w="2127" w:type="dxa"/>
            <w:vAlign w:val="center"/>
          </w:tcPr>
          <w:p w14:paraId="1619AAB2"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lastRenderedPageBreak/>
              <w:t>Oprávnení prijímatelia</w:t>
            </w:r>
          </w:p>
        </w:tc>
        <w:tc>
          <w:tcPr>
            <w:tcW w:w="7393" w:type="dxa"/>
            <w:gridSpan w:val="10"/>
            <w:vAlign w:val="center"/>
          </w:tcPr>
          <w:p w14:paraId="71B637F2"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KR-MAS</w:t>
            </w:r>
          </w:p>
        </w:tc>
      </w:tr>
      <w:tr w:rsidR="00D0587E" w:rsidRPr="00D0587E" w14:paraId="719E8895" w14:textId="77777777" w:rsidTr="008762C6">
        <w:trPr>
          <w:trHeight w:val="624"/>
        </w:trPr>
        <w:tc>
          <w:tcPr>
            <w:tcW w:w="2127" w:type="dxa"/>
            <w:vAlign w:val="center"/>
          </w:tcPr>
          <w:p w14:paraId="1F62C59F"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Intenzita pomoci </w:t>
            </w:r>
            <w:r w:rsidRPr="00D0587E">
              <w:rPr>
                <w:rStyle w:val="Odkaznapoznmkupodiarou"/>
                <w:rFonts w:ascii="Times New Roman" w:hAnsi="Times New Roman" w:cs="Times New Roman"/>
              </w:rPr>
              <w:footnoteReference w:id="32"/>
            </w:r>
          </w:p>
        </w:tc>
        <w:tc>
          <w:tcPr>
            <w:tcW w:w="7393" w:type="dxa"/>
            <w:gridSpan w:val="10"/>
            <w:vAlign w:val="center"/>
          </w:tcPr>
          <w:p w14:paraId="2B442DD2"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95 %</w:t>
            </w:r>
          </w:p>
        </w:tc>
      </w:tr>
      <w:tr w:rsidR="00D0587E" w:rsidRPr="00D0587E" w14:paraId="2BC1CDA4" w14:textId="77777777" w:rsidTr="008762C6">
        <w:trPr>
          <w:trHeight w:val="624"/>
        </w:trPr>
        <w:tc>
          <w:tcPr>
            <w:tcW w:w="2127" w:type="dxa"/>
            <w:vAlign w:val="center"/>
          </w:tcPr>
          <w:p w14:paraId="69EABE47"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Oprávnené výdavky</w:t>
            </w:r>
          </w:p>
        </w:tc>
        <w:tc>
          <w:tcPr>
            <w:tcW w:w="7393" w:type="dxa"/>
            <w:gridSpan w:val="10"/>
            <w:vAlign w:val="center"/>
          </w:tcPr>
          <w:p w14:paraId="6D929743"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sz w:val="24"/>
                <w:szCs w:val="24"/>
              </w:rPr>
              <w:t>v súlade s programom Interreg V – A, a podopatrením 19.4. Príprava a vykonávanie činností spolupráce miestnej akčnej skupiny z PRV SR 2014 -2020 a Dunajským nadnárodným programom</w:t>
            </w:r>
          </w:p>
        </w:tc>
      </w:tr>
      <w:tr w:rsidR="00D0587E" w:rsidRPr="00D0587E" w14:paraId="45C45EA2" w14:textId="77777777" w:rsidTr="008762C6">
        <w:trPr>
          <w:trHeight w:val="624"/>
        </w:trPr>
        <w:tc>
          <w:tcPr>
            <w:tcW w:w="2127" w:type="dxa"/>
            <w:vAlign w:val="center"/>
          </w:tcPr>
          <w:p w14:paraId="44FAE06C"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Výška príspevku (minimálna a maximálna)</w:t>
            </w:r>
          </w:p>
        </w:tc>
        <w:tc>
          <w:tcPr>
            <w:tcW w:w="7393" w:type="dxa"/>
            <w:gridSpan w:val="10"/>
            <w:vAlign w:val="center"/>
          </w:tcPr>
          <w:p w14:paraId="678072E3"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10 000 – 40 000 EUR</w:t>
            </w:r>
          </w:p>
        </w:tc>
      </w:tr>
      <w:tr w:rsidR="00D0587E" w:rsidRPr="00D0587E" w14:paraId="5CBF8D61" w14:textId="77777777" w:rsidTr="008762C6">
        <w:trPr>
          <w:trHeight w:val="624"/>
        </w:trPr>
        <w:tc>
          <w:tcPr>
            <w:tcW w:w="2127" w:type="dxa"/>
            <w:vMerge w:val="restart"/>
            <w:vAlign w:val="center"/>
          </w:tcPr>
          <w:p w14:paraId="196F4379"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 xml:space="preserve">Finančný plán  </w:t>
            </w:r>
          </w:p>
        </w:tc>
        <w:tc>
          <w:tcPr>
            <w:tcW w:w="992" w:type="dxa"/>
            <w:vAlign w:val="center"/>
          </w:tcPr>
          <w:p w14:paraId="5C7C2B88"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Región</w:t>
            </w:r>
            <w:r w:rsidRPr="00D0587E">
              <w:rPr>
                <w:rStyle w:val="Odkaznapoznmkupodiarou"/>
                <w:rFonts w:ascii="Times New Roman" w:hAnsi="Times New Roman" w:cs="Times New Roman"/>
              </w:rPr>
              <w:footnoteReference w:id="33"/>
            </w:r>
          </w:p>
        </w:tc>
        <w:tc>
          <w:tcPr>
            <w:tcW w:w="1417" w:type="dxa"/>
            <w:gridSpan w:val="2"/>
            <w:vAlign w:val="center"/>
          </w:tcPr>
          <w:p w14:paraId="229EF18D"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Spolu</w:t>
            </w:r>
          </w:p>
        </w:tc>
        <w:tc>
          <w:tcPr>
            <w:tcW w:w="1276" w:type="dxa"/>
            <w:vAlign w:val="center"/>
          </w:tcPr>
          <w:p w14:paraId="46A56C57"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EÚ</w:t>
            </w:r>
          </w:p>
        </w:tc>
        <w:tc>
          <w:tcPr>
            <w:tcW w:w="1276" w:type="dxa"/>
            <w:gridSpan w:val="2"/>
            <w:vAlign w:val="center"/>
          </w:tcPr>
          <w:p w14:paraId="533A0F56"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ŠR</w:t>
            </w:r>
          </w:p>
        </w:tc>
        <w:tc>
          <w:tcPr>
            <w:tcW w:w="1495" w:type="dxa"/>
            <w:gridSpan w:val="3"/>
            <w:vAlign w:val="center"/>
          </w:tcPr>
          <w:p w14:paraId="756B25E3"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VZ</w:t>
            </w:r>
          </w:p>
        </w:tc>
        <w:tc>
          <w:tcPr>
            <w:tcW w:w="937" w:type="dxa"/>
            <w:vAlign w:val="center"/>
          </w:tcPr>
          <w:p w14:paraId="2A9978E4"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iné</w:t>
            </w:r>
          </w:p>
        </w:tc>
      </w:tr>
      <w:tr w:rsidR="00D0587E" w:rsidRPr="00D0587E" w14:paraId="31287536" w14:textId="77777777" w:rsidTr="008762C6">
        <w:trPr>
          <w:trHeight w:val="624"/>
        </w:trPr>
        <w:tc>
          <w:tcPr>
            <w:tcW w:w="2127" w:type="dxa"/>
            <w:vMerge/>
            <w:vAlign w:val="center"/>
          </w:tcPr>
          <w:p w14:paraId="3B9FB82D" w14:textId="77777777" w:rsidR="00FF603B" w:rsidRPr="00D0587E" w:rsidRDefault="00FF603B" w:rsidP="00C02D67">
            <w:pPr>
              <w:rPr>
                <w:rFonts w:ascii="Times New Roman" w:hAnsi="Times New Roman" w:cs="Times New Roman"/>
              </w:rPr>
            </w:pPr>
          </w:p>
        </w:tc>
        <w:tc>
          <w:tcPr>
            <w:tcW w:w="992" w:type="dxa"/>
            <w:vAlign w:val="center"/>
          </w:tcPr>
          <w:p w14:paraId="79696C70"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 xml:space="preserve">MR </w:t>
            </w:r>
          </w:p>
        </w:tc>
        <w:tc>
          <w:tcPr>
            <w:tcW w:w="1417" w:type="dxa"/>
            <w:gridSpan w:val="2"/>
            <w:vAlign w:val="center"/>
          </w:tcPr>
          <w:p w14:paraId="5C71F993"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200 000</w:t>
            </w:r>
          </w:p>
        </w:tc>
        <w:tc>
          <w:tcPr>
            <w:tcW w:w="1276" w:type="dxa"/>
            <w:vAlign w:val="center"/>
          </w:tcPr>
          <w:p w14:paraId="1B806408"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170 000</w:t>
            </w:r>
          </w:p>
        </w:tc>
        <w:tc>
          <w:tcPr>
            <w:tcW w:w="1276" w:type="dxa"/>
            <w:gridSpan w:val="2"/>
            <w:vAlign w:val="center"/>
          </w:tcPr>
          <w:p w14:paraId="278A4267"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20 000</w:t>
            </w:r>
          </w:p>
        </w:tc>
        <w:tc>
          <w:tcPr>
            <w:tcW w:w="1495" w:type="dxa"/>
            <w:gridSpan w:val="3"/>
            <w:vAlign w:val="center"/>
          </w:tcPr>
          <w:p w14:paraId="7E22256F"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10 000</w:t>
            </w:r>
          </w:p>
        </w:tc>
        <w:tc>
          <w:tcPr>
            <w:tcW w:w="937" w:type="dxa"/>
            <w:vAlign w:val="center"/>
          </w:tcPr>
          <w:p w14:paraId="7F03001E"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25C05946" w14:textId="77777777" w:rsidTr="008762C6">
        <w:trPr>
          <w:trHeight w:val="624"/>
        </w:trPr>
        <w:tc>
          <w:tcPr>
            <w:tcW w:w="2127" w:type="dxa"/>
            <w:vMerge/>
            <w:vAlign w:val="center"/>
          </w:tcPr>
          <w:p w14:paraId="78256B43" w14:textId="77777777" w:rsidR="00FF603B" w:rsidRPr="00D0587E" w:rsidRDefault="00FF603B" w:rsidP="00C02D67">
            <w:pPr>
              <w:rPr>
                <w:rFonts w:ascii="Times New Roman" w:hAnsi="Times New Roman" w:cs="Times New Roman"/>
              </w:rPr>
            </w:pPr>
          </w:p>
        </w:tc>
        <w:tc>
          <w:tcPr>
            <w:tcW w:w="992" w:type="dxa"/>
            <w:vAlign w:val="center"/>
          </w:tcPr>
          <w:p w14:paraId="4E90D097"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VR</w:t>
            </w:r>
          </w:p>
        </w:tc>
        <w:tc>
          <w:tcPr>
            <w:tcW w:w="1417" w:type="dxa"/>
            <w:gridSpan w:val="2"/>
            <w:vAlign w:val="center"/>
          </w:tcPr>
          <w:p w14:paraId="249F1663"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vAlign w:val="center"/>
          </w:tcPr>
          <w:p w14:paraId="062A8C2A"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276" w:type="dxa"/>
            <w:gridSpan w:val="2"/>
            <w:vAlign w:val="center"/>
          </w:tcPr>
          <w:p w14:paraId="294FE394"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1495" w:type="dxa"/>
            <w:gridSpan w:val="3"/>
            <w:vAlign w:val="center"/>
          </w:tcPr>
          <w:p w14:paraId="78DA60B5"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c>
          <w:tcPr>
            <w:tcW w:w="937" w:type="dxa"/>
            <w:vAlign w:val="center"/>
          </w:tcPr>
          <w:p w14:paraId="6CBCE594"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1E7C0A0D" w14:textId="77777777" w:rsidTr="008762C6">
        <w:trPr>
          <w:trHeight w:val="624"/>
        </w:trPr>
        <w:tc>
          <w:tcPr>
            <w:tcW w:w="2127" w:type="dxa"/>
            <w:vMerge/>
            <w:vAlign w:val="center"/>
          </w:tcPr>
          <w:p w14:paraId="5F2DABAB" w14:textId="77777777" w:rsidR="00FF603B" w:rsidRPr="00D0587E" w:rsidRDefault="00FF603B" w:rsidP="00C02D67">
            <w:pPr>
              <w:rPr>
                <w:rFonts w:ascii="Times New Roman" w:hAnsi="Times New Roman" w:cs="Times New Roman"/>
              </w:rPr>
            </w:pPr>
          </w:p>
        </w:tc>
        <w:tc>
          <w:tcPr>
            <w:tcW w:w="992" w:type="dxa"/>
            <w:vAlign w:val="center"/>
          </w:tcPr>
          <w:p w14:paraId="761FA5C5" w14:textId="77777777" w:rsidR="00FF603B" w:rsidRPr="00D0587E" w:rsidDel="00D14904" w:rsidRDefault="00FF603B" w:rsidP="00C02D67">
            <w:pPr>
              <w:jc w:val="center"/>
              <w:rPr>
                <w:rFonts w:ascii="Times New Roman" w:hAnsi="Times New Roman" w:cs="Times New Roman"/>
              </w:rPr>
            </w:pPr>
            <w:r w:rsidRPr="00D0587E">
              <w:rPr>
                <w:rFonts w:ascii="Times New Roman" w:hAnsi="Times New Roman" w:cs="Times New Roman"/>
              </w:rPr>
              <w:t>Spolu</w:t>
            </w:r>
          </w:p>
        </w:tc>
        <w:tc>
          <w:tcPr>
            <w:tcW w:w="1417" w:type="dxa"/>
            <w:gridSpan w:val="2"/>
            <w:vAlign w:val="center"/>
          </w:tcPr>
          <w:p w14:paraId="372770ED"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200 000</w:t>
            </w:r>
          </w:p>
        </w:tc>
        <w:tc>
          <w:tcPr>
            <w:tcW w:w="1276" w:type="dxa"/>
            <w:vAlign w:val="center"/>
          </w:tcPr>
          <w:p w14:paraId="7F23FF66"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170 000</w:t>
            </w:r>
          </w:p>
        </w:tc>
        <w:tc>
          <w:tcPr>
            <w:tcW w:w="1276" w:type="dxa"/>
            <w:gridSpan w:val="2"/>
            <w:vAlign w:val="center"/>
          </w:tcPr>
          <w:p w14:paraId="2309DAF3"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20 000</w:t>
            </w:r>
          </w:p>
        </w:tc>
        <w:tc>
          <w:tcPr>
            <w:tcW w:w="1495" w:type="dxa"/>
            <w:gridSpan w:val="3"/>
            <w:vAlign w:val="center"/>
          </w:tcPr>
          <w:p w14:paraId="4C216F86"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10 000</w:t>
            </w:r>
          </w:p>
        </w:tc>
        <w:tc>
          <w:tcPr>
            <w:tcW w:w="937" w:type="dxa"/>
            <w:vAlign w:val="center"/>
          </w:tcPr>
          <w:p w14:paraId="39C039F4" w14:textId="77777777" w:rsidR="00FF603B" w:rsidRPr="00D0587E" w:rsidRDefault="00FF603B" w:rsidP="00C02D67">
            <w:pPr>
              <w:jc w:val="right"/>
              <w:rPr>
                <w:rFonts w:ascii="Times New Roman" w:hAnsi="Times New Roman" w:cs="Times New Roman"/>
              </w:rPr>
            </w:pPr>
            <w:r w:rsidRPr="00D0587E">
              <w:rPr>
                <w:rFonts w:ascii="Times New Roman" w:hAnsi="Times New Roman" w:cs="Times New Roman"/>
              </w:rPr>
              <w:t>-</w:t>
            </w:r>
          </w:p>
        </w:tc>
      </w:tr>
      <w:tr w:rsidR="00D0587E" w:rsidRPr="00D0587E" w14:paraId="4183E395" w14:textId="77777777" w:rsidTr="008762C6">
        <w:trPr>
          <w:trHeight w:val="624"/>
        </w:trPr>
        <w:tc>
          <w:tcPr>
            <w:tcW w:w="2127" w:type="dxa"/>
            <w:vAlign w:val="center"/>
          </w:tcPr>
          <w:p w14:paraId="179A6858"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Princípy pre stanovenie výberových a </w:t>
            </w:r>
          </w:p>
          <w:p w14:paraId="19A1C6B9"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hodnotiacich kritérií/Hlavné zásady výberu operácií</w:t>
            </w:r>
            <w:r w:rsidRPr="00D0587E">
              <w:rPr>
                <w:rStyle w:val="Odkaznapoznmkupodiarou"/>
                <w:rFonts w:ascii="Times New Roman" w:hAnsi="Times New Roman" w:cs="Times New Roman"/>
              </w:rPr>
              <w:footnoteReference w:id="34"/>
            </w:r>
          </w:p>
        </w:tc>
        <w:tc>
          <w:tcPr>
            <w:tcW w:w="7393" w:type="dxa"/>
            <w:gridSpan w:val="10"/>
            <w:vAlign w:val="center"/>
          </w:tcPr>
          <w:p w14:paraId="6E515702" w14:textId="77777777" w:rsidR="00FF603B" w:rsidRPr="00D0587E" w:rsidRDefault="00FF603B" w:rsidP="00C02D67">
            <w:pPr>
              <w:rPr>
                <w:rFonts w:ascii="Times New Roman" w:hAnsi="Times New Roman" w:cs="Times New Roman"/>
              </w:rPr>
            </w:pPr>
            <w:r w:rsidRPr="00D0587E">
              <w:rPr>
                <w:rFonts w:ascii="Times New Roman" w:hAnsi="Times New Roman" w:cs="Times New Roman"/>
                <w:i/>
                <w:sz w:val="24"/>
                <w:szCs w:val="24"/>
              </w:rPr>
              <w:t>v súlade s Interreg V – A , podopatrením 19.4. PRV a Dunajským nadnárodným programom</w:t>
            </w:r>
          </w:p>
        </w:tc>
      </w:tr>
      <w:tr w:rsidR="00D0587E" w:rsidRPr="00D0587E" w14:paraId="2B18F161" w14:textId="77777777" w:rsidTr="008762C6">
        <w:trPr>
          <w:trHeight w:val="624"/>
        </w:trPr>
        <w:tc>
          <w:tcPr>
            <w:tcW w:w="2127" w:type="dxa"/>
            <w:vAlign w:val="center"/>
          </w:tcPr>
          <w:p w14:paraId="7BBEAEB5"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Povinné prílohy stanovené MAS</w:t>
            </w:r>
            <w:r w:rsidRPr="00D0587E">
              <w:rPr>
                <w:rStyle w:val="Odkaznapoznmkupodiarou"/>
                <w:rFonts w:ascii="Times New Roman" w:hAnsi="Times New Roman" w:cs="Times New Roman"/>
              </w:rPr>
              <w:footnoteReference w:id="35"/>
            </w:r>
          </w:p>
        </w:tc>
        <w:tc>
          <w:tcPr>
            <w:tcW w:w="7393" w:type="dxa"/>
            <w:gridSpan w:val="10"/>
            <w:vAlign w:val="center"/>
          </w:tcPr>
          <w:p w14:paraId="5D413EF4" w14:textId="77777777" w:rsidR="00FF603B" w:rsidRPr="00D0587E" w:rsidRDefault="007839AF" w:rsidP="00C02D67">
            <w:pPr>
              <w:rPr>
                <w:rFonts w:ascii="Times New Roman" w:hAnsi="Times New Roman" w:cs="Times New Roman"/>
                <w:i/>
              </w:rPr>
            </w:pPr>
            <w:r w:rsidRPr="00D0587E">
              <w:rPr>
                <w:rFonts w:ascii="Times New Roman" w:hAnsi="Times New Roman" w:cs="Times New Roman"/>
                <w:i/>
              </w:rPr>
              <w:t>žiadne</w:t>
            </w:r>
          </w:p>
        </w:tc>
      </w:tr>
      <w:tr w:rsidR="00D0587E" w:rsidRPr="00D0587E" w14:paraId="1111AED1" w14:textId="77777777" w:rsidTr="00260178">
        <w:trPr>
          <w:trHeight w:val="624"/>
        </w:trPr>
        <w:tc>
          <w:tcPr>
            <w:tcW w:w="2127" w:type="dxa"/>
            <w:vMerge w:val="restart"/>
            <w:vAlign w:val="center"/>
          </w:tcPr>
          <w:p w14:paraId="76F0EECD"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Merateľné ukazovatele projektu</w:t>
            </w:r>
          </w:p>
        </w:tc>
        <w:tc>
          <w:tcPr>
            <w:tcW w:w="1134" w:type="dxa"/>
            <w:gridSpan w:val="2"/>
            <w:vAlign w:val="center"/>
          </w:tcPr>
          <w:p w14:paraId="14062324"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Kód/ID</w:t>
            </w:r>
          </w:p>
        </w:tc>
        <w:tc>
          <w:tcPr>
            <w:tcW w:w="2713" w:type="dxa"/>
            <w:gridSpan w:val="3"/>
            <w:vAlign w:val="center"/>
          </w:tcPr>
          <w:p w14:paraId="4A7EC883"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Názov/Ukazovateľ</w:t>
            </w:r>
          </w:p>
        </w:tc>
        <w:tc>
          <w:tcPr>
            <w:tcW w:w="1155" w:type="dxa"/>
            <w:gridSpan w:val="2"/>
            <w:vAlign w:val="center"/>
          </w:tcPr>
          <w:p w14:paraId="7CDF1869"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Merná jednotka</w:t>
            </w:r>
          </w:p>
        </w:tc>
        <w:tc>
          <w:tcPr>
            <w:tcW w:w="1262" w:type="dxa"/>
            <w:vAlign w:val="center"/>
          </w:tcPr>
          <w:p w14:paraId="15B877A6"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Počiatočná hodnota</w:t>
            </w:r>
          </w:p>
        </w:tc>
        <w:tc>
          <w:tcPr>
            <w:tcW w:w="1129" w:type="dxa"/>
            <w:gridSpan w:val="2"/>
            <w:vAlign w:val="center"/>
          </w:tcPr>
          <w:p w14:paraId="60D2C663" w14:textId="77777777" w:rsidR="00FF603B" w:rsidRPr="00D0587E" w:rsidRDefault="00FF603B" w:rsidP="00C02D67">
            <w:pPr>
              <w:jc w:val="center"/>
              <w:rPr>
                <w:rFonts w:ascii="Times New Roman" w:hAnsi="Times New Roman" w:cs="Times New Roman"/>
                <w:i/>
              </w:rPr>
            </w:pPr>
            <w:r w:rsidRPr="00D0587E">
              <w:rPr>
                <w:rFonts w:ascii="Times New Roman" w:hAnsi="Times New Roman" w:cs="Times New Roman"/>
              </w:rPr>
              <w:t>Celková cieľová hodnota</w:t>
            </w:r>
          </w:p>
        </w:tc>
      </w:tr>
      <w:tr w:rsidR="00D0587E" w:rsidRPr="00D0587E" w14:paraId="23FDE6B9" w14:textId="77777777" w:rsidTr="00260178">
        <w:trPr>
          <w:trHeight w:val="624"/>
        </w:trPr>
        <w:tc>
          <w:tcPr>
            <w:tcW w:w="2127" w:type="dxa"/>
            <w:vMerge/>
            <w:vAlign w:val="center"/>
          </w:tcPr>
          <w:p w14:paraId="6E6C3C26" w14:textId="77777777" w:rsidR="00FF603B" w:rsidRPr="00D0587E" w:rsidRDefault="00FF603B" w:rsidP="00C02D67">
            <w:pPr>
              <w:rPr>
                <w:rFonts w:ascii="Times New Roman" w:hAnsi="Times New Roman" w:cs="Times New Roman"/>
              </w:rPr>
            </w:pPr>
          </w:p>
        </w:tc>
        <w:tc>
          <w:tcPr>
            <w:tcW w:w="1134" w:type="dxa"/>
            <w:gridSpan w:val="2"/>
            <w:vAlign w:val="center"/>
          </w:tcPr>
          <w:p w14:paraId="494C6ECC" w14:textId="77777777" w:rsidR="00FF603B" w:rsidRPr="00D0587E" w:rsidRDefault="00FF603B" w:rsidP="00C02D67">
            <w:pPr>
              <w:jc w:val="center"/>
              <w:rPr>
                <w:rFonts w:ascii="Times New Roman" w:hAnsi="Times New Roman" w:cs="Times New Roman"/>
              </w:rPr>
            </w:pPr>
          </w:p>
        </w:tc>
        <w:tc>
          <w:tcPr>
            <w:tcW w:w="2713" w:type="dxa"/>
            <w:gridSpan w:val="3"/>
            <w:vAlign w:val="center"/>
          </w:tcPr>
          <w:p w14:paraId="14435EA8" w14:textId="77777777" w:rsidR="00FF603B" w:rsidRPr="00D0587E" w:rsidRDefault="00FF603B" w:rsidP="00260178">
            <w:pPr>
              <w:spacing w:after="60" w:line="276" w:lineRule="auto"/>
              <w:rPr>
                <w:rFonts w:ascii="Times New Roman" w:hAnsi="Times New Roman" w:cs="Times New Roman"/>
              </w:rPr>
            </w:pPr>
            <w:r w:rsidRPr="00D0587E">
              <w:rPr>
                <w:rFonts w:ascii="Times New Roman" w:hAnsi="Times New Roman" w:cs="Times New Roman"/>
                <w:bCs/>
              </w:rPr>
              <w:t>Počet podporených projektov</w:t>
            </w:r>
          </w:p>
        </w:tc>
        <w:tc>
          <w:tcPr>
            <w:tcW w:w="1155" w:type="dxa"/>
            <w:gridSpan w:val="2"/>
            <w:vAlign w:val="center"/>
          </w:tcPr>
          <w:p w14:paraId="7792FEA3"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5D3FA87A"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6E2F347F" w14:textId="77777777" w:rsidR="00FF603B" w:rsidRPr="00D0587E" w:rsidRDefault="00FF603B" w:rsidP="00C02D67">
            <w:pPr>
              <w:jc w:val="center"/>
              <w:rPr>
                <w:rFonts w:ascii="Times New Roman" w:hAnsi="Times New Roman" w:cs="Times New Roman"/>
              </w:rPr>
            </w:pPr>
            <w:r w:rsidRPr="00D0587E">
              <w:rPr>
                <w:rFonts w:ascii="Times New Roman" w:hAnsi="Times New Roman" w:cs="Times New Roman"/>
              </w:rPr>
              <w:t>4</w:t>
            </w:r>
          </w:p>
        </w:tc>
      </w:tr>
      <w:tr w:rsidR="00D0587E" w:rsidRPr="00D0587E" w14:paraId="469BC04F" w14:textId="77777777" w:rsidTr="00260178">
        <w:trPr>
          <w:trHeight w:val="624"/>
        </w:trPr>
        <w:tc>
          <w:tcPr>
            <w:tcW w:w="2127" w:type="dxa"/>
            <w:vMerge/>
            <w:vAlign w:val="center"/>
          </w:tcPr>
          <w:p w14:paraId="5E8900FA" w14:textId="77777777" w:rsidR="00FF603B" w:rsidRPr="00D0587E" w:rsidRDefault="00FF603B" w:rsidP="00C02D67">
            <w:pPr>
              <w:spacing w:after="200" w:line="276" w:lineRule="auto"/>
              <w:rPr>
                <w:rFonts w:ascii="Times New Roman" w:hAnsi="Times New Roman" w:cs="Times New Roman"/>
              </w:rPr>
            </w:pPr>
          </w:p>
        </w:tc>
        <w:tc>
          <w:tcPr>
            <w:tcW w:w="1134" w:type="dxa"/>
            <w:gridSpan w:val="2"/>
            <w:vAlign w:val="center"/>
          </w:tcPr>
          <w:p w14:paraId="48F75262" w14:textId="77777777" w:rsidR="00FF603B" w:rsidRPr="00D0587E" w:rsidRDefault="00FF603B" w:rsidP="00C02D67">
            <w:pPr>
              <w:spacing w:after="200" w:line="276" w:lineRule="auto"/>
              <w:jc w:val="right"/>
              <w:rPr>
                <w:rFonts w:ascii="Times New Roman" w:hAnsi="Times New Roman" w:cs="Times New Roman"/>
                <w:i/>
              </w:rPr>
            </w:pPr>
          </w:p>
        </w:tc>
        <w:tc>
          <w:tcPr>
            <w:tcW w:w="2713" w:type="dxa"/>
            <w:gridSpan w:val="3"/>
            <w:vAlign w:val="center"/>
          </w:tcPr>
          <w:p w14:paraId="53205217" w14:textId="77777777" w:rsidR="00FF603B" w:rsidRPr="00D0587E" w:rsidRDefault="00FF603B" w:rsidP="00260178">
            <w:pPr>
              <w:spacing w:after="60" w:line="276" w:lineRule="auto"/>
              <w:rPr>
                <w:rFonts w:ascii="Times New Roman" w:hAnsi="Times New Roman" w:cs="Times New Roman"/>
                <w:i/>
              </w:rPr>
            </w:pPr>
            <w:r w:rsidRPr="00D0587E">
              <w:rPr>
                <w:rFonts w:ascii="Times New Roman" w:hAnsi="Times New Roman" w:cs="Times New Roman"/>
                <w:bCs/>
              </w:rPr>
              <w:t>Počet zapojených subjektov</w:t>
            </w:r>
          </w:p>
        </w:tc>
        <w:tc>
          <w:tcPr>
            <w:tcW w:w="1155" w:type="dxa"/>
            <w:gridSpan w:val="2"/>
            <w:vAlign w:val="center"/>
          </w:tcPr>
          <w:p w14:paraId="19FA2A0E" w14:textId="77777777" w:rsidR="00FF603B" w:rsidRPr="00D0587E" w:rsidRDefault="00FF603B" w:rsidP="00260178">
            <w:pPr>
              <w:spacing w:after="200" w:line="276" w:lineRule="auto"/>
              <w:jc w:val="center"/>
              <w:rPr>
                <w:rFonts w:ascii="Times New Roman" w:hAnsi="Times New Roman" w:cs="Times New Roman"/>
              </w:rPr>
            </w:pPr>
            <w:r w:rsidRPr="00D0587E">
              <w:rPr>
                <w:rFonts w:ascii="Times New Roman" w:hAnsi="Times New Roman" w:cs="Times New Roman"/>
              </w:rPr>
              <w:t>Počet</w:t>
            </w:r>
          </w:p>
        </w:tc>
        <w:tc>
          <w:tcPr>
            <w:tcW w:w="1262" w:type="dxa"/>
            <w:vAlign w:val="center"/>
          </w:tcPr>
          <w:p w14:paraId="2D2C0B91" w14:textId="77777777" w:rsidR="00FF603B" w:rsidRPr="00D0587E" w:rsidRDefault="00FF603B" w:rsidP="00260178">
            <w:pPr>
              <w:spacing w:after="200" w:line="276" w:lineRule="auto"/>
              <w:jc w:val="center"/>
              <w:rPr>
                <w:rFonts w:ascii="Times New Roman" w:hAnsi="Times New Roman" w:cs="Times New Roman"/>
              </w:rPr>
            </w:pPr>
            <w:r w:rsidRPr="00D0587E">
              <w:rPr>
                <w:rFonts w:ascii="Times New Roman" w:hAnsi="Times New Roman" w:cs="Times New Roman"/>
              </w:rPr>
              <w:t>0</w:t>
            </w:r>
          </w:p>
        </w:tc>
        <w:tc>
          <w:tcPr>
            <w:tcW w:w="1129" w:type="dxa"/>
            <w:gridSpan w:val="2"/>
            <w:vAlign w:val="center"/>
          </w:tcPr>
          <w:p w14:paraId="0DC48129" w14:textId="77777777" w:rsidR="00FF603B" w:rsidRPr="00D0587E" w:rsidRDefault="00FF603B" w:rsidP="00260178">
            <w:pPr>
              <w:spacing w:after="200" w:line="276" w:lineRule="auto"/>
              <w:jc w:val="center"/>
              <w:rPr>
                <w:rFonts w:ascii="Times New Roman" w:hAnsi="Times New Roman" w:cs="Times New Roman"/>
              </w:rPr>
            </w:pPr>
            <w:r w:rsidRPr="00D0587E">
              <w:rPr>
                <w:rFonts w:ascii="Times New Roman" w:hAnsi="Times New Roman" w:cs="Times New Roman"/>
              </w:rPr>
              <w:t>6</w:t>
            </w:r>
          </w:p>
        </w:tc>
      </w:tr>
      <w:tr w:rsidR="00D0587E" w:rsidRPr="00D0587E" w14:paraId="2FBCBC10" w14:textId="77777777" w:rsidTr="008762C6">
        <w:trPr>
          <w:trHeight w:val="624"/>
        </w:trPr>
        <w:tc>
          <w:tcPr>
            <w:tcW w:w="2127" w:type="dxa"/>
            <w:vAlign w:val="center"/>
          </w:tcPr>
          <w:p w14:paraId="602D7C4D" w14:textId="77777777" w:rsidR="00FF603B" w:rsidRPr="00D0587E" w:rsidRDefault="00FF603B" w:rsidP="00C02D67">
            <w:pPr>
              <w:rPr>
                <w:rFonts w:ascii="Times New Roman" w:hAnsi="Times New Roman" w:cs="Times New Roman"/>
              </w:rPr>
            </w:pPr>
            <w:r w:rsidRPr="00D0587E">
              <w:rPr>
                <w:rFonts w:ascii="Times New Roman" w:hAnsi="Times New Roman" w:cs="Times New Roman"/>
              </w:rPr>
              <w:t>Indikatívny harmonogram výziev</w:t>
            </w:r>
          </w:p>
        </w:tc>
        <w:tc>
          <w:tcPr>
            <w:tcW w:w="7393" w:type="dxa"/>
            <w:gridSpan w:val="10"/>
          </w:tcPr>
          <w:p w14:paraId="4C067B80" w14:textId="77777777" w:rsidR="00FF603B" w:rsidRPr="00D0587E" w:rsidRDefault="00FF603B" w:rsidP="00C02D67">
            <w:pPr>
              <w:jc w:val="both"/>
              <w:rPr>
                <w:rFonts w:ascii="Times New Roman" w:hAnsi="Times New Roman" w:cs="Times New Roman"/>
              </w:rPr>
            </w:pPr>
            <w:r w:rsidRPr="00D0587E">
              <w:rPr>
                <w:rFonts w:ascii="Times New Roman" w:hAnsi="Times New Roman" w:cs="Times New Roman"/>
                <w:i/>
              </w:rPr>
              <w:t>Jún 2018, jún 2019</w:t>
            </w:r>
          </w:p>
        </w:tc>
      </w:tr>
    </w:tbl>
    <w:p w14:paraId="76876E20" w14:textId="77777777" w:rsidR="00C02D67" w:rsidRDefault="00C02D67" w:rsidP="00D2349E">
      <w:pPr>
        <w:spacing w:after="60" w:line="312" w:lineRule="auto"/>
        <w:jc w:val="center"/>
        <w:rPr>
          <w:rFonts w:ascii="Times New Roman" w:hAnsi="Times New Roman" w:cs="Times New Roman"/>
          <w:b/>
          <w:sz w:val="24"/>
          <w:szCs w:val="24"/>
        </w:rPr>
      </w:pPr>
    </w:p>
    <w:p w14:paraId="4498CA4B" w14:textId="77777777" w:rsidR="00D2349E" w:rsidRDefault="00D2349E" w:rsidP="00D2349E">
      <w:pPr>
        <w:spacing w:after="60" w:line="312" w:lineRule="auto"/>
        <w:rPr>
          <w:rFonts w:ascii="Times New Roman" w:hAnsi="Times New Roman" w:cs="Times New Roman"/>
          <w:b/>
          <w:sz w:val="24"/>
          <w:szCs w:val="24"/>
        </w:rPr>
      </w:pPr>
      <w:r w:rsidRPr="003C0D7F">
        <w:rPr>
          <w:rFonts w:ascii="Times New Roman" w:hAnsi="Times New Roman" w:cs="Times New Roman"/>
          <w:b/>
          <w:sz w:val="24"/>
          <w:szCs w:val="24"/>
        </w:rPr>
        <w:t xml:space="preserve">Priorita č. 3: </w:t>
      </w:r>
      <w:r>
        <w:rPr>
          <w:rFonts w:ascii="Times New Roman" w:hAnsi="Times New Roman" w:cs="Times New Roman"/>
          <w:b/>
          <w:sz w:val="24"/>
          <w:szCs w:val="24"/>
        </w:rPr>
        <w:t>Posilnenie rastu a konkurencieschopnosti malých a stredných podnikov vrátanie zamestnanosti, začleňovania a rozvoja ľudských zdrojov</w:t>
      </w:r>
    </w:p>
    <w:p w14:paraId="34958513" w14:textId="77777777" w:rsidR="009F4B75" w:rsidRDefault="009F4B75" w:rsidP="00362E8C">
      <w:pPr>
        <w:spacing w:after="0" w:line="312" w:lineRule="auto"/>
        <w:rPr>
          <w:rFonts w:ascii="Times New Roman" w:hAnsi="Times New Roman" w:cs="Times New Roman"/>
          <w:b/>
          <w:sz w:val="20"/>
          <w:szCs w:val="20"/>
        </w:rPr>
      </w:pPr>
    </w:p>
    <w:p w14:paraId="671EFDF8"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H</w:t>
      </w:r>
      <w:r w:rsidRPr="008951E2">
        <w:rPr>
          <w:rFonts w:ascii="Times New Roman" w:hAnsi="Times New Roman" w:cs="Times New Roman"/>
          <w:b/>
          <w:sz w:val="20"/>
          <w:szCs w:val="20"/>
        </w:rPr>
        <w:t xml:space="preserve"> Opatrenie stratégie CLLD 3.2</w:t>
      </w:r>
    </w:p>
    <w:tbl>
      <w:tblPr>
        <w:tblStyle w:val="Mriekatabuky"/>
        <w:tblW w:w="9520" w:type="dxa"/>
        <w:tblInd w:w="108" w:type="dxa"/>
        <w:tblLayout w:type="fixed"/>
        <w:tblLook w:val="04A0" w:firstRow="1" w:lastRow="0" w:firstColumn="1" w:lastColumn="0" w:noHBand="0" w:noVBand="1"/>
      </w:tblPr>
      <w:tblGrid>
        <w:gridCol w:w="2127"/>
        <w:gridCol w:w="992"/>
        <w:gridCol w:w="142"/>
        <w:gridCol w:w="1275"/>
        <w:gridCol w:w="1276"/>
        <w:gridCol w:w="162"/>
        <w:gridCol w:w="1114"/>
        <w:gridCol w:w="41"/>
        <w:gridCol w:w="1262"/>
        <w:gridCol w:w="192"/>
        <w:gridCol w:w="937"/>
      </w:tblGrid>
      <w:tr w:rsidR="00B26DD2" w:rsidRPr="009F4B75" w14:paraId="145A9EB3" w14:textId="77777777" w:rsidTr="00B26DD2">
        <w:trPr>
          <w:trHeight w:val="624"/>
        </w:trPr>
        <w:tc>
          <w:tcPr>
            <w:tcW w:w="2127" w:type="dxa"/>
            <w:vAlign w:val="center"/>
          </w:tcPr>
          <w:p w14:paraId="2B020BA8" w14:textId="77777777" w:rsidR="00B26DD2" w:rsidRPr="009F4B75" w:rsidRDefault="00B26DD2" w:rsidP="00B26DD2">
            <w:pPr>
              <w:rPr>
                <w:rFonts w:ascii="Times New Roman" w:hAnsi="Times New Roman" w:cs="Times New Roman"/>
              </w:rPr>
            </w:pPr>
            <w:r w:rsidRPr="009F4B75">
              <w:rPr>
                <w:rFonts w:ascii="Times New Roman" w:hAnsi="Times New Roman" w:cs="Times New Roman"/>
              </w:rPr>
              <w:lastRenderedPageBreak/>
              <w:t xml:space="preserve">Názov opatrenia </w:t>
            </w:r>
          </w:p>
        </w:tc>
        <w:tc>
          <w:tcPr>
            <w:tcW w:w="7393" w:type="dxa"/>
            <w:gridSpan w:val="10"/>
          </w:tcPr>
          <w:p w14:paraId="0885E97A" w14:textId="77777777" w:rsidR="00B26DD2" w:rsidRPr="009F4B75" w:rsidRDefault="00B26DD2" w:rsidP="00B26DD2">
            <w:pPr>
              <w:rPr>
                <w:rFonts w:ascii="Times New Roman" w:hAnsi="Times New Roman" w:cs="Times New Roman"/>
              </w:rPr>
            </w:pPr>
            <w:r w:rsidRPr="009F4B75">
              <w:rPr>
                <w:rFonts w:ascii="Times New Roman" w:hAnsi="Times New Roman" w:cs="Times New Roman"/>
                <w:b/>
                <w:sz w:val="24"/>
                <w:szCs w:val="24"/>
              </w:rPr>
              <w:t>3.2 Podpora investícií do lesníckych technológií a spracovania, do mobilizácie lesníckych výrobkov a ich uvádzania na trh</w:t>
            </w:r>
          </w:p>
        </w:tc>
      </w:tr>
      <w:tr w:rsidR="00B26DD2" w:rsidRPr="009F4B75" w14:paraId="455CF9FB" w14:textId="77777777" w:rsidTr="00B26DD2">
        <w:trPr>
          <w:trHeight w:val="624"/>
        </w:trPr>
        <w:tc>
          <w:tcPr>
            <w:tcW w:w="2127" w:type="dxa"/>
            <w:vAlign w:val="center"/>
          </w:tcPr>
          <w:p w14:paraId="73870766" w14:textId="77777777" w:rsidR="00B26DD2" w:rsidRPr="009F4B75" w:rsidRDefault="00B26DD2" w:rsidP="00B26DD2">
            <w:pPr>
              <w:rPr>
                <w:rFonts w:ascii="Times New Roman" w:hAnsi="Times New Roman" w:cs="Times New Roman"/>
              </w:rPr>
            </w:pPr>
            <w:r w:rsidRPr="009F4B75">
              <w:rPr>
                <w:rFonts w:ascii="Times New Roman" w:hAnsi="Times New Roman" w:cs="Times New Roman"/>
              </w:rPr>
              <w:t>Priradenie kódu opatrenia</w:t>
            </w:r>
            <w:r w:rsidRPr="009F4B75">
              <w:rPr>
                <w:rStyle w:val="Odkaznapoznmkupodiarou"/>
                <w:rFonts w:ascii="Times New Roman" w:hAnsi="Times New Roman" w:cs="Times New Roman"/>
              </w:rPr>
              <w:footnoteReference w:id="36"/>
            </w:r>
            <w:r w:rsidRPr="009F4B75">
              <w:rPr>
                <w:rFonts w:ascii="Times New Roman" w:hAnsi="Times New Roman" w:cs="Times New Roman"/>
              </w:rPr>
              <w:t xml:space="preserve"> </w:t>
            </w:r>
          </w:p>
        </w:tc>
        <w:tc>
          <w:tcPr>
            <w:tcW w:w="7393" w:type="dxa"/>
            <w:gridSpan w:val="10"/>
          </w:tcPr>
          <w:p w14:paraId="1E33D41C" w14:textId="77777777" w:rsidR="00B26DD2" w:rsidRPr="009F4B75" w:rsidRDefault="00B26DD2" w:rsidP="00B26DD2">
            <w:pPr>
              <w:rPr>
                <w:rFonts w:ascii="Times New Roman" w:hAnsi="Times New Roman" w:cs="Times New Roman"/>
              </w:rPr>
            </w:pPr>
            <w:r w:rsidRPr="009F4B75">
              <w:rPr>
                <w:rFonts w:ascii="Times New Roman" w:hAnsi="Times New Roman" w:cs="Times New Roman"/>
              </w:rPr>
              <w:t>8.6.</w:t>
            </w:r>
          </w:p>
        </w:tc>
      </w:tr>
      <w:tr w:rsidR="00B26DD2" w:rsidRPr="009F4B75" w14:paraId="5FE83FA9" w14:textId="77777777" w:rsidTr="00B26DD2">
        <w:trPr>
          <w:trHeight w:val="624"/>
        </w:trPr>
        <w:tc>
          <w:tcPr>
            <w:tcW w:w="2127" w:type="dxa"/>
            <w:vAlign w:val="center"/>
          </w:tcPr>
          <w:p w14:paraId="1AEEFAC9" w14:textId="77777777" w:rsidR="00B26DD2" w:rsidRPr="009F4B75" w:rsidRDefault="00B26DD2" w:rsidP="00B26DD2">
            <w:pPr>
              <w:rPr>
                <w:rFonts w:ascii="Times New Roman" w:hAnsi="Times New Roman" w:cs="Times New Roman"/>
              </w:rPr>
            </w:pPr>
            <w:r w:rsidRPr="009F4B75">
              <w:rPr>
                <w:rFonts w:ascii="Times New Roman" w:hAnsi="Times New Roman" w:cs="Times New Roman"/>
              </w:rPr>
              <w:t>Priradenie k fokusovej oblasti PRV/ŠC IROP</w:t>
            </w:r>
          </w:p>
        </w:tc>
        <w:tc>
          <w:tcPr>
            <w:tcW w:w="7393" w:type="dxa"/>
            <w:gridSpan w:val="10"/>
          </w:tcPr>
          <w:p w14:paraId="5D17BA5F" w14:textId="77777777" w:rsidR="00A141C1" w:rsidRPr="00A141C1" w:rsidRDefault="00A141C1" w:rsidP="00A141C1">
            <w:pPr>
              <w:rPr>
                <w:rFonts w:ascii="Times New Roman" w:hAnsi="Times New Roman" w:cs="Times New Roman"/>
                <w:sz w:val="24"/>
                <w:szCs w:val="24"/>
              </w:rPr>
            </w:pPr>
            <w:r w:rsidRPr="00A141C1">
              <w:rPr>
                <w:rFonts w:ascii="Times New Roman" w:hAnsi="Times New Roman" w:cs="Times New Roman"/>
                <w:sz w:val="24"/>
                <w:szCs w:val="24"/>
              </w:rPr>
              <w:t>Sekundárna FO predominantná – 2C</w:t>
            </w:r>
          </w:p>
          <w:p w14:paraId="7255C80B" w14:textId="4B39BDE0" w:rsidR="00B26DD2" w:rsidRPr="009F4B75" w:rsidRDefault="00A141C1" w:rsidP="00A141C1">
            <w:pPr>
              <w:rPr>
                <w:rFonts w:ascii="Times New Roman" w:hAnsi="Times New Roman" w:cs="Times New Roman"/>
              </w:rPr>
            </w:pPr>
            <w:r w:rsidRPr="00A141C1">
              <w:rPr>
                <w:rFonts w:ascii="Times New Roman" w:hAnsi="Times New Roman" w:cs="Times New Roman"/>
                <w:sz w:val="24"/>
                <w:szCs w:val="24"/>
              </w:rPr>
              <w:t>Sekundárna FO doplnková  – P4, 6A</w:t>
            </w:r>
          </w:p>
        </w:tc>
      </w:tr>
      <w:tr w:rsidR="00D313CC" w:rsidRPr="009F4B75" w14:paraId="79493D26" w14:textId="77777777" w:rsidTr="00B26DD2">
        <w:trPr>
          <w:trHeight w:val="624"/>
        </w:trPr>
        <w:tc>
          <w:tcPr>
            <w:tcW w:w="2127" w:type="dxa"/>
            <w:vAlign w:val="center"/>
          </w:tcPr>
          <w:p w14:paraId="6BDF255C"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 xml:space="preserve">Ciele opatrenia </w:t>
            </w:r>
          </w:p>
        </w:tc>
        <w:tc>
          <w:tcPr>
            <w:tcW w:w="7393" w:type="dxa"/>
            <w:gridSpan w:val="10"/>
            <w:vAlign w:val="center"/>
          </w:tcPr>
          <w:p w14:paraId="6AA93AFF" w14:textId="77777777" w:rsidR="00D313CC" w:rsidRPr="009F4B75" w:rsidRDefault="00D313CC" w:rsidP="00B26DD2">
            <w:pPr>
              <w:jc w:val="both"/>
              <w:rPr>
                <w:rFonts w:ascii="Times New Roman" w:hAnsi="Times New Roman" w:cs="Times New Roman"/>
                <w:i/>
                <w:sz w:val="18"/>
                <w:szCs w:val="18"/>
              </w:rPr>
            </w:pPr>
            <w:r w:rsidRPr="009F4B75">
              <w:rPr>
                <w:rFonts w:ascii="Times New Roman" w:hAnsi="Times New Roman" w:cs="Times New Roman"/>
                <w:i/>
                <w:sz w:val="24"/>
                <w:szCs w:val="24"/>
              </w:rPr>
              <w:t>Konkrétnym cieľom opatrenia je podpora udržateľného obhospodarovania lesov a zvýšenie ekonomickej hodnoty lesov, čo zlepší hospodársky výkon lesných subjektov v lesnom hospodárstve. Opatrenie prispieva k naplneniu Špecifického cieľa: Vytvoriť kvalitné podmienky pre rozvoj podnikania a zamestnanosti.</w:t>
            </w:r>
          </w:p>
        </w:tc>
      </w:tr>
      <w:tr w:rsidR="00D313CC" w:rsidRPr="009F4B75" w14:paraId="103D7FEA" w14:textId="77777777" w:rsidTr="00B26DD2">
        <w:trPr>
          <w:trHeight w:val="624"/>
        </w:trPr>
        <w:tc>
          <w:tcPr>
            <w:tcW w:w="2127" w:type="dxa"/>
            <w:vAlign w:val="center"/>
          </w:tcPr>
          <w:p w14:paraId="09BBC5F5"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Zdôvodnenie výberu</w:t>
            </w:r>
          </w:p>
        </w:tc>
        <w:tc>
          <w:tcPr>
            <w:tcW w:w="7393" w:type="dxa"/>
            <w:gridSpan w:val="10"/>
            <w:vAlign w:val="center"/>
          </w:tcPr>
          <w:p w14:paraId="03A5F1E5" w14:textId="77777777" w:rsidR="00D313CC" w:rsidRPr="009F4B75" w:rsidRDefault="00D313CC" w:rsidP="00B26DD2">
            <w:pPr>
              <w:jc w:val="both"/>
              <w:rPr>
                <w:rFonts w:ascii="Times New Roman" w:hAnsi="Times New Roman" w:cs="Times New Roman"/>
                <w:i/>
              </w:rPr>
            </w:pPr>
            <w:r w:rsidRPr="009F4B75">
              <w:rPr>
                <w:rFonts w:ascii="Times New Roman" w:hAnsi="Times New Roman" w:cs="Times New Roman"/>
                <w:i/>
              </w:rPr>
              <w:t>Opatrenie reflektuje na potreby identifikované v oblasti Hospodárstvo, Ľudské zdroje a Životné prostredie v rámci Identifikácie potrieb. Pre zlepšenie hospodárskeho výkonu lesných podnikov je tiež nevyhnutné využívať moderné inovatívne technológie, ktoré zvýšia produktivitu práce, znížia priame náklady a budú viac šetrné k životnému prostrediu, čím sa zníži poškodzovanie životného prostredia, zvýši sa hospodárska hodnota lesov a posilní sa produktivita práce.</w:t>
            </w:r>
          </w:p>
        </w:tc>
      </w:tr>
      <w:tr w:rsidR="00D313CC" w:rsidRPr="009F4B75" w14:paraId="47796BE2" w14:textId="77777777" w:rsidTr="00B26DD2">
        <w:trPr>
          <w:trHeight w:val="624"/>
        </w:trPr>
        <w:tc>
          <w:tcPr>
            <w:tcW w:w="2127" w:type="dxa"/>
            <w:vAlign w:val="center"/>
          </w:tcPr>
          <w:p w14:paraId="2260DD72"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10"/>
            <w:vAlign w:val="center"/>
          </w:tcPr>
          <w:p w14:paraId="791C230C" w14:textId="77777777" w:rsidR="00D313CC" w:rsidRPr="009F4B75" w:rsidRDefault="00D313CC" w:rsidP="00B26DD2">
            <w:pPr>
              <w:jc w:val="both"/>
              <w:rPr>
                <w:rFonts w:ascii="Times New Roman" w:hAnsi="Times New Roman" w:cs="Times New Roman"/>
                <w:i/>
              </w:rPr>
            </w:pPr>
            <w:r w:rsidRPr="009F4B75">
              <w:rPr>
                <w:rFonts w:ascii="Times New Roman" w:hAnsi="Times New Roman" w:cs="Times New Roman"/>
                <w:i/>
              </w:rPr>
              <w:t>Podporované bude spracovanie lesných produktov, ktoré takýmto spôsobom získavajú pridanú hodnotu a tiež ich uvádzanie na trh</w:t>
            </w:r>
          </w:p>
        </w:tc>
      </w:tr>
      <w:tr w:rsidR="00D313CC" w:rsidRPr="009F4B75" w14:paraId="3C3270B0" w14:textId="77777777" w:rsidTr="00B26DD2">
        <w:trPr>
          <w:trHeight w:val="624"/>
        </w:trPr>
        <w:tc>
          <w:tcPr>
            <w:tcW w:w="2127" w:type="dxa"/>
            <w:vAlign w:val="center"/>
          </w:tcPr>
          <w:p w14:paraId="182CA5EE"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Oprávnení prijímatelia</w:t>
            </w:r>
          </w:p>
        </w:tc>
        <w:tc>
          <w:tcPr>
            <w:tcW w:w="7393" w:type="dxa"/>
            <w:gridSpan w:val="10"/>
            <w:vAlign w:val="center"/>
          </w:tcPr>
          <w:p w14:paraId="03E6535D"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1. Fyzické a právnické osoby[1] (malé a stredné podniky v zmysle odporúčania Komisie 2003/361/ES) obhospodarujúce lesy vo vlastníctve:</w:t>
            </w:r>
          </w:p>
          <w:p w14:paraId="3618B73B"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o súkromných vlastníkov a ich združení;</w:t>
            </w:r>
          </w:p>
          <w:p w14:paraId="6D3A1EDC"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o obcí a ich združení;</w:t>
            </w:r>
          </w:p>
          <w:p w14:paraId="69BEC240"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o Cirkvi, ktorej majetok možno podľa právneho poriadku SR považovať za súkromný, pokiaľ ide o jeho správu a nakladanie s ním.</w:t>
            </w:r>
          </w:p>
          <w:p w14:paraId="562EF37B"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2. Fyzické a právnické osoby (malé a stredné podniky v zmysle odporúčania Komisie 2003/361/ES)</w:t>
            </w:r>
          </w:p>
          <w:p w14:paraId="623F948B" w14:textId="77777777" w:rsidR="00D313CC" w:rsidRPr="009F4B75" w:rsidRDefault="00D313CC" w:rsidP="00B26DD2">
            <w:pPr>
              <w:jc w:val="both"/>
              <w:rPr>
                <w:rFonts w:ascii="Times New Roman" w:hAnsi="Times New Roman" w:cs="Times New Roman"/>
              </w:rPr>
            </w:pPr>
            <w:r w:rsidRPr="009F4B75">
              <w:rPr>
                <w:rFonts w:ascii="Times New Roman" w:hAnsi="Times New Roman" w:cs="Times New Roman"/>
                <w:i/>
                <w:sz w:val="24"/>
                <w:szCs w:val="24"/>
              </w:rPr>
              <w:t>poskytujúce služby v lesníctve za predpokladu poskytnutia týchto služieb subjektom uvedeným v bode 1).</w:t>
            </w:r>
          </w:p>
        </w:tc>
      </w:tr>
      <w:tr w:rsidR="00D313CC" w:rsidRPr="009F4B75" w14:paraId="68CFC2E4" w14:textId="77777777" w:rsidTr="00B26DD2">
        <w:trPr>
          <w:trHeight w:val="624"/>
        </w:trPr>
        <w:tc>
          <w:tcPr>
            <w:tcW w:w="2127" w:type="dxa"/>
            <w:vAlign w:val="center"/>
          </w:tcPr>
          <w:p w14:paraId="7619E1C2"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 xml:space="preserve">Intenzita pomoci </w:t>
            </w:r>
            <w:r w:rsidRPr="009F4B75">
              <w:rPr>
                <w:rStyle w:val="Odkaznapoznmkupodiarou"/>
                <w:rFonts w:ascii="Times New Roman" w:hAnsi="Times New Roman" w:cs="Times New Roman"/>
              </w:rPr>
              <w:footnoteReference w:id="37"/>
            </w:r>
          </w:p>
        </w:tc>
        <w:tc>
          <w:tcPr>
            <w:tcW w:w="7393" w:type="dxa"/>
            <w:gridSpan w:val="10"/>
            <w:vAlign w:val="center"/>
          </w:tcPr>
          <w:p w14:paraId="59F6B6CD" w14:textId="77777777" w:rsidR="00D313CC" w:rsidRPr="009F4B75" w:rsidRDefault="00D313CC" w:rsidP="00ED16FD">
            <w:pPr>
              <w:jc w:val="both"/>
              <w:rPr>
                <w:rFonts w:ascii="Times New Roman" w:hAnsi="Times New Roman" w:cs="Times New Roman"/>
              </w:rPr>
            </w:pPr>
            <w:r w:rsidRPr="009F4B75">
              <w:rPr>
                <w:rFonts w:ascii="Times New Roman" w:hAnsi="Times New Roman" w:cs="Times New Roman"/>
                <w:i/>
              </w:rPr>
              <w:t>50 %</w:t>
            </w:r>
          </w:p>
        </w:tc>
      </w:tr>
      <w:tr w:rsidR="00D313CC" w:rsidRPr="009F4B75" w14:paraId="3D06665D" w14:textId="77777777" w:rsidTr="00B26DD2">
        <w:trPr>
          <w:trHeight w:val="624"/>
        </w:trPr>
        <w:tc>
          <w:tcPr>
            <w:tcW w:w="2127" w:type="dxa"/>
            <w:vAlign w:val="center"/>
          </w:tcPr>
          <w:p w14:paraId="05749EAA"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Oprávnené výdavky</w:t>
            </w:r>
          </w:p>
        </w:tc>
        <w:tc>
          <w:tcPr>
            <w:tcW w:w="7393" w:type="dxa"/>
            <w:gridSpan w:val="10"/>
            <w:vAlign w:val="center"/>
          </w:tcPr>
          <w:p w14:paraId="65F7A092"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v súlade s PRV (resp. s nariadením EÚ (č. 1305/2013)):</w:t>
            </w:r>
          </w:p>
          <w:p w14:paraId="67D7DF72"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1. výdavky na hmotné a nehmotné investície, ktoré sú v súlade s podporovanými činnosťami v rámci tohto podopatrenia a špecifikáciou výdavkov v podkapitole 8.1;</w:t>
            </w:r>
          </w:p>
          <w:p w14:paraId="5FA41385" w14:textId="77777777" w:rsidR="00D313CC" w:rsidRPr="009F4B75" w:rsidRDefault="00D313CC"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2. všeobecné náklady súvisiace s bodom 1, špecifikované v podkapitole 8.1;</w:t>
            </w:r>
          </w:p>
          <w:p w14:paraId="348DBFDE" w14:textId="77777777" w:rsidR="00D313CC" w:rsidRPr="009F4B75" w:rsidRDefault="00D313CC" w:rsidP="00B26DD2">
            <w:pPr>
              <w:jc w:val="both"/>
              <w:rPr>
                <w:rFonts w:ascii="Times New Roman" w:hAnsi="Times New Roman" w:cs="Times New Roman"/>
              </w:rPr>
            </w:pPr>
            <w:r w:rsidRPr="009F4B75">
              <w:rPr>
                <w:rFonts w:ascii="Times New Roman" w:hAnsi="Times New Roman" w:cs="Times New Roman"/>
                <w:i/>
                <w:sz w:val="24"/>
                <w:szCs w:val="24"/>
              </w:rPr>
              <w:t xml:space="preserve"> [1] Výstavba lesných ciest, činnosti súvisiace s regeneráciou lesa po ťažbe, zalesňovanie po ťažbe nie sú oprávnenými výdavkami.</w:t>
            </w:r>
          </w:p>
        </w:tc>
      </w:tr>
      <w:tr w:rsidR="00D313CC" w:rsidRPr="009F4B75" w14:paraId="089501A5" w14:textId="77777777" w:rsidTr="00B26DD2">
        <w:trPr>
          <w:trHeight w:val="624"/>
        </w:trPr>
        <w:tc>
          <w:tcPr>
            <w:tcW w:w="2127" w:type="dxa"/>
            <w:vAlign w:val="center"/>
          </w:tcPr>
          <w:p w14:paraId="3991D8E6"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Výška príspevku (minimálna a maximálna)</w:t>
            </w:r>
          </w:p>
        </w:tc>
        <w:tc>
          <w:tcPr>
            <w:tcW w:w="7393" w:type="dxa"/>
            <w:gridSpan w:val="10"/>
            <w:vAlign w:val="center"/>
          </w:tcPr>
          <w:p w14:paraId="2B3AC49A" w14:textId="77777777" w:rsidR="00D313CC" w:rsidRPr="009F4B75" w:rsidRDefault="00D313CC" w:rsidP="00B26DD2">
            <w:pPr>
              <w:jc w:val="both"/>
              <w:rPr>
                <w:rFonts w:ascii="Times New Roman" w:hAnsi="Times New Roman" w:cs="Times New Roman"/>
              </w:rPr>
            </w:pPr>
            <w:r w:rsidRPr="009F4B75">
              <w:rPr>
                <w:rFonts w:ascii="Times New Roman" w:hAnsi="Times New Roman" w:cs="Times New Roman"/>
                <w:i/>
              </w:rPr>
              <w:t>4 000 – 55 000 EUR</w:t>
            </w:r>
          </w:p>
        </w:tc>
      </w:tr>
      <w:tr w:rsidR="00D313CC" w:rsidRPr="009F4B75" w14:paraId="5F0EBE51" w14:textId="77777777" w:rsidTr="00B26DD2">
        <w:trPr>
          <w:trHeight w:val="624"/>
        </w:trPr>
        <w:tc>
          <w:tcPr>
            <w:tcW w:w="2127" w:type="dxa"/>
            <w:vMerge w:val="restart"/>
            <w:vAlign w:val="center"/>
          </w:tcPr>
          <w:p w14:paraId="576CC52C"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02D5059A" w14:textId="77777777" w:rsidR="00D313CC" w:rsidRPr="009F4B75" w:rsidDel="00D14904" w:rsidRDefault="00D313CC" w:rsidP="00B26DD2">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38"/>
            </w:r>
          </w:p>
        </w:tc>
        <w:tc>
          <w:tcPr>
            <w:tcW w:w="1417" w:type="dxa"/>
            <w:gridSpan w:val="2"/>
            <w:vAlign w:val="center"/>
          </w:tcPr>
          <w:p w14:paraId="4144858A"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Spolu</w:t>
            </w:r>
          </w:p>
        </w:tc>
        <w:tc>
          <w:tcPr>
            <w:tcW w:w="1276" w:type="dxa"/>
            <w:vAlign w:val="center"/>
          </w:tcPr>
          <w:p w14:paraId="7CC3D97F"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EÚ</w:t>
            </w:r>
          </w:p>
        </w:tc>
        <w:tc>
          <w:tcPr>
            <w:tcW w:w="1276" w:type="dxa"/>
            <w:gridSpan w:val="2"/>
            <w:vAlign w:val="center"/>
          </w:tcPr>
          <w:p w14:paraId="007BD03B"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ŠR</w:t>
            </w:r>
          </w:p>
        </w:tc>
        <w:tc>
          <w:tcPr>
            <w:tcW w:w="1495" w:type="dxa"/>
            <w:gridSpan w:val="3"/>
            <w:vAlign w:val="center"/>
          </w:tcPr>
          <w:p w14:paraId="28F01AE9"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VZ</w:t>
            </w:r>
          </w:p>
        </w:tc>
        <w:tc>
          <w:tcPr>
            <w:tcW w:w="937" w:type="dxa"/>
            <w:vAlign w:val="center"/>
          </w:tcPr>
          <w:p w14:paraId="1E452E52"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iné</w:t>
            </w:r>
          </w:p>
        </w:tc>
      </w:tr>
      <w:tr w:rsidR="00D313CC" w:rsidRPr="009F4B75" w14:paraId="7ECBC0A8" w14:textId="77777777" w:rsidTr="00B26DD2">
        <w:trPr>
          <w:trHeight w:val="624"/>
        </w:trPr>
        <w:tc>
          <w:tcPr>
            <w:tcW w:w="2127" w:type="dxa"/>
            <w:vMerge/>
            <w:vAlign w:val="center"/>
          </w:tcPr>
          <w:p w14:paraId="53A8064C" w14:textId="77777777" w:rsidR="00D313CC" w:rsidRPr="009F4B75" w:rsidRDefault="00D313CC" w:rsidP="00B26DD2">
            <w:pPr>
              <w:rPr>
                <w:rFonts w:ascii="Times New Roman" w:hAnsi="Times New Roman" w:cs="Times New Roman"/>
              </w:rPr>
            </w:pPr>
          </w:p>
        </w:tc>
        <w:tc>
          <w:tcPr>
            <w:tcW w:w="992" w:type="dxa"/>
            <w:vAlign w:val="center"/>
          </w:tcPr>
          <w:p w14:paraId="70068419" w14:textId="77777777" w:rsidR="00D313CC" w:rsidRPr="009F4B75" w:rsidDel="00D14904" w:rsidRDefault="00D313CC" w:rsidP="00B26DD2">
            <w:pPr>
              <w:jc w:val="center"/>
              <w:rPr>
                <w:rFonts w:ascii="Times New Roman" w:hAnsi="Times New Roman" w:cs="Times New Roman"/>
              </w:rPr>
            </w:pPr>
            <w:r w:rsidRPr="009F4B75">
              <w:rPr>
                <w:rFonts w:ascii="Times New Roman" w:hAnsi="Times New Roman" w:cs="Times New Roman"/>
              </w:rPr>
              <w:t xml:space="preserve">MR </w:t>
            </w:r>
          </w:p>
        </w:tc>
        <w:tc>
          <w:tcPr>
            <w:tcW w:w="1417" w:type="dxa"/>
            <w:gridSpan w:val="2"/>
            <w:vAlign w:val="center"/>
          </w:tcPr>
          <w:p w14:paraId="4506A1E7"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228 326,00</w:t>
            </w:r>
          </w:p>
        </w:tc>
        <w:tc>
          <w:tcPr>
            <w:tcW w:w="1276" w:type="dxa"/>
            <w:vAlign w:val="center"/>
          </w:tcPr>
          <w:p w14:paraId="2A7DE746"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85 622,25</w:t>
            </w:r>
          </w:p>
        </w:tc>
        <w:tc>
          <w:tcPr>
            <w:tcW w:w="1276" w:type="dxa"/>
            <w:gridSpan w:val="2"/>
            <w:vAlign w:val="center"/>
          </w:tcPr>
          <w:p w14:paraId="3B1E1F6D"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28 540,75</w:t>
            </w:r>
          </w:p>
        </w:tc>
        <w:tc>
          <w:tcPr>
            <w:tcW w:w="1495" w:type="dxa"/>
            <w:gridSpan w:val="3"/>
            <w:vAlign w:val="center"/>
          </w:tcPr>
          <w:p w14:paraId="0DA87EE1"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114 163,00</w:t>
            </w:r>
          </w:p>
        </w:tc>
        <w:tc>
          <w:tcPr>
            <w:tcW w:w="937" w:type="dxa"/>
            <w:vAlign w:val="center"/>
          </w:tcPr>
          <w:p w14:paraId="14182EE5"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r>
      <w:tr w:rsidR="00D313CC" w:rsidRPr="009F4B75" w14:paraId="3F4FC21A" w14:textId="77777777" w:rsidTr="00B26DD2">
        <w:trPr>
          <w:trHeight w:val="624"/>
        </w:trPr>
        <w:tc>
          <w:tcPr>
            <w:tcW w:w="2127" w:type="dxa"/>
            <w:vMerge/>
            <w:vAlign w:val="center"/>
          </w:tcPr>
          <w:p w14:paraId="69AAF972" w14:textId="77777777" w:rsidR="00D313CC" w:rsidRPr="009F4B75" w:rsidRDefault="00D313CC" w:rsidP="00B26DD2">
            <w:pPr>
              <w:rPr>
                <w:rFonts w:ascii="Times New Roman" w:hAnsi="Times New Roman" w:cs="Times New Roman"/>
              </w:rPr>
            </w:pPr>
          </w:p>
        </w:tc>
        <w:tc>
          <w:tcPr>
            <w:tcW w:w="992" w:type="dxa"/>
            <w:vAlign w:val="center"/>
          </w:tcPr>
          <w:p w14:paraId="5F307389" w14:textId="77777777" w:rsidR="00D313CC" w:rsidRPr="009F4B75" w:rsidDel="00D14904" w:rsidRDefault="00D313CC" w:rsidP="00B26DD2">
            <w:pPr>
              <w:jc w:val="center"/>
              <w:rPr>
                <w:rFonts w:ascii="Times New Roman" w:hAnsi="Times New Roman" w:cs="Times New Roman"/>
              </w:rPr>
            </w:pPr>
            <w:r w:rsidRPr="009F4B75">
              <w:rPr>
                <w:rFonts w:ascii="Times New Roman" w:hAnsi="Times New Roman" w:cs="Times New Roman"/>
              </w:rPr>
              <w:t>VR</w:t>
            </w:r>
          </w:p>
        </w:tc>
        <w:tc>
          <w:tcPr>
            <w:tcW w:w="1417" w:type="dxa"/>
            <w:gridSpan w:val="2"/>
            <w:vAlign w:val="center"/>
          </w:tcPr>
          <w:p w14:paraId="60CD48E7"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c>
          <w:tcPr>
            <w:tcW w:w="1276" w:type="dxa"/>
            <w:vAlign w:val="center"/>
          </w:tcPr>
          <w:p w14:paraId="3E72A29B"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c>
          <w:tcPr>
            <w:tcW w:w="1276" w:type="dxa"/>
            <w:gridSpan w:val="2"/>
            <w:vAlign w:val="center"/>
          </w:tcPr>
          <w:p w14:paraId="4ED4E23C"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57F7EE0A"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c>
          <w:tcPr>
            <w:tcW w:w="937" w:type="dxa"/>
            <w:vAlign w:val="center"/>
          </w:tcPr>
          <w:p w14:paraId="5D73D218"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r>
      <w:tr w:rsidR="00D313CC" w:rsidRPr="009F4B75" w14:paraId="3ED952B6" w14:textId="77777777" w:rsidTr="00B26DD2">
        <w:trPr>
          <w:trHeight w:val="624"/>
        </w:trPr>
        <w:tc>
          <w:tcPr>
            <w:tcW w:w="2127" w:type="dxa"/>
            <w:vMerge/>
            <w:vAlign w:val="center"/>
          </w:tcPr>
          <w:p w14:paraId="71D6420C" w14:textId="77777777" w:rsidR="00D313CC" w:rsidRPr="009F4B75" w:rsidRDefault="00D313CC" w:rsidP="00B26DD2">
            <w:pPr>
              <w:rPr>
                <w:rFonts w:ascii="Times New Roman" w:hAnsi="Times New Roman" w:cs="Times New Roman"/>
              </w:rPr>
            </w:pPr>
          </w:p>
        </w:tc>
        <w:tc>
          <w:tcPr>
            <w:tcW w:w="992" w:type="dxa"/>
            <w:vAlign w:val="center"/>
          </w:tcPr>
          <w:p w14:paraId="43B0C80F" w14:textId="77777777" w:rsidR="00D313CC" w:rsidRPr="009F4B75" w:rsidDel="00D14904" w:rsidRDefault="00D313CC" w:rsidP="00B26DD2">
            <w:pPr>
              <w:jc w:val="center"/>
              <w:rPr>
                <w:rFonts w:ascii="Times New Roman" w:hAnsi="Times New Roman" w:cs="Times New Roman"/>
              </w:rPr>
            </w:pPr>
            <w:r w:rsidRPr="009F4B75">
              <w:rPr>
                <w:rFonts w:ascii="Times New Roman" w:hAnsi="Times New Roman" w:cs="Times New Roman"/>
              </w:rPr>
              <w:t>Spolu</w:t>
            </w:r>
          </w:p>
        </w:tc>
        <w:tc>
          <w:tcPr>
            <w:tcW w:w="1417" w:type="dxa"/>
            <w:gridSpan w:val="2"/>
            <w:vAlign w:val="center"/>
          </w:tcPr>
          <w:p w14:paraId="6FF7D178"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228 632,00</w:t>
            </w:r>
          </w:p>
        </w:tc>
        <w:tc>
          <w:tcPr>
            <w:tcW w:w="1276" w:type="dxa"/>
            <w:vAlign w:val="center"/>
          </w:tcPr>
          <w:p w14:paraId="112BE9A0"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85 622,25</w:t>
            </w:r>
          </w:p>
        </w:tc>
        <w:tc>
          <w:tcPr>
            <w:tcW w:w="1276" w:type="dxa"/>
            <w:gridSpan w:val="2"/>
            <w:vAlign w:val="center"/>
          </w:tcPr>
          <w:p w14:paraId="5CAE4A82"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28 540,75</w:t>
            </w:r>
          </w:p>
        </w:tc>
        <w:tc>
          <w:tcPr>
            <w:tcW w:w="1495" w:type="dxa"/>
            <w:gridSpan w:val="3"/>
            <w:vAlign w:val="center"/>
          </w:tcPr>
          <w:p w14:paraId="256D3D96"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114 163,00</w:t>
            </w:r>
          </w:p>
        </w:tc>
        <w:tc>
          <w:tcPr>
            <w:tcW w:w="937" w:type="dxa"/>
            <w:vAlign w:val="center"/>
          </w:tcPr>
          <w:p w14:paraId="6AE06D98" w14:textId="77777777" w:rsidR="00D313CC" w:rsidRPr="009F4B75" w:rsidRDefault="00D313CC" w:rsidP="00B26DD2">
            <w:pPr>
              <w:jc w:val="right"/>
              <w:rPr>
                <w:rFonts w:ascii="Times New Roman" w:hAnsi="Times New Roman" w:cs="Times New Roman"/>
              </w:rPr>
            </w:pPr>
            <w:r w:rsidRPr="009F4B75">
              <w:rPr>
                <w:rFonts w:ascii="Times New Roman" w:hAnsi="Times New Roman" w:cs="Times New Roman"/>
              </w:rPr>
              <w:t>-</w:t>
            </w:r>
          </w:p>
        </w:tc>
      </w:tr>
      <w:tr w:rsidR="00D313CC" w:rsidRPr="009F4B75" w14:paraId="68BDBB02" w14:textId="77777777" w:rsidTr="00B26DD2">
        <w:trPr>
          <w:trHeight w:val="624"/>
        </w:trPr>
        <w:tc>
          <w:tcPr>
            <w:tcW w:w="2127" w:type="dxa"/>
            <w:vAlign w:val="center"/>
          </w:tcPr>
          <w:p w14:paraId="3246D893"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Princípy pre stanovenie výberových a </w:t>
            </w:r>
          </w:p>
          <w:p w14:paraId="62EF4BAD"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hodnotiacich kritérií/Hlavné zásady výberu operácií</w:t>
            </w:r>
            <w:r w:rsidRPr="009F4B75">
              <w:rPr>
                <w:rStyle w:val="Odkaznapoznmkupodiarou"/>
                <w:rFonts w:ascii="Times New Roman" w:hAnsi="Times New Roman" w:cs="Times New Roman"/>
              </w:rPr>
              <w:footnoteReference w:id="39"/>
            </w:r>
          </w:p>
        </w:tc>
        <w:tc>
          <w:tcPr>
            <w:tcW w:w="7393" w:type="dxa"/>
            <w:gridSpan w:val="10"/>
            <w:vAlign w:val="center"/>
          </w:tcPr>
          <w:p w14:paraId="1137289B" w14:textId="77777777" w:rsidR="00D313CC" w:rsidRPr="009F4B75" w:rsidRDefault="00D313CC" w:rsidP="00ED16FD">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v súlade s PRV, vlastné </w:t>
            </w:r>
          </w:p>
          <w:p w14:paraId="0C1D8659" w14:textId="77777777" w:rsidR="00D313CC" w:rsidRPr="009F4B75" w:rsidRDefault="00D313CC" w:rsidP="00ED16FD">
            <w:pPr>
              <w:spacing w:after="60"/>
              <w:rPr>
                <w:rFonts w:ascii="Times New Roman" w:hAnsi="Times New Roman" w:cs="Times New Roman"/>
                <w:b/>
                <w:i/>
                <w:sz w:val="24"/>
                <w:szCs w:val="24"/>
              </w:rPr>
            </w:pPr>
            <w:r w:rsidRPr="009F4B75">
              <w:rPr>
                <w:rFonts w:ascii="Times New Roman" w:hAnsi="Times New Roman" w:cs="Times New Roman"/>
                <w:b/>
                <w:i/>
                <w:sz w:val="24"/>
                <w:szCs w:val="24"/>
              </w:rPr>
              <w:t>Zvýhodňované budú nasledovné projekty:</w:t>
            </w:r>
          </w:p>
          <w:p w14:paraId="63B7B51C" w14:textId="77777777" w:rsidR="00D313CC" w:rsidRPr="009F4B75" w:rsidRDefault="00D313CC" w:rsidP="00ED16FD">
            <w:pPr>
              <w:spacing w:line="259" w:lineRule="auto"/>
              <w:contextualSpacing/>
              <w:jc w:val="both"/>
              <w:rPr>
                <w:rFonts w:ascii="Times New Roman" w:eastAsia="SimSun" w:hAnsi="Times New Roman" w:cs="Mangal"/>
                <w:i/>
                <w:kern w:val="3"/>
                <w:sz w:val="24"/>
                <w:szCs w:val="24"/>
                <w:lang w:eastAsia="zh-CN" w:bidi="hi-IN"/>
              </w:rPr>
            </w:pPr>
            <w:r w:rsidRPr="009F4B75">
              <w:rPr>
                <w:rFonts w:ascii="Times New Roman" w:hAnsi="Times New Roman" w:cs="Times New Roman"/>
                <w:i/>
                <w:sz w:val="24"/>
                <w:szCs w:val="24"/>
              </w:rPr>
              <w:t>- s vyšším počtom vytvorených pracovných miest</w:t>
            </w:r>
          </w:p>
          <w:p w14:paraId="19ABD688" w14:textId="77777777" w:rsidR="00D313CC" w:rsidRPr="009F4B75" w:rsidRDefault="00D313CC" w:rsidP="00ED16FD">
            <w:pPr>
              <w:spacing w:line="259" w:lineRule="auto"/>
              <w:contextualSpacing/>
              <w:jc w:val="both"/>
              <w:rPr>
                <w:rFonts w:ascii="Times New Roman" w:eastAsia="SimSun" w:hAnsi="Times New Roman" w:cs="Mangal"/>
                <w:i/>
                <w:kern w:val="3"/>
                <w:sz w:val="24"/>
                <w:szCs w:val="24"/>
                <w:lang w:eastAsia="zh-CN" w:bidi="hi-IN"/>
              </w:rPr>
            </w:pPr>
            <w:r w:rsidRPr="009F4B75">
              <w:rPr>
                <w:rFonts w:ascii="Times New Roman" w:hAnsi="Times New Roman" w:cs="Times New Roman"/>
                <w:i/>
                <w:sz w:val="24"/>
                <w:szCs w:val="24"/>
              </w:rPr>
              <w:t>-  zavedenie inovatívnej technológie</w:t>
            </w:r>
          </w:p>
          <w:p w14:paraId="7051CD56" w14:textId="77777777" w:rsidR="00D313CC" w:rsidRPr="009F4B75" w:rsidRDefault="00D313CC" w:rsidP="00ED16FD">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riešiace uvedenie nových inovatívnych produktov na regionálny trh</w:t>
            </w:r>
          </w:p>
          <w:p w14:paraId="0D3F4359" w14:textId="77777777" w:rsidR="00D313CC" w:rsidRPr="009F4B75" w:rsidRDefault="00D313CC" w:rsidP="00ED16FD">
            <w:pPr>
              <w:spacing w:line="259" w:lineRule="auto"/>
              <w:contextualSpacing/>
              <w:jc w:val="both"/>
              <w:rPr>
                <w:rFonts w:ascii="Times New Roman" w:eastAsia="SimSun" w:hAnsi="Times New Roman" w:cs="Mangal"/>
                <w:i/>
                <w:kern w:val="3"/>
                <w:sz w:val="24"/>
                <w:szCs w:val="24"/>
                <w:lang w:eastAsia="zh-CN" w:bidi="hi-IN"/>
              </w:rPr>
            </w:pPr>
            <w:r w:rsidRPr="009F4B75">
              <w:rPr>
                <w:rFonts w:ascii="Times New Roman" w:hAnsi="Times New Roman" w:cs="Times New Roman"/>
                <w:i/>
                <w:sz w:val="24"/>
                <w:szCs w:val="24"/>
              </w:rPr>
              <w:t>- zamerané na výrobu biomasy</w:t>
            </w:r>
          </w:p>
          <w:p w14:paraId="4F075E69" w14:textId="77777777" w:rsidR="00D313CC" w:rsidRPr="009F4B75" w:rsidRDefault="00D313CC" w:rsidP="00ED16FD">
            <w:pPr>
              <w:rPr>
                <w:rFonts w:ascii="Times New Roman" w:hAnsi="Times New Roman" w:cs="Times New Roman"/>
              </w:rPr>
            </w:pPr>
            <w:r w:rsidRPr="009F4B75">
              <w:rPr>
                <w:rFonts w:ascii="Times New Roman" w:hAnsi="Times New Roman" w:cs="Times New Roman"/>
                <w:i/>
                <w:sz w:val="24"/>
                <w:szCs w:val="24"/>
              </w:rPr>
              <w:t>- so znakmi integrovaného projektu</w:t>
            </w:r>
          </w:p>
        </w:tc>
      </w:tr>
      <w:tr w:rsidR="00D313CC" w:rsidRPr="009F4B75" w14:paraId="3292B4E3" w14:textId="77777777" w:rsidTr="00B26DD2">
        <w:trPr>
          <w:trHeight w:val="624"/>
        </w:trPr>
        <w:tc>
          <w:tcPr>
            <w:tcW w:w="2127" w:type="dxa"/>
            <w:vAlign w:val="center"/>
          </w:tcPr>
          <w:p w14:paraId="51BC25E6"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Povinné prílohy stanovené MAS</w:t>
            </w:r>
            <w:r w:rsidRPr="009F4B75">
              <w:rPr>
                <w:rStyle w:val="Odkaznapoznmkupodiarou"/>
                <w:rFonts w:ascii="Times New Roman" w:hAnsi="Times New Roman" w:cs="Times New Roman"/>
              </w:rPr>
              <w:footnoteReference w:id="40"/>
            </w:r>
          </w:p>
        </w:tc>
        <w:tc>
          <w:tcPr>
            <w:tcW w:w="7393" w:type="dxa"/>
            <w:gridSpan w:val="10"/>
            <w:vAlign w:val="center"/>
          </w:tcPr>
          <w:p w14:paraId="3A06D128" w14:textId="77777777" w:rsidR="00D313CC" w:rsidRPr="009F4B75" w:rsidRDefault="00D313CC" w:rsidP="00B26DD2">
            <w:pPr>
              <w:rPr>
                <w:rFonts w:ascii="Times New Roman" w:hAnsi="Times New Roman" w:cs="Times New Roman"/>
                <w:i/>
              </w:rPr>
            </w:pPr>
            <w:r w:rsidRPr="009F4B75">
              <w:rPr>
                <w:rFonts w:ascii="Times New Roman" w:hAnsi="Times New Roman" w:cs="Times New Roman"/>
                <w:i/>
              </w:rPr>
              <w:t>žiadne</w:t>
            </w:r>
          </w:p>
        </w:tc>
      </w:tr>
      <w:tr w:rsidR="00D313CC" w:rsidRPr="009F4B75" w14:paraId="2FEA141E" w14:textId="77777777" w:rsidTr="00B26DD2">
        <w:trPr>
          <w:trHeight w:val="624"/>
        </w:trPr>
        <w:tc>
          <w:tcPr>
            <w:tcW w:w="2127" w:type="dxa"/>
            <w:vMerge w:val="restart"/>
            <w:vAlign w:val="center"/>
          </w:tcPr>
          <w:p w14:paraId="41323BA3"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Merateľné ukazovatele projektu</w:t>
            </w:r>
          </w:p>
        </w:tc>
        <w:tc>
          <w:tcPr>
            <w:tcW w:w="1134" w:type="dxa"/>
            <w:gridSpan w:val="2"/>
            <w:vAlign w:val="center"/>
          </w:tcPr>
          <w:p w14:paraId="3F26A785" w14:textId="77777777" w:rsidR="00D313CC" w:rsidRPr="009F4B75" w:rsidRDefault="00D313CC" w:rsidP="00B26DD2">
            <w:pPr>
              <w:jc w:val="center"/>
              <w:rPr>
                <w:rFonts w:ascii="Times New Roman" w:hAnsi="Times New Roman" w:cs="Times New Roman"/>
                <w:i/>
              </w:rPr>
            </w:pPr>
            <w:r w:rsidRPr="009F4B75">
              <w:rPr>
                <w:rFonts w:ascii="Times New Roman" w:hAnsi="Times New Roman" w:cs="Times New Roman"/>
              </w:rPr>
              <w:t>Kód/ID</w:t>
            </w:r>
          </w:p>
        </w:tc>
        <w:tc>
          <w:tcPr>
            <w:tcW w:w="2713" w:type="dxa"/>
            <w:gridSpan w:val="3"/>
            <w:vAlign w:val="center"/>
          </w:tcPr>
          <w:p w14:paraId="48F561D9" w14:textId="77777777" w:rsidR="00D313CC" w:rsidRPr="009F4B75" w:rsidRDefault="00D313CC" w:rsidP="00B26DD2">
            <w:pPr>
              <w:jc w:val="center"/>
              <w:rPr>
                <w:rFonts w:ascii="Times New Roman" w:hAnsi="Times New Roman" w:cs="Times New Roman"/>
                <w:i/>
              </w:rPr>
            </w:pPr>
            <w:r w:rsidRPr="009F4B75">
              <w:rPr>
                <w:rFonts w:ascii="Times New Roman" w:hAnsi="Times New Roman" w:cs="Times New Roman"/>
              </w:rPr>
              <w:t>Názov/Ukazovateľ</w:t>
            </w:r>
          </w:p>
        </w:tc>
        <w:tc>
          <w:tcPr>
            <w:tcW w:w="1155" w:type="dxa"/>
            <w:gridSpan w:val="2"/>
            <w:vAlign w:val="center"/>
          </w:tcPr>
          <w:p w14:paraId="08B79515" w14:textId="77777777" w:rsidR="00D313CC" w:rsidRPr="009F4B75" w:rsidRDefault="00D313CC" w:rsidP="00B26DD2">
            <w:pPr>
              <w:jc w:val="center"/>
              <w:rPr>
                <w:rFonts w:ascii="Times New Roman" w:hAnsi="Times New Roman" w:cs="Times New Roman"/>
                <w:i/>
              </w:rPr>
            </w:pPr>
            <w:r w:rsidRPr="009F4B75">
              <w:rPr>
                <w:rFonts w:ascii="Times New Roman" w:hAnsi="Times New Roman" w:cs="Times New Roman"/>
              </w:rPr>
              <w:t>Merná jednotka</w:t>
            </w:r>
          </w:p>
        </w:tc>
        <w:tc>
          <w:tcPr>
            <w:tcW w:w="1262" w:type="dxa"/>
            <w:vAlign w:val="center"/>
          </w:tcPr>
          <w:p w14:paraId="05DEF28A" w14:textId="77777777" w:rsidR="00D313CC" w:rsidRPr="009F4B75" w:rsidRDefault="00D313CC" w:rsidP="00B26DD2">
            <w:pPr>
              <w:jc w:val="center"/>
              <w:rPr>
                <w:rFonts w:ascii="Times New Roman" w:hAnsi="Times New Roman" w:cs="Times New Roman"/>
                <w:i/>
              </w:rPr>
            </w:pPr>
            <w:r w:rsidRPr="009F4B75">
              <w:rPr>
                <w:rFonts w:ascii="Times New Roman" w:hAnsi="Times New Roman" w:cs="Times New Roman"/>
              </w:rPr>
              <w:t>Počiatočná hodnota</w:t>
            </w:r>
          </w:p>
        </w:tc>
        <w:tc>
          <w:tcPr>
            <w:tcW w:w="1129" w:type="dxa"/>
            <w:gridSpan w:val="2"/>
            <w:vAlign w:val="center"/>
          </w:tcPr>
          <w:p w14:paraId="550B5C8B" w14:textId="77777777" w:rsidR="00D313CC" w:rsidRPr="009F4B75" w:rsidRDefault="00D313CC" w:rsidP="00B26DD2">
            <w:pPr>
              <w:jc w:val="center"/>
              <w:rPr>
                <w:rFonts w:ascii="Times New Roman" w:hAnsi="Times New Roman" w:cs="Times New Roman"/>
                <w:i/>
              </w:rPr>
            </w:pPr>
            <w:r w:rsidRPr="009F4B75">
              <w:rPr>
                <w:rFonts w:ascii="Times New Roman" w:hAnsi="Times New Roman" w:cs="Times New Roman"/>
              </w:rPr>
              <w:t>Celková cieľová hodnota</w:t>
            </w:r>
          </w:p>
        </w:tc>
      </w:tr>
      <w:tr w:rsidR="00D313CC" w:rsidRPr="009F4B75" w14:paraId="212FCFD8" w14:textId="77777777" w:rsidTr="00B26DD2">
        <w:trPr>
          <w:trHeight w:val="624"/>
        </w:trPr>
        <w:tc>
          <w:tcPr>
            <w:tcW w:w="2127" w:type="dxa"/>
            <w:vMerge/>
            <w:vAlign w:val="center"/>
          </w:tcPr>
          <w:p w14:paraId="421291A6" w14:textId="77777777" w:rsidR="00D313CC" w:rsidRPr="009F4B75" w:rsidRDefault="00D313CC" w:rsidP="00B26DD2">
            <w:pPr>
              <w:rPr>
                <w:rFonts w:ascii="Times New Roman" w:hAnsi="Times New Roman" w:cs="Times New Roman"/>
              </w:rPr>
            </w:pPr>
          </w:p>
        </w:tc>
        <w:tc>
          <w:tcPr>
            <w:tcW w:w="1134" w:type="dxa"/>
            <w:gridSpan w:val="2"/>
            <w:vAlign w:val="center"/>
          </w:tcPr>
          <w:p w14:paraId="5D6A6379"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8.6</w:t>
            </w:r>
          </w:p>
        </w:tc>
        <w:tc>
          <w:tcPr>
            <w:tcW w:w="2713" w:type="dxa"/>
            <w:gridSpan w:val="3"/>
            <w:vAlign w:val="center"/>
          </w:tcPr>
          <w:p w14:paraId="5576EE73" w14:textId="77777777" w:rsidR="00D313CC" w:rsidRPr="009F4B75" w:rsidRDefault="00D313CC" w:rsidP="00ED16FD">
            <w:pPr>
              <w:spacing w:after="60" w:line="276" w:lineRule="auto"/>
              <w:rPr>
                <w:rFonts w:ascii="Times New Roman" w:hAnsi="Times New Roman" w:cs="Times New Roman"/>
              </w:rPr>
            </w:pPr>
            <w:r w:rsidRPr="009F4B75">
              <w:rPr>
                <w:rFonts w:ascii="Times New Roman" w:hAnsi="Times New Roman" w:cs="Times New Roman"/>
                <w:bCs/>
              </w:rPr>
              <w:t>Počet spracovaných lesných produktov, ktoré takýmto spôsobom získavajú pridanú hodnotu a tiež ich uvádzanie na trh</w:t>
            </w:r>
          </w:p>
        </w:tc>
        <w:tc>
          <w:tcPr>
            <w:tcW w:w="1155" w:type="dxa"/>
            <w:gridSpan w:val="2"/>
            <w:vAlign w:val="center"/>
          </w:tcPr>
          <w:p w14:paraId="4EA69548"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Počet</w:t>
            </w:r>
          </w:p>
        </w:tc>
        <w:tc>
          <w:tcPr>
            <w:tcW w:w="1262" w:type="dxa"/>
            <w:vAlign w:val="center"/>
          </w:tcPr>
          <w:p w14:paraId="67B9CD63"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5E092DD3" w14:textId="77777777" w:rsidR="00D313CC" w:rsidRPr="009F4B75" w:rsidRDefault="00D313CC" w:rsidP="00B26DD2">
            <w:pPr>
              <w:jc w:val="center"/>
              <w:rPr>
                <w:rFonts w:ascii="Times New Roman" w:hAnsi="Times New Roman" w:cs="Times New Roman"/>
              </w:rPr>
            </w:pPr>
            <w:r w:rsidRPr="009F4B75">
              <w:rPr>
                <w:rFonts w:ascii="Times New Roman" w:hAnsi="Times New Roman" w:cs="Times New Roman"/>
              </w:rPr>
              <w:t>1</w:t>
            </w:r>
          </w:p>
        </w:tc>
      </w:tr>
      <w:tr w:rsidR="00D313CC" w:rsidRPr="009F4B75" w14:paraId="31F3C3DA" w14:textId="77777777" w:rsidTr="00B26DD2">
        <w:trPr>
          <w:trHeight w:val="624"/>
        </w:trPr>
        <w:tc>
          <w:tcPr>
            <w:tcW w:w="2127" w:type="dxa"/>
            <w:vMerge/>
            <w:vAlign w:val="center"/>
          </w:tcPr>
          <w:p w14:paraId="4245634A" w14:textId="77777777" w:rsidR="00D313CC" w:rsidRPr="009F4B75" w:rsidRDefault="00D313CC" w:rsidP="00B26DD2">
            <w:pPr>
              <w:spacing w:after="200" w:line="276" w:lineRule="auto"/>
              <w:rPr>
                <w:rFonts w:ascii="Times New Roman" w:hAnsi="Times New Roman" w:cs="Times New Roman"/>
              </w:rPr>
            </w:pPr>
          </w:p>
        </w:tc>
        <w:tc>
          <w:tcPr>
            <w:tcW w:w="1134" w:type="dxa"/>
            <w:gridSpan w:val="2"/>
            <w:vAlign w:val="center"/>
          </w:tcPr>
          <w:p w14:paraId="7AFEF535" w14:textId="77777777" w:rsidR="00D313CC" w:rsidRPr="009F4B75" w:rsidRDefault="00D313CC" w:rsidP="00B26DD2">
            <w:pPr>
              <w:spacing w:after="200" w:line="276" w:lineRule="auto"/>
              <w:jc w:val="right"/>
              <w:rPr>
                <w:rFonts w:ascii="Times New Roman" w:hAnsi="Times New Roman" w:cs="Times New Roman"/>
                <w:i/>
              </w:rPr>
            </w:pPr>
            <w:r w:rsidRPr="009F4B75">
              <w:rPr>
                <w:rFonts w:ascii="Times New Roman" w:hAnsi="Times New Roman" w:cs="Times New Roman"/>
                <w:i/>
              </w:rPr>
              <w:t>8.6</w:t>
            </w:r>
          </w:p>
        </w:tc>
        <w:tc>
          <w:tcPr>
            <w:tcW w:w="2713" w:type="dxa"/>
            <w:gridSpan w:val="3"/>
            <w:vAlign w:val="center"/>
          </w:tcPr>
          <w:p w14:paraId="22958699" w14:textId="14B7BC60" w:rsidR="00D313CC" w:rsidRPr="009F4B75" w:rsidRDefault="009B1170" w:rsidP="00B26DD2">
            <w:pPr>
              <w:spacing w:after="60" w:line="276" w:lineRule="auto"/>
              <w:rPr>
                <w:rFonts w:ascii="Times New Roman" w:hAnsi="Times New Roman" w:cs="Times New Roman"/>
                <w:i/>
              </w:rPr>
            </w:pPr>
            <w:r w:rsidRPr="009B1170">
              <w:rPr>
                <w:rFonts w:ascii="Times New Roman" w:hAnsi="Times New Roman" w:cs="Times New Roman"/>
                <w:bCs/>
              </w:rPr>
              <w:t xml:space="preserve">Počet novovytvorených pracovných miest projektom prepočítaný na ekvivalent plného pracovného úväzku celkom (Novovytvorené pracovné miesta - Ide o pracovné miesta, ktoré vznikli výlučne vplyvom projektu a viažu sa na daný projekt. Ide o vytvorené pracovné miesta uzatvorením pracovných zmlúv, netýka sa udržaných pracovných miest. Pri skrátených pracovných úväzkoch ide o ekvivalenty plných </w:t>
            </w:r>
            <w:r w:rsidRPr="009B1170">
              <w:rPr>
                <w:rFonts w:ascii="Times New Roman" w:hAnsi="Times New Roman" w:cs="Times New Roman"/>
                <w:bCs/>
              </w:rPr>
              <w:lastRenderedPageBreak/>
              <w:t>pracovných úväzkov, napr. ak v podniku bolo počas celého roka zamestnaných 10 pracovníkov a 2 pracovníci boli zamestnaní len na 3 mesiace, tak EPM = ((10 x12)+(2x3))/12 = 10,5.):</w:t>
            </w:r>
            <w:r w:rsidRPr="009B1170" w:rsidDel="009B1170">
              <w:rPr>
                <w:rFonts w:ascii="Times New Roman" w:hAnsi="Times New Roman" w:cs="Times New Roman"/>
                <w:bCs/>
              </w:rPr>
              <w:t xml:space="preserve"> </w:t>
            </w:r>
          </w:p>
        </w:tc>
        <w:tc>
          <w:tcPr>
            <w:tcW w:w="1155" w:type="dxa"/>
            <w:gridSpan w:val="2"/>
            <w:vAlign w:val="center"/>
          </w:tcPr>
          <w:p w14:paraId="5D596E74" w14:textId="77777777" w:rsidR="00D313CC" w:rsidRPr="009F4B75" w:rsidRDefault="00D313CC" w:rsidP="00B26DD2">
            <w:pPr>
              <w:spacing w:after="200" w:line="276" w:lineRule="auto"/>
              <w:jc w:val="center"/>
              <w:rPr>
                <w:rFonts w:ascii="Times New Roman" w:hAnsi="Times New Roman" w:cs="Times New Roman"/>
              </w:rPr>
            </w:pPr>
            <w:r w:rsidRPr="009F4B75">
              <w:rPr>
                <w:rFonts w:ascii="Times New Roman" w:hAnsi="Times New Roman" w:cs="Times New Roman"/>
              </w:rPr>
              <w:lastRenderedPageBreak/>
              <w:t>Počet</w:t>
            </w:r>
          </w:p>
        </w:tc>
        <w:tc>
          <w:tcPr>
            <w:tcW w:w="1262" w:type="dxa"/>
            <w:vAlign w:val="center"/>
          </w:tcPr>
          <w:p w14:paraId="4AEF2DEF" w14:textId="77777777" w:rsidR="00D313CC" w:rsidRPr="009F4B75" w:rsidRDefault="00D313CC" w:rsidP="00B26DD2">
            <w:pPr>
              <w:spacing w:after="200" w:line="276" w:lineRule="auto"/>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54C202D7" w14:textId="77777777" w:rsidR="00D313CC" w:rsidRPr="009F4B75" w:rsidRDefault="00D313CC" w:rsidP="00B26DD2">
            <w:pPr>
              <w:spacing w:after="200" w:line="276" w:lineRule="auto"/>
              <w:jc w:val="center"/>
              <w:rPr>
                <w:rFonts w:ascii="Times New Roman" w:hAnsi="Times New Roman" w:cs="Times New Roman"/>
              </w:rPr>
            </w:pPr>
            <w:r w:rsidRPr="009F4B75">
              <w:rPr>
                <w:rFonts w:ascii="Times New Roman" w:hAnsi="Times New Roman" w:cs="Times New Roman"/>
              </w:rPr>
              <w:t>2</w:t>
            </w:r>
          </w:p>
        </w:tc>
      </w:tr>
      <w:tr w:rsidR="00D313CC" w:rsidRPr="009F4B75" w14:paraId="53897181" w14:textId="77777777" w:rsidTr="00B26DD2">
        <w:trPr>
          <w:trHeight w:val="624"/>
        </w:trPr>
        <w:tc>
          <w:tcPr>
            <w:tcW w:w="2127" w:type="dxa"/>
            <w:vAlign w:val="center"/>
          </w:tcPr>
          <w:p w14:paraId="6FAD628D" w14:textId="77777777" w:rsidR="00D313CC" w:rsidRPr="009F4B75" w:rsidRDefault="00D313CC" w:rsidP="00B26DD2">
            <w:pPr>
              <w:rPr>
                <w:rFonts w:ascii="Times New Roman" w:hAnsi="Times New Roman" w:cs="Times New Roman"/>
              </w:rPr>
            </w:pPr>
            <w:r w:rsidRPr="009F4B75">
              <w:rPr>
                <w:rFonts w:ascii="Times New Roman" w:hAnsi="Times New Roman" w:cs="Times New Roman"/>
              </w:rPr>
              <w:t>Indikatívny harmonogram výziev</w:t>
            </w:r>
          </w:p>
        </w:tc>
        <w:tc>
          <w:tcPr>
            <w:tcW w:w="7393" w:type="dxa"/>
            <w:gridSpan w:val="10"/>
          </w:tcPr>
          <w:p w14:paraId="69AAABB0" w14:textId="77777777" w:rsidR="00D313CC" w:rsidRPr="009F4B75" w:rsidRDefault="00D313CC" w:rsidP="00B26DD2">
            <w:pPr>
              <w:jc w:val="both"/>
              <w:rPr>
                <w:rFonts w:ascii="Times New Roman" w:hAnsi="Times New Roman" w:cs="Times New Roman"/>
              </w:rPr>
            </w:pPr>
            <w:r w:rsidRPr="009F4B75">
              <w:rPr>
                <w:rFonts w:ascii="Times New Roman" w:hAnsi="Times New Roman" w:cs="Times New Roman"/>
                <w:i/>
                <w:sz w:val="24"/>
                <w:szCs w:val="24"/>
              </w:rPr>
              <w:t>august 2018, august 2020</w:t>
            </w:r>
          </w:p>
        </w:tc>
      </w:tr>
    </w:tbl>
    <w:p w14:paraId="5AD43149" w14:textId="77777777" w:rsidR="00C02D67" w:rsidRDefault="00C02D67" w:rsidP="00362E8C">
      <w:pPr>
        <w:spacing w:after="0" w:line="312" w:lineRule="auto"/>
        <w:rPr>
          <w:rFonts w:ascii="Times New Roman" w:hAnsi="Times New Roman" w:cs="Times New Roman"/>
          <w:b/>
          <w:sz w:val="24"/>
          <w:szCs w:val="24"/>
        </w:rPr>
      </w:pPr>
    </w:p>
    <w:p w14:paraId="1973AC0B" w14:textId="77777777" w:rsidR="009F4B75" w:rsidRDefault="009F4B75" w:rsidP="00362E8C">
      <w:pPr>
        <w:spacing w:after="0" w:line="312" w:lineRule="auto"/>
        <w:rPr>
          <w:rFonts w:ascii="Times New Roman" w:hAnsi="Times New Roman" w:cs="Times New Roman"/>
          <w:b/>
          <w:sz w:val="24"/>
          <w:szCs w:val="24"/>
        </w:rPr>
      </w:pPr>
    </w:p>
    <w:p w14:paraId="059BD267" w14:textId="77777777" w:rsidR="009F4B75" w:rsidRDefault="009F4B75" w:rsidP="00362E8C">
      <w:pPr>
        <w:spacing w:after="0" w:line="312" w:lineRule="auto"/>
        <w:rPr>
          <w:rFonts w:ascii="Times New Roman" w:hAnsi="Times New Roman" w:cs="Times New Roman"/>
          <w:b/>
          <w:sz w:val="24"/>
          <w:szCs w:val="24"/>
        </w:rPr>
      </w:pPr>
    </w:p>
    <w:p w14:paraId="45E379EE" w14:textId="77777777" w:rsidR="009F4B75" w:rsidRDefault="009F4B75" w:rsidP="00362E8C">
      <w:pPr>
        <w:spacing w:after="0" w:line="312" w:lineRule="auto"/>
        <w:rPr>
          <w:rFonts w:ascii="Times New Roman" w:hAnsi="Times New Roman" w:cs="Times New Roman"/>
          <w:b/>
          <w:sz w:val="24"/>
          <w:szCs w:val="24"/>
        </w:rPr>
      </w:pPr>
    </w:p>
    <w:p w14:paraId="42C9885C" w14:textId="77777777" w:rsidR="009F4B75" w:rsidRDefault="009F4B75" w:rsidP="00362E8C">
      <w:pPr>
        <w:spacing w:after="0" w:line="312" w:lineRule="auto"/>
        <w:rPr>
          <w:rFonts w:ascii="Times New Roman" w:hAnsi="Times New Roman" w:cs="Times New Roman"/>
          <w:b/>
          <w:sz w:val="24"/>
          <w:szCs w:val="24"/>
        </w:rPr>
      </w:pPr>
    </w:p>
    <w:p w14:paraId="488116A6" w14:textId="77777777" w:rsidR="009F4B75" w:rsidRPr="003C0D7F" w:rsidRDefault="009F4B75" w:rsidP="00362E8C">
      <w:pPr>
        <w:spacing w:after="0" w:line="312" w:lineRule="auto"/>
        <w:rPr>
          <w:rFonts w:ascii="Times New Roman" w:hAnsi="Times New Roman" w:cs="Times New Roman"/>
          <w:b/>
          <w:sz w:val="24"/>
          <w:szCs w:val="24"/>
        </w:rPr>
      </w:pPr>
    </w:p>
    <w:p w14:paraId="1B4EC75B"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I</w:t>
      </w:r>
      <w:r w:rsidRPr="008951E2">
        <w:rPr>
          <w:rFonts w:ascii="Times New Roman" w:hAnsi="Times New Roman" w:cs="Times New Roman"/>
          <w:b/>
          <w:sz w:val="20"/>
          <w:szCs w:val="20"/>
        </w:rPr>
        <w:t xml:space="preserve"> Opatrenie stratégie CLLD 3.3</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C02D67" w:rsidRPr="009F4B75" w14:paraId="7E96557B" w14:textId="77777777" w:rsidTr="008F3BDE">
        <w:trPr>
          <w:trHeight w:val="624"/>
        </w:trPr>
        <w:tc>
          <w:tcPr>
            <w:tcW w:w="2127" w:type="dxa"/>
            <w:vAlign w:val="center"/>
          </w:tcPr>
          <w:p w14:paraId="3842BADC"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9"/>
          </w:tcPr>
          <w:p w14:paraId="73076ABA" w14:textId="77777777" w:rsidR="00C02D67" w:rsidRPr="009F4B75" w:rsidRDefault="000414D6" w:rsidP="00C02D67">
            <w:pPr>
              <w:rPr>
                <w:rFonts w:ascii="Times New Roman" w:hAnsi="Times New Roman" w:cs="Times New Roman"/>
              </w:rPr>
            </w:pPr>
            <w:r w:rsidRPr="009F4B75">
              <w:rPr>
                <w:rFonts w:ascii="Times New Roman" w:hAnsi="Times New Roman" w:cs="Times New Roman"/>
                <w:b/>
                <w:sz w:val="24"/>
                <w:szCs w:val="24"/>
              </w:rPr>
              <w:t>3.3 Vznik nových a rozširovanie existujúcich podnikov v oblasti remeselnej a priemyselnej výroby</w:t>
            </w:r>
          </w:p>
        </w:tc>
      </w:tr>
      <w:tr w:rsidR="00C02D67" w:rsidRPr="009F4B75" w14:paraId="7B17BCF9" w14:textId="77777777" w:rsidTr="008F3BDE">
        <w:trPr>
          <w:trHeight w:val="624"/>
        </w:trPr>
        <w:tc>
          <w:tcPr>
            <w:tcW w:w="2127" w:type="dxa"/>
            <w:vAlign w:val="center"/>
          </w:tcPr>
          <w:p w14:paraId="685A4FE2"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t>Priradenie kódu opatrenia</w:t>
            </w:r>
            <w:r w:rsidRPr="009F4B75">
              <w:rPr>
                <w:rStyle w:val="Odkaznapoznmkupodiarou"/>
                <w:rFonts w:ascii="Times New Roman" w:hAnsi="Times New Roman" w:cs="Times New Roman"/>
              </w:rPr>
              <w:footnoteReference w:id="41"/>
            </w:r>
            <w:r w:rsidRPr="009F4B75">
              <w:rPr>
                <w:rFonts w:ascii="Times New Roman" w:hAnsi="Times New Roman" w:cs="Times New Roman"/>
              </w:rPr>
              <w:t xml:space="preserve"> </w:t>
            </w:r>
          </w:p>
        </w:tc>
        <w:tc>
          <w:tcPr>
            <w:tcW w:w="7393" w:type="dxa"/>
            <w:gridSpan w:val="9"/>
          </w:tcPr>
          <w:p w14:paraId="6BB78936" w14:textId="77777777" w:rsidR="00C02D67" w:rsidRPr="009F4B75" w:rsidRDefault="00D84C0F" w:rsidP="00C02D67">
            <w:pPr>
              <w:rPr>
                <w:rFonts w:ascii="Times New Roman" w:hAnsi="Times New Roman" w:cs="Times New Roman"/>
              </w:rPr>
            </w:pPr>
            <w:r w:rsidRPr="009F4B75">
              <w:rPr>
                <w:rFonts w:ascii="Times New Roman" w:hAnsi="Times New Roman" w:cs="Times New Roman"/>
              </w:rPr>
              <w:t>-</w:t>
            </w:r>
          </w:p>
        </w:tc>
      </w:tr>
      <w:tr w:rsidR="00C02D67" w:rsidRPr="009F4B75" w14:paraId="1E1D292E" w14:textId="77777777" w:rsidTr="008F3BDE">
        <w:trPr>
          <w:trHeight w:val="624"/>
        </w:trPr>
        <w:tc>
          <w:tcPr>
            <w:tcW w:w="2127" w:type="dxa"/>
            <w:vAlign w:val="center"/>
          </w:tcPr>
          <w:p w14:paraId="58B98D13"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t>Priradenie k fokusovej oblasti PRV/ŠC IROP</w:t>
            </w:r>
          </w:p>
        </w:tc>
        <w:tc>
          <w:tcPr>
            <w:tcW w:w="7393" w:type="dxa"/>
            <w:gridSpan w:val="9"/>
          </w:tcPr>
          <w:p w14:paraId="6165EC0A" w14:textId="77777777" w:rsidR="00C02D67" w:rsidRPr="009F4B75" w:rsidRDefault="000414D6" w:rsidP="00C02D67">
            <w:pPr>
              <w:rPr>
                <w:rFonts w:ascii="Times New Roman" w:hAnsi="Times New Roman" w:cs="Times New Roman"/>
              </w:rPr>
            </w:pPr>
            <w:r w:rsidRPr="009F4B75">
              <w:rPr>
                <w:rFonts w:ascii="Times New Roman" w:hAnsi="Times New Roman" w:cs="Times New Roman"/>
                <w:i/>
                <w:sz w:val="24"/>
                <w:szCs w:val="24"/>
              </w:rPr>
              <w:t>5.1.1 Zvýšenie zamestnanosti na miestnej úrovni podporou podnikania a inovácií</w:t>
            </w:r>
          </w:p>
        </w:tc>
      </w:tr>
      <w:tr w:rsidR="007839AF" w:rsidRPr="009F4B75" w14:paraId="67A6944A" w14:textId="77777777" w:rsidTr="008F3BDE">
        <w:trPr>
          <w:trHeight w:val="624"/>
        </w:trPr>
        <w:tc>
          <w:tcPr>
            <w:tcW w:w="2127" w:type="dxa"/>
            <w:vAlign w:val="center"/>
          </w:tcPr>
          <w:p w14:paraId="5FC1929D"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 xml:space="preserve">Ciele opatrenia </w:t>
            </w:r>
          </w:p>
        </w:tc>
        <w:tc>
          <w:tcPr>
            <w:tcW w:w="7393" w:type="dxa"/>
            <w:gridSpan w:val="9"/>
            <w:vAlign w:val="center"/>
          </w:tcPr>
          <w:p w14:paraId="20228720" w14:textId="77777777" w:rsidR="007839AF" w:rsidRPr="009F4B75" w:rsidRDefault="00D313CC" w:rsidP="00C02D67">
            <w:pPr>
              <w:jc w:val="both"/>
              <w:rPr>
                <w:rFonts w:ascii="Times New Roman" w:hAnsi="Times New Roman" w:cs="Times New Roman"/>
                <w:i/>
                <w:sz w:val="18"/>
                <w:szCs w:val="18"/>
              </w:rPr>
            </w:pPr>
            <w:r w:rsidRPr="009F4B75">
              <w:rPr>
                <w:rFonts w:ascii="Times New Roman" w:hAnsi="Times New Roman" w:cs="Times New Roman"/>
                <w:i/>
                <w:sz w:val="24"/>
                <w:szCs w:val="24"/>
              </w:rPr>
              <w:t xml:space="preserve">Cieľom opatrenia je zvýšiť a udržať pracovné miesta inovovaním výroby v podnikoch. </w:t>
            </w:r>
            <w:r w:rsidR="007839AF" w:rsidRPr="009F4B75">
              <w:rPr>
                <w:rFonts w:ascii="Times New Roman" w:hAnsi="Times New Roman" w:cs="Times New Roman"/>
                <w:i/>
                <w:sz w:val="24"/>
                <w:szCs w:val="24"/>
              </w:rPr>
              <w:t xml:space="preserve">Opatrenie prispieva k naplneniu Špecifického cieľa: Vytvoriť kvalitné podmienky pre rozvoj podnikania </w:t>
            </w:r>
            <w:r w:rsidR="007839AF" w:rsidRPr="009F4B75">
              <w:rPr>
                <w:rFonts w:ascii="Times New Roman" w:hAnsi="Times New Roman" w:cs="Times New Roman"/>
                <w:bCs/>
                <w:i/>
                <w:sz w:val="24"/>
                <w:szCs w:val="24"/>
              </w:rPr>
              <w:t>a zamestnanosti</w:t>
            </w:r>
            <w:r w:rsidR="007839AF" w:rsidRPr="009F4B75">
              <w:rPr>
                <w:rFonts w:ascii="Times New Roman" w:hAnsi="Times New Roman" w:cs="Times New Roman"/>
                <w:i/>
                <w:sz w:val="24"/>
                <w:szCs w:val="24"/>
              </w:rPr>
              <w:t>.</w:t>
            </w:r>
          </w:p>
        </w:tc>
      </w:tr>
      <w:tr w:rsidR="007839AF" w:rsidRPr="009F4B75" w14:paraId="444AD9C2" w14:textId="77777777" w:rsidTr="008F3BDE">
        <w:trPr>
          <w:trHeight w:val="624"/>
        </w:trPr>
        <w:tc>
          <w:tcPr>
            <w:tcW w:w="2127" w:type="dxa"/>
            <w:vAlign w:val="center"/>
          </w:tcPr>
          <w:p w14:paraId="7C93C787"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Zdôvodnenie výberu</w:t>
            </w:r>
          </w:p>
        </w:tc>
        <w:tc>
          <w:tcPr>
            <w:tcW w:w="7393" w:type="dxa"/>
            <w:gridSpan w:val="9"/>
            <w:vAlign w:val="center"/>
          </w:tcPr>
          <w:p w14:paraId="4C5A6E6B" w14:textId="77777777" w:rsidR="007839AF" w:rsidRPr="009F4B75" w:rsidRDefault="007839AF" w:rsidP="00C02D67">
            <w:pPr>
              <w:jc w:val="both"/>
              <w:rPr>
                <w:rFonts w:ascii="Times New Roman" w:hAnsi="Times New Roman" w:cs="Times New Roman"/>
                <w:i/>
              </w:rPr>
            </w:pPr>
            <w:r w:rsidRPr="009F4B75">
              <w:rPr>
                <w:rFonts w:ascii="Times New Roman" w:hAnsi="Times New Roman" w:cs="Times New Roman"/>
                <w:i/>
                <w:sz w:val="24"/>
                <w:szCs w:val="24"/>
              </w:rPr>
              <w:t>Opatrenie reflektuje na potreby identifikované v oblasti Hospodárstvo, Ľudské zdroje a sekundárne aj Životné prostredie v rámci Identifikácie potrieb</w:t>
            </w:r>
            <w:r w:rsidR="00D313CC" w:rsidRPr="009F4B75">
              <w:rPr>
                <w:rFonts w:ascii="Times New Roman" w:hAnsi="Times New Roman" w:cs="Times New Roman"/>
                <w:i/>
                <w:sz w:val="24"/>
                <w:szCs w:val="24"/>
              </w:rPr>
              <w:t>. Opatrenie prispieva k naplneniu strategického cieľa najmä zvýšiť prosperitu prostredníctvom kvalitného podnikateľského prostredia. Zameriava sa na podporu podnikov a ich investícii do nákupu strojov, zariadení a technológií ako aj výstavby, rekonštrukcie a modernizácie prevádzok na skvalitnenie alebo rozšírenie výroby a tým stabilizáciu, skvalitňovanie, inovácie produkcie v miestnych podnikoch. Opatrenie kladie dôraz na tvorbu a udržanie pracovných miest priamo v regióne.</w:t>
            </w:r>
          </w:p>
        </w:tc>
      </w:tr>
      <w:tr w:rsidR="007839AF" w:rsidRPr="009F4B75" w14:paraId="051DA602" w14:textId="77777777" w:rsidTr="008F3BDE">
        <w:trPr>
          <w:trHeight w:val="624"/>
        </w:trPr>
        <w:tc>
          <w:tcPr>
            <w:tcW w:w="2127" w:type="dxa"/>
            <w:vAlign w:val="center"/>
          </w:tcPr>
          <w:p w14:paraId="0690CDFB"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9"/>
            <w:vAlign w:val="center"/>
          </w:tcPr>
          <w:p w14:paraId="7C3ADC3D" w14:textId="77777777" w:rsidR="007839AF" w:rsidRPr="009F4B75" w:rsidRDefault="007839AF"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Zakladanie nových a podpora existujúcich mikro a malých podnikov, samostatne zárobkovo činných osôb, družstiev:</w:t>
            </w:r>
          </w:p>
          <w:p w14:paraId="792009FE" w14:textId="77777777" w:rsidR="007839AF" w:rsidRPr="009F4B75" w:rsidRDefault="007839AF" w:rsidP="007839AF">
            <w:pPr>
              <w:numPr>
                <w:ilvl w:val="0"/>
                <w:numId w:val="31"/>
              </w:numPr>
              <w:spacing w:after="60"/>
              <w:rPr>
                <w:rFonts w:ascii="Times New Roman" w:hAnsi="Times New Roman" w:cs="Times New Roman"/>
                <w:i/>
                <w:sz w:val="24"/>
                <w:szCs w:val="24"/>
              </w:rPr>
            </w:pPr>
            <w:r w:rsidRPr="009F4B75">
              <w:rPr>
                <w:rFonts w:ascii="Times New Roman" w:hAnsi="Times New Roman" w:cs="Times New Roman"/>
                <w:i/>
                <w:sz w:val="24"/>
                <w:szCs w:val="24"/>
              </w:rPr>
              <w:t>obstaranie hmotného majetku pre účely tvorby  pracovných miest</w:t>
            </w:r>
          </w:p>
          <w:p w14:paraId="5D2C3C99" w14:textId="77777777" w:rsidR="007839AF" w:rsidRPr="009F4B75" w:rsidRDefault="007839AF" w:rsidP="00D313CC">
            <w:pPr>
              <w:pStyle w:val="Odsekzoznamu"/>
              <w:numPr>
                <w:ilvl w:val="0"/>
                <w:numId w:val="31"/>
              </w:numPr>
              <w:jc w:val="both"/>
              <w:rPr>
                <w:rFonts w:ascii="Times New Roman" w:hAnsi="Times New Roman" w:cs="Times New Roman"/>
                <w:i/>
              </w:rPr>
            </w:pPr>
            <w:r w:rsidRPr="009F4B75">
              <w:rPr>
                <w:rFonts w:ascii="Times New Roman" w:hAnsi="Times New Roman" w:cs="Times New Roman"/>
                <w:i/>
                <w:sz w:val="24"/>
                <w:szCs w:val="24"/>
              </w:rPr>
              <w:t>nutné stavebnotechnické úpravy budov spojené s umiestnením obstaranej technológie a/alebo s poskytovaním nových služieb</w:t>
            </w:r>
          </w:p>
        </w:tc>
      </w:tr>
      <w:tr w:rsidR="007839AF" w:rsidRPr="009F4B75" w14:paraId="631AC161" w14:textId="77777777" w:rsidTr="008F3BDE">
        <w:trPr>
          <w:trHeight w:val="624"/>
        </w:trPr>
        <w:tc>
          <w:tcPr>
            <w:tcW w:w="2127" w:type="dxa"/>
            <w:vAlign w:val="center"/>
          </w:tcPr>
          <w:p w14:paraId="5D7647D5"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Oprávnení prijímatelia</w:t>
            </w:r>
          </w:p>
        </w:tc>
        <w:tc>
          <w:tcPr>
            <w:tcW w:w="7393" w:type="dxa"/>
            <w:gridSpan w:val="9"/>
            <w:vAlign w:val="center"/>
          </w:tcPr>
          <w:p w14:paraId="1DAE9D8F" w14:textId="77777777" w:rsidR="007839AF" w:rsidRPr="009F4B75" w:rsidRDefault="007839AF" w:rsidP="000414D6">
            <w:pPr>
              <w:spacing w:after="60"/>
              <w:rPr>
                <w:rFonts w:ascii="Times New Roman" w:hAnsi="Times New Roman" w:cs="Times New Roman"/>
                <w:i/>
                <w:sz w:val="24"/>
                <w:szCs w:val="24"/>
              </w:rPr>
            </w:pPr>
            <w:r w:rsidRPr="009F4B75">
              <w:rPr>
                <w:rFonts w:ascii="Times New Roman" w:hAnsi="Times New Roman" w:cs="Times New Roman"/>
                <w:i/>
                <w:sz w:val="24"/>
                <w:szCs w:val="24"/>
              </w:rPr>
              <w:t>- samostatne zárobkovo činné osoby, okrem tých, ktoré sú oprávnenými prijímateľmi z PRV v opatrení LEADER a oprávnenými prijímateľmi z OP RH,</w:t>
            </w:r>
          </w:p>
          <w:p w14:paraId="4EDF2EFF" w14:textId="77777777" w:rsidR="007839AF" w:rsidRPr="009F4B75" w:rsidRDefault="007839AF" w:rsidP="000414D6">
            <w:pPr>
              <w:jc w:val="both"/>
              <w:rPr>
                <w:rFonts w:ascii="Times New Roman" w:hAnsi="Times New Roman" w:cs="Times New Roman"/>
              </w:rPr>
            </w:pPr>
            <w:r w:rsidRPr="009F4B75">
              <w:rPr>
                <w:rFonts w:ascii="Times New Roman" w:hAnsi="Times New Roman" w:cs="Times New Roman"/>
                <w:i/>
                <w:sz w:val="24"/>
                <w:szCs w:val="24"/>
              </w:rPr>
              <w:lastRenderedPageBreak/>
              <w:t>- mikro a malé podniky s počtom do 49 zamestnancov, okrem tých, ktoré sú oprávnenými prijímateľmi z PRV v opatrení LEADER a oprávnenými prijímateľmi z OP RH,</w:t>
            </w:r>
          </w:p>
        </w:tc>
      </w:tr>
      <w:tr w:rsidR="007839AF" w:rsidRPr="009F4B75" w14:paraId="1F0B1E32" w14:textId="77777777" w:rsidTr="008F3BDE">
        <w:trPr>
          <w:trHeight w:val="624"/>
        </w:trPr>
        <w:tc>
          <w:tcPr>
            <w:tcW w:w="2127" w:type="dxa"/>
            <w:vAlign w:val="center"/>
          </w:tcPr>
          <w:p w14:paraId="147990CA"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lastRenderedPageBreak/>
              <w:t xml:space="preserve">Intenzita pomoci </w:t>
            </w:r>
            <w:r w:rsidRPr="009F4B75">
              <w:rPr>
                <w:rStyle w:val="Odkaznapoznmkupodiarou"/>
                <w:rFonts w:ascii="Times New Roman" w:hAnsi="Times New Roman" w:cs="Times New Roman"/>
              </w:rPr>
              <w:footnoteReference w:id="42"/>
            </w:r>
          </w:p>
        </w:tc>
        <w:tc>
          <w:tcPr>
            <w:tcW w:w="7393" w:type="dxa"/>
            <w:gridSpan w:val="9"/>
            <w:vAlign w:val="center"/>
          </w:tcPr>
          <w:p w14:paraId="16B4541A" w14:textId="77777777" w:rsidR="007839AF" w:rsidRPr="009F4B75" w:rsidRDefault="007839AF" w:rsidP="00C02D67">
            <w:pPr>
              <w:jc w:val="both"/>
              <w:rPr>
                <w:rFonts w:ascii="Times New Roman" w:hAnsi="Times New Roman" w:cs="Times New Roman"/>
              </w:rPr>
            </w:pPr>
            <w:r w:rsidRPr="009F4B75">
              <w:rPr>
                <w:rFonts w:ascii="Times New Roman" w:hAnsi="Times New Roman" w:cs="Times New Roman"/>
                <w:i/>
              </w:rPr>
              <w:t>55 %</w:t>
            </w:r>
          </w:p>
        </w:tc>
      </w:tr>
      <w:tr w:rsidR="007839AF" w:rsidRPr="009F4B75" w14:paraId="3E927FA8" w14:textId="77777777" w:rsidTr="008F3BDE">
        <w:trPr>
          <w:trHeight w:val="624"/>
        </w:trPr>
        <w:tc>
          <w:tcPr>
            <w:tcW w:w="2127" w:type="dxa"/>
            <w:vAlign w:val="center"/>
          </w:tcPr>
          <w:p w14:paraId="08923936"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Oprávnené výdavky</w:t>
            </w:r>
          </w:p>
        </w:tc>
        <w:tc>
          <w:tcPr>
            <w:tcW w:w="7393" w:type="dxa"/>
            <w:gridSpan w:val="9"/>
            <w:vAlign w:val="center"/>
          </w:tcPr>
          <w:p w14:paraId="6CA9864F" w14:textId="77777777" w:rsidR="007839AF" w:rsidRPr="009F4B75" w:rsidRDefault="007839AF" w:rsidP="000414D6">
            <w:pPr>
              <w:jc w:val="both"/>
              <w:rPr>
                <w:rFonts w:ascii="Times New Roman" w:hAnsi="Times New Roman" w:cs="Times New Roman"/>
              </w:rPr>
            </w:pPr>
            <w:r w:rsidRPr="009F4B75">
              <w:rPr>
                <w:rFonts w:ascii="Times New Roman" w:hAnsi="Times New Roman" w:cs="Times New Roman"/>
                <w:i/>
              </w:rPr>
              <w:t>v súlade s  IROP</w:t>
            </w:r>
          </w:p>
        </w:tc>
      </w:tr>
      <w:tr w:rsidR="007839AF" w:rsidRPr="009F4B75" w14:paraId="6CABC7CE" w14:textId="77777777" w:rsidTr="008F3BDE">
        <w:trPr>
          <w:trHeight w:val="624"/>
        </w:trPr>
        <w:tc>
          <w:tcPr>
            <w:tcW w:w="2127" w:type="dxa"/>
            <w:vAlign w:val="center"/>
          </w:tcPr>
          <w:p w14:paraId="15382CB8"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Výška príspevku (minimálna a maximálna)</w:t>
            </w:r>
          </w:p>
        </w:tc>
        <w:tc>
          <w:tcPr>
            <w:tcW w:w="7393" w:type="dxa"/>
            <w:gridSpan w:val="9"/>
            <w:vAlign w:val="center"/>
          </w:tcPr>
          <w:p w14:paraId="27185CC5" w14:textId="77777777" w:rsidR="007839AF" w:rsidRPr="009F4B75" w:rsidRDefault="007839AF" w:rsidP="00C02D67">
            <w:pPr>
              <w:jc w:val="both"/>
              <w:rPr>
                <w:rFonts w:ascii="Times New Roman" w:hAnsi="Times New Roman" w:cs="Times New Roman"/>
              </w:rPr>
            </w:pPr>
            <w:r w:rsidRPr="009F4B75">
              <w:rPr>
                <w:rFonts w:ascii="Times New Roman" w:hAnsi="Times New Roman" w:cs="Times New Roman"/>
                <w:i/>
              </w:rPr>
              <w:t>3 000 – 55 000 EUR</w:t>
            </w:r>
          </w:p>
        </w:tc>
      </w:tr>
      <w:tr w:rsidR="007839AF" w:rsidRPr="009F4B75" w14:paraId="6D9BDAD7" w14:textId="77777777" w:rsidTr="008F3BDE">
        <w:trPr>
          <w:trHeight w:val="624"/>
        </w:trPr>
        <w:tc>
          <w:tcPr>
            <w:tcW w:w="2127" w:type="dxa"/>
            <w:vMerge w:val="restart"/>
            <w:vAlign w:val="center"/>
          </w:tcPr>
          <w:p w14:paraId="151D2CAA"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1B472EEE"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43"/>
            </w:r>
          </w:p>
        </w:tc>
        <w:tc>
          <w:tcPr>
            <w:tcW w:w="1417" w:type="dxa"/>
            <w:vAlign w:val="center"/>
          </w:tcPr>
          <w:p w14:paraId="14E02AA5"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Spolu</w:t>
            </w:r>
          </w:p>
        </w:tc>
        <w:tc>
          <w:tcPr>
            <w:tcW w:w="1276" w:type="dxa"/>
            <w:vAlign w:val="center"/>
          </w:tcPr>
          <w:p w14:paraId="76D0A8AC"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EÚ</w:t>
            </w:r>
          </w:p>
        </w:tc>
        <w:tc>
          <w:tcPr>
            <w:tcW w:w="1276" w:type="dxa"/>
            <w:gridSpan w:val="2"/>
            <w:vAlign w:val="center"/>
          </w:tcPr>
          <w:p w14:paraId="3DE3B92F"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ŠR</w:t>
            </w:r>
          </w:p>
        </w:tc>
        <w:tc>
          <w:tcPr>
            <w:tcW w:w="1495" w:type="dxa"/>
            <w:gridSpan w:val="3"/>
            <w:vAlign w:val="center"/>
          </w:tcPr>
          <w:p w14:paraId="64440CB9"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VZ</w:t>
            </w:r>
          </w:p>
        </w:tc>
        <w:tc>
          <w:tcPr>
            <w:tcW w:w="937" w:type="dxa"/>
            <w:vAlign w:val="center"/>
          </w:tcPr>
          <w:p w14:paraId="21A90E71"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iné</w:t>
            </w:r>
          </w:p>
        </w:tc>
      </w:tr>
      <w:tr w:rsidR="007839AF" w:rsidRPr="009F4B75" w14:paraId="6761976A" w14:textId="77777777" w:rsidTr="008F3BDE">
        <w:trPr>
          <w:trHeight w:val="624"/>
        </w:trPr>
        <w:tc>
          <w:tcPr>
            <w:tcW w:w="2127" w:type="dxa"/>
            <w:vMerge/>
            <w:vAlign w:val="center"/>
          </w:tcPr>
          <w:p w14:paraId="0F27697D" w14:textId="77777777" w:rsidR="007839AF" w:rsidRPr="009F4B75" w:rsidRDefault="007839AF" w:rsidP="00C02D67">
            <w:pPr>
              <w:rPr>
                <w:rFonts w:ascii="Times New Roman" w:hAnsi="Times New Roman" w:cs="Times New Roman"/>
              </w:rPr>
            </w:pPr>
          </w:p>
        </w:tc>
        <w:tc>
          <w:tcPr>
            <w:tcW w:w="992" w:type="dxa"/>
            <w:vAlign w:val="center"/>
          </w:tcPr>
          <w:p w14:paraId="76068BCA"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 xml:space="preserve">MR </w:t>
            </w:r>
          </w:p>
        </w:tc>
        <w:tc>
          <w:tcPr>
            <w:tcW w:w="1417" w:type="dxa"/>
            <w:vAlign w:val="center"/>
          </w:tcPr>
          <w:p w14:paraId="742DCB1A"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306 790,91</w:t>
            </w:r>
          </w:p>
        </w:tc>
        <w:tc>
          <w:tcPr>
            <w:tcW w:w="1276" w:type="dxa"/>
            <w:vAlign w:val="center"/>
          </w:tcPr>
          <w:p w14:paraId="1BD59511"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168 735,00</w:t>
            </w:r>
          </w:p>
        </w:tc>
        <w:tc>
          <w:tcPr>
            <w:tcW w:w="1276" w:type="dxa"/>
            <w:gridSpan w:val="2"/>
            <w:vAlign w:val="center"/>
          </w:tcPr>
          <w:p w14:paraId="6BC460F3"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67C837D2"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138 055,91</w:t>
            </w:r>
          </w:p>
        </w:tc>
        <w:tc>
          <w:tcPr>
            <w:tcW w:w="937" w:type="dxa"/>
            <w:vAlign w:val="center"/>
          </w:tcPr>
          <w:p w14:paraId="071262B6"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594A9EB5" w14:textId="77777777" w:rsidTr="008F3BDE">
        <w:trPr>
          <w:trHeight w:val="624"/>
        </w:trPr>
        <w:tc>
          <w:tcPr>
            <w:tcW w:w="2127" w:type="dxa"/>
            <w:vMerge/>
            <w:vAlign w:val="center"/>
          </w:tcPr>
          <w:p w14:paraId="25FA994C" w14:textId="77777777" w:rsidR="007839AF" w:rsidRPr="009F4B75" w:rsidRDefault="007839AF" w:rsidP="00C02D67">
            <w:pPr>
              <w:rPr>
                <w:rFonts w:ascii="Times New Roman" w:hAnsi="Times New Roman" w:cs="Times New Roman"/>
              </w:rPr>
            </w:pPr>
          </w:p>
        </w:tc>
        <w:tc>
          <w:tcPr>
            <w:tcW w:w="992" w:type="dxa"/>
            <w:vAlign w:val="center"/>
          </w:tcPr>
          <w:p w14:paraId="19D7BFA5"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VR</w:t>
            </w:r>
          </w:p>
        </w:tc>
        <w:tc>
          <w:tcPr>
            <w:tcW w:w="1417" w:type="dxa"/>
            <w:vAlign w:val="center"/>
          </w:tcPr>
          <w:p w14:paraId="04DFD7EA"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276" w:type="dxa"/>
            <w:vAlign w:val="center"/>
          </w:tcPr>
          <w:p w14:paraId="1A6ADD9D"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276" w:type="dxa"/>
            <w:gridSpan w:val="2"/>
            <w:vAlign w:val="center"/>
          </w:tcPr>
          <w:p w14:paraId="10C48CF4"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5F6039F7"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937" w:type="dxa"/>
            <w:vAlign w:val="center"/>
          </w:tcPr>
          <w:p w14:paraId="099CA3F5"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1830BBA2" w14:textId="77777777" w:rsidTr="008F3BDE">
        <w:trPr>
          <w:trHeight w:val="624"/>
        </w:trPr>
        <w:tc>
          <w:tcPr>
            <w:tcW w:w="2127" w:type="dxa"/>
            <w:vMerge/>
            <w:vAlign w:val="center"/>
          </w:tcPr>
          <w:p w14:paraId="1EB76225" w14:textId="77777777" w:rsidR="007839AF" w:rsidRPr="009F4B75" w:rsidRDefault="007839AF" w:rsidP="00C02D67">
            <w:pPr>
              <w:rPr>
                <w:rFonts w:ascii="Times New Roman" w:hAnsi="Times New Roman" w:cs="Times New Roman"/>
              </w:rPr>
            </w:pPr>
          </w:p>
        </w:tc>
        <w:tc>
          <w:tcPr>
            <w:tcW w:w="992" w:type="dxa"/>
            <w:vAlign w:val="center"/>
          </w:tcPr>
          <w:p w14:paraId="7C3CD77D"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Spolu</w:t>
            </w:r>
          </w:p>
        </w:tc>
        <w:tc>
          <w:tcPr>
            <w:tcW w:w="1417" w:type="dxa"/>
            <w:vAlign w:val="center"/>
          </w:tcPr>
          <w:p w14:paraId="4523E380"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306 790,91</w:t>
            </w:r>
          </w:p>
        </w:tc>
        <w:tc>
          <w:tcPr>
            <w:tcW w:w="1276" w:type="dxa"/>
            <w:vAlign w:val="center"/>
          </w:tcPr>
          <w:p w14:paraId="0CDB808B"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168 735,00</w:t>
            </w:r>
          </w:p>
        </w:tc>
        <w:tc>
          <w:tcPr>
            <w:tcW w:w="1276" w:type="dxa"/>
            <w:gridSpan w:val="2"/>
            <w:vAlign w:val="center"/>
          </w:tcPr>
          <w:p w14:paraId="5BDEFC35"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147E6170"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138 055,91</w:t>
            </w:r>
          </w:p>
        </w:tc>
        <w:tc>
          <w:tcPr>
            <w:tcW w:w="937" w:type="dxa"/>
            <w:vAlign w:val="center"/>
          </w:tcPr>
          <w:p w14:paraId="4F6CB38B"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4F0DC488" w14:textId="77777777" w:rsidTr="008F3BDE">
        <w:trPr>
          <w:trHeight w:val="624"/>
        </w:trPr>
        <w:tc>
          <w:tcPr>
            <w:tcW w:w="2127" w:type="dxa"/>
            <w:vAlign w:val="center"/>
          </w:tcPr>
          <w:p w14:paraId="209AEB0E"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Princípy pre stanovenie výberových a </w:t>
            </w:r>
          </w:p>
          <w:p w14:paraId="72382A36"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hodnotiacich kritérií/Hlavné zásady výberu operácií</w:t>
            </w:r>
            <w:r w:rsidRPr="009F4B75">
              <w:rPr>
                <w:rStyle w:val="Odkaznapoznmkupodiarou"/>
                <w:rFonts w:ascii="Times New Roman" w:hAnsi="Times New Roman" w:cs="Times New Roman"/>
              </w:rPr>
              <w:footnoteReference w:id="44"/>
            </w:r>
          </w:p>
        </w:tc>
        <w:tc>
          <w:tcPr>
            <w:tcW w:w="7393" w:type="dxa"/>
            <w:gridSpan w:val="9"/>
            <w:vAlign w:val="center"/>
          </w:tcPr>
          <w:p w14:paraId="6FB8474F" w14:textId="77777777" w:rsidR="007839AF" w:rsidRPr="009F4B75" w:rsidRDefault="007839AF" w:rsidP="000414D6">
            <w:pPr>
              <w:rPr>
                <w:rFonts w:ascii="Times New Roman" w:hAnsi="Times New Roman" w:cs="Times New Roman"/>
                <w:i/>
              </w:rPr>
            </w:pPr>
            <w:r w:rsidRPr="009F4B75">
              <w:rPr>
                <w:rFonts w:ascii="Times New Roman" w:hAnsi="Times New Roman" w:cs="Times New Roman"/>
                <w:i/>
              </w:rPr>
              <w:t xml:space="preserve">v súlade s IROP, vlastné </w:t>
            </w:r>
          </w:p>
          <w:p w14:paraId="0B949EE8" w14:textId="77777777" w:rsidR="007839AF" w:rsidRPr="009F4B75" w:rsidRDefault="007839AF" w:rsidP="000414D6">
            <w:pPr>
              <w:spacing w:after="60"/>
              <w:rPr>
                <w:rFonts w:ascii="Times New Roman" w:hAnsi="Times New Roman" w:cs="Times New Roman"/>
                <w:b/>
                <w:i/>
                <w:sz w:val="24"/>
                <w:szCs w:val="24"/>
              </w:rPr>
            </w:pPr>
            <w:r w:rsidRPr="009F4B75">
              <w:rPr>
                <w:rFonts w:ascii="Times New Roman" w:hAnsi="Times New Roman" w:cs="Times New Roman"/>
                <w:b/>
                <w:i/>
                <w:sz w:val="24"/>
                <w:szCs w:val="24"/>
              </w:rPr>
              <w:t>Zvýhodňované budú nasledovné projekty:</w:t>
            </w:r>
          </w:p>
          <w:p w14:paraId="5FA0F1D6"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súvisiace s ekonomickým rozvojom, čiže jeho realizáciu sa vytvorí aspoň jedno pracovné miesto</w:t>
            </w:r>
          </w:p>
          <w:p w14:paraId="3C6A8A7D"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xml:space="preserve">- zohľadňujúce potreby marginalizovaných skupín obyvateľstva </w:t>
            </w:r>
          </w:p>
          <w:p w14:paraId="5E4FBEE4"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vykazujúce inovatívne znaky či využívanie inovatívnych prvkov príp. technológií najmä v oblasti ochrany životného prostredia alebo inovatívnych metód výučby</w:t>
            </w:r>
          </w:p>
          <w:p w14:paraId="345B16BB" w14:textId="77777777" w:rsidR="007839AF" w:rsidRPr="009F4B75" w:rsidRDefault="007839AF" w:rsidP="000414D6">
            <w:pPr>
              <w:spacing w:line="259" w:lineRule="auto"/>
              <w:contextualSpacing/>
              <w:jc w:val="both"/>
              <w:rPr>
                <w:rFonts w:ascii="Times New Roman" w:eastAsia="SimSun" w:hAnsi="Times New Roman" w:cs="Mangal"/>
                <w:i/>
                <w:kern w:val="3"/>
                <w:sz w:val="24"/>
                <w:szCs w:val="24"/>
                <w:lang w:eastAsia="zh-CN" w:bidi="hi-IN"/>
              </w:rPr>
            </w:pPr>
            <w:r w:rsidRPr="009F4B75">
              <w:rPr>
                <w:rFonts w:ascii="Times New Roman" w:hAnsi="Times New Roman" w:cs="Times New Roman"/>
                <w:i/>
                <w:sz w:val="24"/>
                <w:szCs w:val="24"/>
              </w:rPr>
              <w:t>- riešiace využitie OZE</w:t>
            </w:r>
            <w:r w:rsidRPr="009F4B75">
              <w:t xml:space="preserve"> </w:t>
            </w:r>
            <w:r w:rsidRPr="009F4B75">
              <w:rPr>
                <w:rFonts w:ascii="Times New Roman" w:hAnsi="Times New Roman" w:cs="Times New Roman"/>
                <w:i/>
                <w:sz w:val="24"/>
                <w:szCs w:val="24"/>
              </w:rPr>
              <w:t xml:space="preserve">alebo úspory energie </w:t>
            </w:r>
          </w:p>
          <w:p w14:paraId="2583DEF9" w14:textId="77777777" w:rsidR="007839AF" w:rsidRPr="009F4B75" w:rsidRDefault="007839AF" w:rsidP="000414D6">
            <w:pPr>
              <w:rPr>
                <w:rFonts w:ascii="Times New Roman" w:hAnsi="Times New Roman" w:cs="Times New Roman"/>
              </w:rPr>
            </w:pPr>
            <w:r w:rsidRPr="009F4B75">
              <w:rPr>
                <w:rFonts w:ascii="Times New Roman" w:hAnsi="Times New Roman" w:cs="Times New Roman"/>
                <w:i/>
                <w:sz w:val="24"/>
                <w:szCs w:val="24"/>
              </w:rPr>
              <w:t>- so znakmi integrovaného projektu</w:t>
            </w:r>
          </w:p>
        </w:tc>
      </w:tr>
      <w:tr w:rsidR="007839AF" w:rsidRPr="009F4B75" w14:paraId="65047D40" w14:textId="77777777" w:rsidTr="008F3BDE">
        <w:trPr>
          <w:trHeight w:val="624"/>
        </w:trPr>
        <w:tc>
          <w:tcPr>
            <w:tcW w:w="2127" w:type="dxa"/>
            <w:vAlign w:val="center"/>
          </w:tcPr>
          <w:p w14:paraId="5E397995"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Povinné prílohy stanovené MAS</w:t>
            </w:r>
            <w:r w:rsidRPr="009F4B75">
              <w:rPr>
                <w:rStyle w:val="Odkaznapoznmkupodiarou"/>
                <w:rFonts w:ascii="Times New Roman" w:hAnsi="Times New Roman" w:cs="Times New Roman"/>
              </w:rPr>
              <w:footnoteReference w:id="45"/>
            </w:r>
          </w:p>
        </w:tc>
        <w:tc>
          <w:tcPr>
            <w:tcW w:w="7393" w:type="dxa"/>
            <w:gridSpan w:val="9"/>
            <w:vAlign w:val="center"/>
          </w:tcPr>
          <w:p w14:paraId="5DFA43B6" w14:textId="77777777" w:rsidR="007839AF" w:rsidRPr="009F4B75" w:rsidRDefault="007839AF" w:rsidP="00C02D67">
            <w:pPr>
              <w:rPr>
                <w:rFonts w:ascii="Times New Roman" w:hAnsi="Times New Roman" w:cs="Times New Roman"/>
                <w:i/>
              </w:rPr>
            </w:pPr>
            <w:r w:rsidRPr="009F4B75">
              <w:rPr>
                <w:rFonts w:ascii="Times New Roman" w:hAnsi="Times New Roman" w:cs="Times New Roman"/>
                <w:i/>
              </w:rPr>
              <w:t>žiadne</w:t>
            </w:r>
          </w:p>
        </w:tc>
      </w:tr>
      <w:tr w:rsidR="007839AF" w:rsidRPr="009F4B75" w14:paraId="63491F69" w14:textId="77777777" w:rsidTr="008F3BDE">
        <w:trPr>
          <w:trHeight w:val="624"/>
        </w:trPr>
        <w:tc>
          <w:tcPr>
            <w:tcW w:w="2127" w:type="dxa"/>
            <w:vMerge w:val="restart"/>
            <w:vAlign w:val="center"/>
          </w:tcPr>
          <w:p w14:paraId="7845DBCF"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Merateľné ukazovatele projektu</w:t>
            </w:r>
          </w:p>
        </w:tc>
        <w:tc>
          <w:tcPr>
            <w:tcW w:w="992" w:type="dxa"/>
            <w:vAlign w:val="center"/>
          </w:tcPr>
          <w:p w14:paraId="2B0E930E"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Kód/ID</w:t>
            </w:r>
          </w:p>
        </w:tc>
        <w:tc>
          <w:tcPr>
            <w:tcW w:w="2855" w:type="dxa"/>
            <w:gridSpan w:val="3"/>
            <w:vAlign w:val="center"/>
          </w:tcPr>
          <w:p w14:paraId="692C477E"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Názov/Ukazovateľ</w:t>
            </w:r>
          </w:p>
        </w:tc>
        <w:tc>
          <w:tcPr>
            <w:tcW w:w="1155" w:type="dxa"/>
            <w:gridSpan w:val="2"/>
            <w:vAlign w:val="center"/>
          </w:tcPr>
          <w:p w14:paraId="62BF8A95"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Merná jednotka</w:t>
            </w:r>
          </w:p>
        </w:tc>
        <w:tc>
          <w:tcPr>
            <w:tcW w:w="1262" w:type="dxa"/>
            <w:vAlign w:val="center"/>
          </w:tcPr>
          <w:p w14:paraId="69345FDA"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Počiatočná hodnota</w:t>
            </w:r>
          </w:p>
        </w:tc>
        <w:tc>
          <w:tcPr>
            <w:tcW w:w="1129" w:type="dxa"/>
            <w:gridSpan w:val="2"/>
            <w:vAlign w:val="center"/>
          </w:tcPr>
          <w:p w14:paraId="194E135A"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Celková cieľová hodnota</w:t>
            </w:r>
          </w:p>
        </w:tc>
      </w:tr>
      <w:tr w:rsidR="007839AF" w:rsidRPr="009F4B75" w14:paraId="5E185F72" w14:textId="77777777" w:rsidTr="008F3BDE">
        <w:trPr>
          <w:trHeight w:val="624"/>
        </w:trPr>
        <w:tc>
          <w:tcPr>
            <w:tcW w:w="2127" w:type="dxa"/>
            <w:vMerge/>
            <w:vAlign w:val="center"/>
          </w:tcPr>
          <w:p w14:paraId="0746F66F" w14:textId="77777777" w:rsidR="007839AF" w:rsidRPr="009F4B75" w:rsidRDefault="007839AF" w:rsidP="00C02D67">
            <w:pPr>
              <w:spacing w:after="200" w:line="276" w:lineRule="auto"/>
              <w:rPr>
                <w:rFonts w:ascii="Times New Roman" w:hAnsi="Times New Roman" w:cs="Times New Roman"/>
              </w:rPr>
            </w:pPr>
          </w:p>
        </w:tc>
        <w:tc>
          <w:tcPr>
            <w:tcW w:w="992" w:type="dxa"/>
            <w:vAlign w:val="center"/>
          </w:tcPr>
          <w:p w14:paraId="4868BA65" w14:textId="77777777" w:rsidR="007839AF" w:rsidRPr="009F4B75" w:rsidRDefault="007839AF" w:rsidP="008F3BDE">
            <w:pPr>
              <w:spacing w:after="200" w:line="276" w:lineRule="auto"/>
              <w:jc w:val="center"/>
              <w:rPr>
                <w:rFonts w:ascii="Times New Roman" w:hAnsi="Times New Roman" w:cs="Times New Roman"/>
              </w:rPr>
            </w:pPr>
            <w:r w:rsidRPr="009F4B75">
              <w:rPr>
                <w:rFonts w:ascii="Times New Roman" w:hAnsi="Times New Roman" w:cs="Times New Roman"/>
              </w:rPr>
              <w:t>5.1.1</w:t>
            </w:r>
          </w:p>
        </w:tc>
        <w:tc>
          <w:tcPr>
            <w:tcW w:w="2855" w:type="dxa"/>
            <w:gridSpan w:val="3"/>
            <w:vAlign w:val="center"/>
          </w:tcPr>
          <w:p w14:paraId="74C385C3" w14:textId="77777777" w:rsidR="007839AF" w:rsidRPr="009F4B75" w:rsidRDefault="007839AF" w:rsidP="008F3BDE">
            <w:pPr>
              <w:spacing w:after="60" w:line="276" w:lineRule="auto"/>
              <w:rPr>
                <w:rFonts w:ascii="Times New Roman" w:hAnsi="Times New Roman" w:cs="Times New Roman"/>
              </w:rPr>
            </w:pPr>
            <w:r w:rsidRPr="009F4B75">
              <w:rPr>
                <w:rFonts w:ascii="Times New Roman" w:hAnsi="Times New Roman" w:cs="Times New Roman"/>
              </w:rPr>
              <w:t>Celkový objem preinvestovaných finančných prostriedkov na opatrenie</w:t>
            </w:r>
          </w:p>
        </w:tc>
        <w:tc>
          <w:tcPr>
            <w:tcW w:w="1155" w:type="dxa"/>
            <w:gridSpan w:val="2"/>
            <w:vAlign w:val="center"/>
          </w:tcPr>
          <w:p w14:paraId="0BEF7836" w14:textId="77777777" w:rsidR="007839AF" w:rsidRPr="009F4B75" w:rsidRDefault="007839AF" w:rsidP="008F3BDE">
            <w:pPr>
              <w:spacing w:after="200" w:line="276" w:lineRule="auto"/>
              <w:jc w:val="center"/>
              <w:rPr>
                <w:rFonts w:ascii="Times New Roman" w:hAnsi="Times New Roman" w:cs="Times New Roman"/>
              </w:rPr>
            </w:pPr>
            <w:r w:rsidRPr="009F4B75">
              <w:rPr>
                <w:rFonts w:ascii="Times New Roman" w:hAnsi="Times New Roman" w:cs="Times New Roman"/>
              </w:rPr>
              <w:t>EUR</w:t>
            </w:r>
          </w:p>
        </w:tc>
        <w:tc>
          <w:tcPr>
            <w:tcW w:w="1262" w:type="dxa"/>
            <w:vAlign w:val="center"/>
          </w:tcPr>
          <w:p w14:paraId="7CE37885" w14:textId="77777777" w:rsidR="007839AF" w:rsidRPr="009F4B75" w:rsidRDefault="007839AF" w:rsidP="008F3BDE">
            <w:pPr>
              <w:spacing w:after="200" w:line="276" w:lineRule="auto"/>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3D937C67" w14:textId="77777777" w:rsidR="007839AF" w:rsidRPr="009F4B75" w:rsidRDefault="007839AF" w:rsidP="00C02D67">
            <w:pPr>
              <w:spacing w:after="200" w:line="276" w:lineRule="auto"/>
              <w:jc w:val="right"/>
              <w:rPr>
                <w:rFonts w:ascii="Times New Roman" w:hAnsi="Times New Roman" w:cs="Times New Roman"/>
                <w:i/>
              </w:rPr>
            </w:pPr>
            <w:r w:rsidRPr="009F4B75">
              <w:rPr>
                <w:rFonts w:ascii="Times New Roman" w:hAnsi="Times New Roman" w:cs="Times New Roman"/>
                <w:i/>
              </w:rPr>
              <w:t>306</w:t>
            </w:r>
            <w:r w:rsidR="00B23F58" w:rsidRPr="009F4B75">
              <w:rPr>
                <w:rFonts w:ascii="Times New Roman" w:hAnsi="Times New Roman" w:cs="Times New Roman"/>
                <w:i/>
              </w:rPr>
              <w:t> </w:t>
            </w:r>
            <w:r w:rsidRPr="009F4B75">
              <w:rPr>
                <w:rFonts w:ascii="Times New Roman" w:hAnsi="Times New Roman" w:cs="Times New Roman"/>
                <w:i/>
              </w:rPr>
              <w:t>790</w:t>
            </w:r>
            <w:r w:rsidR="00B23F58" w:rsidRPr="009F4B75">
              <w:rPr>
                <w:rFonts w:ascii="Times New Roman" w:hAnsi="Times New Roman" w:cs="Times New Roman"/>
                <w:i/>
              </w:rPr>
              <w:t>,91</w:t>
            </w:r>
          </w:p>
        </w:tc>
      </w:tr>
      <w:tr w:rsidR="007839AF" w:rsidRPr="009F4B75" w14:paraId="4D331177" w14:textId="77777777" w:rsidTr="008F3BDE">
        <w:trPr>
          <w:trHeight w:val="624"/>
        </w:trPr>
        <w:tc>
          <w:tcPr>
            <w:tcW w:w="2127" w:type="dxa"/>
            <w:vAlign w:val="center"/>
          </w:tcPr>
          <w:p w14:paraId="6812850F"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Indikatívny harmonogram výziev</w:t>
            </w:r>
          </w:p>
        </w:tc>
        <w:tc>
          <w:tcPr>
            <w:tcW w:w="7393" w:type="dxa"/>
            <w:gridSpan w:val="9"/>
          </w:tcPr>
          <w:p w14:paraId="298778D3" w14:textId="77777777" w:rsidR="007839AF" w:rsidRPr="009F4B75" w:rsidRDefault="007839AF" w:rsidP="00C02D67">
            <w:pPr>
              <w:jc w:val="both"/>
              <w:rPr>
                <w:rFonts w:ascii="Times New Roman" w:hAnsi="Times New Roman" w:cs="Times New Roman"/>
              </w:rPr>
            </w:pPr>
            <w:r w:rsidRPr="009F4B75">
              <w:rPr>
                <w:rFonts w:ascii="Times New Roman" w:hAnsi="Times New Roman" w:cs="Times New Roman"/>
              </w:rPr>
              <w:t>Január 2019</w:t>
            </w:r>
          </w:p>
        </w:tc>
      </w:tr>
    </w:tbl>
    <w:p w14:paraId="3B31E1C4" w14:textId="77777777" w:rsidR="00C02D67" w:rsidRDefault="00C02D67" w:rsidP="00362E8C">
      <w:pPr>
        <w:spacing w:after="60" w:line="312" w:lineRule="auto"/>
        <w:rPr>
          <w:rFonts w:ascii="Times New Roman" w:hAnsi="Times New Roman" w:cs="Times New Roman"/>
          <w:b/>
          <w:sz w:val="18"/>
          <w:szCs w:val="18"/>
        </w:rPr>
      </w:pPr>
    </w:p>
    <w:p w14:paraId="03AEE663"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J</w:t>
      </w:r>
      <w:r w:rsidRPr="008951E2">
        <w:rPr>
          <w:rFonts w:ascii="Times New Roman" w:hAnsi="Times New Roman" w:cs="Times New Roman"/>
          <w:b/>
          <w:sz w:val="20"/>
          <w:szCs w:val="20"/>
        </w:rPr>
        <w:t xml:space="preserve"> Opatrenie stratégie CLLD 3.4</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C02D67" w:rsidRPr="009F4B75" w14:paraId="36942770" w14:textId="77777777" w:rsidTr="008F3BDE">
        <w:trPr>
          <w:trHeight w:val="624"/>
        </w:trPr>
        <w:tc>
          <w:tcPr>
            <w:tcW w:w="2127" w:type="dxa"/>
            <w:vAlign w:val="center"/>
          </w:tcPr>
          <w:p w14:paraId="67C910B2"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lastRenderedPageBreak/>
              <w:t xml:space="preserve">Názov opatrenia </w:t>
            </w:r>
          </w:p>
        </w:tc>
        <w:tc>
          <w:tcPr>
            <w:tcW w:w="7393" w:type="dxa"/>
            <w:gridSpan w:val="9"/>
          </w:tcPr>
          <w:p w14:paraId="2792675D" w14:textId="77777777" w:rsidR="00C02D67" w:rsidRPr="009F4B75" w:rsidRDefault="000414D6" w:rsidP="00C02D67">
            <w:pPr>
              <w:rPr>
                <w:rFonts w:ascii="Times New Roman" w:hAnsi="Times New Roman" w:cs="Times New Roman"/>
              </w:rPr>
            </w:pPr>
            <w:r w:rsidRPr="009F4B75">
              <w:rPr>
                <w:rFonts w:ascii="Times New Roman" w:hAnsi="Times New Roman" w:cs="Times New Roman"/>
                <w:b/>
                <w:sz w:val="24"/>
                <w:szCs w:val="24"/>
              </w:rPr>
              <w:t>3.4 Kvalitné služby na vidieku</w:t>
            </w:r>
          </w:p>
        </w:tc>
      </w:tr>
      <w:tr w:rsidR="00C02D67" w:rsidRPr="009F4B75" w14:paraId="4B981F1D" w14:textId="77777777" w:rsidTr="008F3BDE">
        <w:trPr>
          <w:trHeight w:val="624"/>
        </w:trPr>
        <w:tc>
          <w:tcPr>
            <w:tcW w:w="2127" w:type="dxa"/>
            <w:vAlign w:val="center"/>
          </w:tcPr>
          <w:p w14:paraId="6CB9C68E"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t>Priradenie kódu opatrenia</w:t>
            </w:r>
            <w:r w:rsidRPr="009F4B75">
              <w:rPr>
                <w:rStyle w:val="Odkaznapoznmkupodiarou"/>
                <w:rFonts w:ascii="Times New Roman" w:hAnsi="Times New Roman" w:cs="Times New Roman"/>
              </w:rPr>
              <w:footnoteReference w:id="46"/>
            </w:r>
            <w:r w:rsidRPr="009F4B75">
              <w:rPr>
                <w:rFonts w:ascii="Times New Roman" w:hAnsi="Times New Roman" w:cs="Times New Roman"/>
              </w:rPr>
              <w:t xml:space="preserve"> </w:t>
            </w:r>
          </w:p>
        </w:tc>
        <w:tc>
          <w:tcPr>
            <w:tcW w:w="7393" w:type="dxa"/>
            <w:gridSpan w:val="9"/>
          </w:tcPr>
          <w:p w14:paraId="2E0331BE" w14:textId="77777777" w:rsidR="00C02D67" w:rsidRPr="009F4B75" w:rsidRDefault="00D84C0F" w:rsidP="00C02D67">
            <w:pPr>
              <w:rPr>
                <w:rFonts w:ascii="Times New Roman" w:hAnsi="Times New Roman" w:cs="Times New Roman"/>
              </w:rPr>
            </w:pPr>
            <w:r w:rsidRPr="009F4B75">
              <w:rPr>
                <w:rFonts w:ascii="Times New Roman" w:hAnsi="Times New Roman" w:cs="Times New Roman"/>
              </w:rPr>
              <w:t>-</w:t>
            </w:r>
          </w:p>
        </w:tc>
      </w:tr>
      <w:tr w:rsidR="00C02D67" w:rsidRPr="009F4B75" w14:paraId="273660E4" w14:textId="77777777" w:rsidTr="008F3BDE">
        <w:trPr>
          <w:trHeight w:val="624"/>
        </w:trPr>
        <w:tc>
          <w:tcPr>
            <w:tcW w:w="2127" w:type="dxa"/>
            <w:vAlign w:val="center"/>
          </w:tcPr>
          <w:p w14:paraId="25EE7441" w14:textId="77777777" w:rsidR="00C02D67" w:rsidRPr="009F4B75" w:rsidRDefault="00C02D67" w:rsidP="00C02D67">
            <w:pPr>
              <w:rPr>
                <w:rFonts w:ascii="Times New Roman" w:hAnsi="Times New Roman" w:cs="Times New Roman"/>
              </w:rPr>
            </w:pPr>
            <w:r w:rsidRPr="009F4B75">
              <w:rPr>
                <w:rFonts w:ascii="Times New Roman" w:hAnsi="Times New Roman" w:cs="Times New Roman"/>
              </w:rPr>
              <w:t>Priradenie k fokusovej oblasti PRV/ŠC IROP</w:t>
            </w:r>
          </w:p>
        </w:tc>
        <w:tc>
          <w:tcPr>
            <w:tcW w:w="7393" w:type="dxa"/>
            <w:gridSpan w:val="9"/>
          </w:tcPr>
          <w:p w14:paraId="47EE977D" w14:textId="77777777" w:rsidR="00C02D67" w:rsidRPr="009F4B75" w:rsidRDefault="000414D6" w:rsidP="00C02D67">
            <w:pPr>
              <w:rPr>
                <w:rFonts w:ascii="Times New Roman" w:hAnsi="Times New Roman" w:cs="Times New Roman"/>
              </w:rPr>
            </w:pPr>
            <w:r w:rsidRPr="009F4B75">
              <w:rPr>
                <w:rFonts w:ascii="Times New Roman" w:hAnsi="Times New Roman" w:cs="Times New Roman"/>
                <w:i/>
                <w:sz w:val="24"/>
                <w:szCs w:val="24"/>
              </w:rPr>
              <w:t>5.1.1 Zvýšenie zamestnanosti na miestnej úrovni podporou podnikania a inovácií</w:t>
            </w:r>
          </w:p>
        </w:tc>
      </w:tr>
      <w:tr w:rsidR="007839AF" w:rsidRPr="009F4B75" w14:paraId="02933349" w14:textId="77777777" w:rsidTr="008F3BDE">
        <w:trPr>
          <w:trHeight w:val="624"/>
        </w:trPr>
        <w:tc>
          <w:tcPr>
            <w:tcW w:w="2127" w:type="dxa"/>
            <w:vAlign w:val="center"/>
          </w:tcPr>
          <w:p w14:paraId="6C2FD36E"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 xml:space="preserve">Ciele opatrenia </w:t>
            </w:r>
          </w:p>
        </w:tc>
        <w:tc>
          <w:tcPr>
            <w:tcW w:w="7393" w:type="dxa"/>
            <w:gridSpan w:val="9"/>
            <w:vAlign w:val="center"/>
          </w:tcPr>
          <w:p w14:paraId="01CF238B" w14:textId="77777777" w:rsidR="007839AF" w:rsidRPr="009F4B75" w:rsidRDefault="00D313CC" w:rsidP="00C02D67">
            <w:pPr>
              <w:jc w:val="both"/>
              <w:rPr>
                <w:rFonts w:ascii="Times New Roman" w:hAnsi="Times New Roman" w:cs="Times New Roman"/>
                <w:i/>
                <w:sz w:val="18"/>
                <w:szCs w:val="18"/>
              </w:rPr>
            </w:pPr>
            <w:r w:rsidRPr="009F4B75">
              <w:rPr>
                <w:rFonts w:ascii="Times New Roman" w:hAnsi="Times New Roman" w:cs="Times New Roman"/>
                <w:i/>
                <w:sz w:val="24"/>
                <w:szCs w:val="24"/>
              </w:rPr>
              <w:t xml:space="preserve">Cieľom je zvýšiť a udržať pracovné miesta skvalitnením poskytovaných služieb v mikro a malých podnikoch. </w:t>
            </w:r>
            <w:r w:rsidR="007839AF" w:rsidRPr="009F4B75">
              <w:rPr>
                <w:rFonts w:ascii="Times New Roman" w:hAnsi="Times New Roman" w:cs="Times New Roman"/>
                <w:i/>
                <w:sz w:val="24"/>
                <w:szCs w:val="24"/>
              </w:rPr>
              <w:t xml:space="preserve">Opatrenie prispieva k naplneniu Špecifického cieľa: Vytvoriť kvalitné podmienky pre rozvoj podnikania </w:t>
            </w:r>
            <w:r w:rsidR="007839AF" w:rsidRPr="009F4B75">
              <w:rPr>
                <w:rFonts w:ascii="Times New Roman" w:hAnsi="Times New Roman" w:cs="Times New Roman"/>
                <w:bCs/>
                <w:i/>
                <w:sz w:val="24"/>
                <w:szCs w:val="24"/>
              </w:rPr>
              <w:t>a zamestnanosti</w:t>
            </w:r>
            <w:r w:rsidR="007839AF" w:rsidRPr="009F4B75">
              <w:rPr>
                <w:rFonts w:ascii="Times New Roman" w:hAnsi="Times New Roman" w:cs="Times New Roman"/>
                <w:i/>
                <w:sz w:val="24"/>
                <w:szCs w:val="24"/>
              </w:rPr>
              <w:t>.</w:t>
            </w:r>
          </w:p>
        </w:tc>
      </w:tr>
      <w:tr w:rsidR="007839AF" w:rsidRPr="009F4B75" w14:paraId="006C6921" w14:textId="77777777" w:rsidTr="008F3BDE">
        <w:trPr>
          <w:trHeight w:val="624"/>
        </w:trPr>
        <w:tc>
          <w:tcPr>
            <w:tcW w:w="2127" w:type="dxa"/>
            <w:vAlign w:val="center"/>
          </w:tcPr>
          <w:p w14:paraId="64233C4E"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Zdôvodnenie výberu</w:t>
            </w:r>
          </w:p>
        </w:tc>
        <w:tc>
          <w:tcPr>
            <w:tcW w:w="7393" w:type="dxa"/>
            <w:gridSpan w:val="9"/>
            <w:vAlign w:val="center"/>
          </w:tcPr>
          <w:p w14:paraId="36CD636F" w14:textId="77777777" w:rsidR="007839AF" w:rsidRPr="009F4B75" w:rsidRDefault="007839AF" w:rsidP="00C02D67">
            <w:pPr>
              <w:jc w:val="both"/>
              <w:rPr>
                <w:rFonts w:ascii="Times New Roman" w:hAnsi="Times New Roman" w:cs="Times New Roman"/>
                <w:i/>
              </w:rPr>
            </w:pPr>
            <w:r w:rsidRPr="009F4B75">
              <w:rPr>
                <w:rFonts w:ascii="Times New Roman" w:hAnsi="Times New Roman" w:cs="Times New Roman"/>
                <w:i/>
                <w:sz w:val="24"/>
                <w:szCs w:val="24"/>
              </w:rPr>
              <w:t>Opatrenie reflektuje na potreby identifikované v oblasti Hospodárstvo a Ľudské zdroje a sekundárne aj Životné prostredie v rámci Identifikácie potrieb.</w:t>
            </w:r>
            <w:r w:rsidR="00D313CC" w:rsidRPr="009F4B75">
              <w:rPr>
                <w:rFonts w:ascii="Times New Roman" w:hAnsi="Times New Roman" w:cs="Times New Roman"/>
                <w:i/>
                <w:sz w:val="24"/>
                <w:szCs w:val="24"/>
              </w:rPr>
              <w:t xml:space="preserve"> Opatrenie prispieva k naplneniu strategického cieľa najmä Zvýšiť prosperitu prostredníctvom kvalitného podnikateľského prostredia. Zameriava sa na podporu mikro a malých podnikov a ich investícii do výstavby, rekonštrukcie a modernizácie prevádzok na skvalitnenie služby. Opatrenie kladie dôraz na tvorbu a udržanie pracovných miest priamo v regióne.</w:t>
            </w:r>
          </w:p>
        </w:tc>
      </w:tr>
      <w:tr w:rsidR="007839AF" w:rsidRPr="009F4B75" w14:paraId="554BC99C" w14:textId="77777777" w:rsidTr="008F3BDE">
        <w:trPr>
          <w:trHeight w:val="624"/>
        </w:trPr>
        <w:tc>
          <w:tcPr>
            <w:tcW w:w="2127" w:type="dxa"/>
            <w:vAlign w:val="center"/>
          </w:tcPr>
          <w:p w14:paraId="5A09B542"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9"/>
            <w:vAlign w:val="center"/>
          </w:tcPr>
          <w:p w14:paraId="417B8D81" w14:textId="77777777" w:rsidR="007839AF" w:rsidRPr="009F4B75" w:rsidRDefault="007839AF"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1. Zakladanie nových a podpora existujúcich mikro a malých podnikov, samostatne zárobkovo činných osôb, družstiev:</w:t>
            </w:r>
          </w:p>
          <w:p w14:paraId="3BF05BB7" w14:textId="77777777" w:rsidR="007839AF" w:rsidRPr="009F4B75" w:rsidRDefault="007839AF" w:rsidP="007839AF">
            <w:pPr>
              <w:numPr>
                <w:ilvl w:val="0"/>
                <w:numId w:val="30"/>
              </w:numPr>
              <w:spacing w:after="60"/>
              <w:rPr>
                <w:rFonts w:ascii="Times New Roman" w:hAnsi="Times New Roman" w:cs="Times New Roman"/>
                <w:i/>
                <w:sz w:val="24"/>
                <w:szCs w:val="24"/>
              </w:rPr>
            </w:pPr>
            <w:r w:rsidRPr="009F4B75">
              <w:rPr>
                <w:rFonts w:ascii="Times New Roman" w:hAnsi="Times New Roman" w:cs="Times New Roman"/>
                <w:i/>
                <w:sz w:val="24"/>
                <w:szCs w:val="24"/>
              </w:rPr>
              <w:t>obstaranie hmotného majetku pre účely tvorby  pracovných miest</w:t>
            </w:r>
          </w:p>
          <w:p w14:paraId="0EFB4AC2" w14:textId="77777777" w:rsidR="007839AF" w:rsidRPr="009F4B75" w:rsidRDefault="007839AF" w:rsidP="007839AF">
            <w:pPr>
              <w:numPr>
                <w:ilvl w:val="0"/>
                <w:numId w:val="30"/>
              </w:numPr>
              <w:spacing w:after="60"/>
              <w:rPr>
                <w:rFonts w:ascii="Times New Roman" w:hAnsi="Times New Roman" w:cs="Times New Roman"/>
                <w:i/>
                <w:sz w:val="24"/>
                <w:szCs w:val="24"/>
              </w:rPr>
            </w:pPr>
            <w:r w:rsidRPr="009F4B75">
              <w:rPr>
                <w:rFonts w:ascii="Times New Roman" w:hAnsi="Times New Roman" w:cs="Times New Roman"/>
                <w:i/>
                <w:sz w:val="24"/>
                <w:szCs w:val="24"/>
              </w:rPr>
              <w:t>nutné stavebnotechnické úpravy budov spojené s umiestnením obstaranej technológie a/alebo s poskytovaním nových služieb</w:t>
            </w:r>
            <w:r w:rsidRPr="009F4B75">
              <w:rPr>
                <w:rFonts w:ascii="Arial Narrow" w:hAnsi="Arial Narrow"/>
                <w:sz w:val="16"/>
                <w:szCs w:val="16"/>
              </w:rPr>
              <w:t xml:space="preserve"> </w:t>
            </w:r>
          </w:p>
          <w:p w14:paraId="596FAEB2" w14:textId="77777777" w:rsidR="007839AF" w:rsidRPr="009F4B75" w:rsidRDefault="007839AF" w:rsidP="007839AF">
            <w:pPr>
              <w:numPr>
                <w:ilvl w:val="0"/>
                <w:numId w:val="30"/>
              </w:numPr>
              <w:spacing w:after="60"/>
              <w:rPr>
                <w:rFonts w:ascii="Times New Roman" w:hAnsi="Times New Roman" w:cs="Times New Roman"/>
                <w:i/>
                <w:sz w:val="24"/>
                <w:szCs w:val="24"/>
              </w:rPr>
            </w:pPr>
            <w:r w:rsidRPr="009F4B75">
              <w:rPr>
                <w:rFonts w:ascii="Times New Roman" w:hAnsi="Times New Roman" w:cs="Times New Roman"/>
                <w:i/>
                <w:sz w:val="24"/>
                <w:szCs w:val="24"/>
              </w:rPr>
              <w:t>podpora marketingových aktivít</w:t>
            </w:r>
          </w:p>
          <w:p w14:paraId="2C8DC1AD" w14:textId="77777777" w:rsidR="007839AF" w:rsidRPr="009F4B75" w:rsidRDefault="007839AF" w:rsidP="00C02D67">
            <w:pPr>
              <w:jc w:val="both"/>
              <w:rPr>
                <w:rFonts w:ascii="Times New Roman" w:hAnsi="Times New Roman" w:cs="Times New Roman"/>
                <w:i/>
              </w:rPr>
            </w:pPr>
            <w:r w:rsidRPr="009F4B75">
              <w:rPr>
                <w:rFonts w:ascii="Times New Roman" w:hAnsi="Times New Roman" w:cs="Times New Roman"/>
                <w:i/>
                <w:sz w:val="24"/>
                <w:szCs w:val="24"/>
              </w:rPr>
              <w:t>podpora miestnych produkčno-spotrebiteľských reťazcov, sieťovanie na úrovni miestnej ekonomiky a výmena skúseností</w:t>
            </w:r>
          </w:p>
        </w:tc>
      </w:tr>
      <w:tr w:rsidR="007839AF" w:rsidRPr="009F4B75" w14:paraId="17403CFA" w14:textId="77777777" w:rsidTr="008F3BDE">
        <w:trPr>
          <w:trHeight w:val="624"/>
        </w:trPr>
        <w:tc>
          <w:tcPr>
            <w:tcW w:w="2127" w:type="dxa"/>
            <w:vAlign w:val="center"/>
          </w:tcPr>
          <w:p w14:paraId="5782559D"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Oprávnení prijímatelia</w:t>
            </w:r>
          </w:p>
        </w:tc>
        <w:tc>
          <w:tcPr>
            <w:tcW w:w="7393" w:type="dxa"/>
            <w:gridSpan w:val="9"/>
            <w:vAlign w:val="center"/>
          </w:tcPr>
          <w:p w14:paraId="3E1B501C" w14:textId="77777777" w:rsidR="007839AF" w:rsidRPr="009F4B75" w:rsidRDefault="007839AF" w:rsidP="000414D6">
            <w:pPr>
              <w:spacing w:after="60"/>
              <w:rPr>
                <w:rFonts w:ascii="Times New Roman" w:hAnsi="Times New Roman" w:cs="Times New Roman"/>
                <w:i/>
                <w:sz w:val="24"/>
                <w:szCs w:val="24"/>
              </w:rPr>
            </w:pPr>
            <w:r w:rsidRPr="009F4B75">
              <w:rPr>
                <w:rFonts w:ascii="Times New Roman" w:hAnsi="Times New Roman" w:cs="Times New Roman"/>
                <w:i/>
                <w:sz w:val="24"/>
                <w:szCs w:val="24"/>
              </w:rPr>
              <w:t>- samostatne zárobkovo činné osoby, okrem tých, ktoré sú oprávnenými prijímateľmi z PRV v opatrení LEADER a oprávnenými prijímateľmi z OP RH,</w:t>
            </w:r>
          </w:p>
          <w:p w14:paraId="38DD277A" w14:textId="77777777" w:rsidR="007839AF" w:rsidRPr="009F4B75" w:rsidRDefault="007839AF" w:rsidP="000414D6">
            <w:pPr>
              <w:jc w:val="both"/>
              <w:rPr>
                <w:rFonts w:ascii="Times New Roman" w:hAnsi="Times New Roman" w:cs="Times New Roman"/>
              </w:rPr>
            </w:pPr>
            <w:r w:rsidRPr="009F4B75">
              <w:rPr>
                <w:rFonts w:ascii="Times New Roman" w:hAnsi="Times New Roman" w:cs="Times New Roman"/>
                <w:i/>
                <w:sz w:val="24"/>
                <w:szCs w:val="24"/>
              </w:rPr>
              <w:t>- mikro a malé podniky s počtom do 49 zamestnancov, okrem tých, ktoré sú oprávnenými prijímateľmi z PRV v opatrení LEADER a oprávnenými prijímateľmi z OP RH,</w:t>
            </w:r>
          </w:p>
        </w:tc>
      </w:tr>
      <w:tr w:rsidR="007839AF" w:rsidRPr="009F4B75" w14:paraId="431E199A" w14:textId="77777777" w:rsidTr="008F3BDE">
        <w:trPr>
          <w:trHeight w:val="624"/>
        </w:trPr>
        <w:tc>
          <w:tcPr>
            <w:tcW w:w="2127" w:type="dxa"/>
            <w:vAlign w:val="center"/>
          </w:tcPr>
          <w:p w14:paraId="16700B81"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 xml:space="preserve">Intenzita pomoci </w:t>
            </w:r>
            <w:r w:rsidRPr="009F4B75">
              <w:rPr>
                <w:rStyle w:val="Odkaznapoznmkupodiarou"/>
                <w:rFonts w:ascii="Times New Roman" w:hAnsi="Times New Roman" w:cs="Times New Roman"/>
              </w:rPr>
              <w:footnoteReference w:id="47"/>
            </w:r>
          </w:p>
        </w:tc>
        <w:tc>
          <w:tcPr>
            <w:tcW w:w="7393" w:type="dxa"/>
            <w:gridSpan w:val="9"/>
            <w:vAlign w:val="center"/>
          </w:tcPr>
          <w:p w14:paraId="63760EAE" w14:textId="77777777" w:rsidR="007839AF" w:rsidRPr="009F4B75" w:rsidRDefault="007839AF" w:rsidP="00C02D67">
            <w:pPr>
              <w:jc w:val="both"/>
              <w:rPr>
                <w:rFonts w:ascii="Times New Roman" w:hAnsi="Times New Roman" w:cs="Times New Roman"/>
              </w:rPr>
            </w:pPr>
            <w:r w:rsidRPr="009F4B75">
              <w:rPr>
                <w:rFonts w:ascii="Times New Roman" w:hAnsi="Times New Roman" w:cs="Times New Roman"/>
                <w:i/>
              </w:rPr>
              <w:t>55 %</w:t>
            </w:r>
          </w:p>
        </w:tc>
      </w:tr>
      <w:tr w:rsidR="007839AF" w:rsidRPr="009F4B75" w14:paraId="1896C00A" w14:textId="77777777" w:rsidTr="008F3BDE">
        <w:trPr>
          <w:trHeight w:val="624"/>
        </w:trPr>
        <w:tc>
          <w:tcPr>
            <w:tcW w:w="2127" w:type="dxa"/>
            <w:vAlign w:val="center"/>
          </w:tcPr>
          <w:p w14:paraId="74C91477"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Oprávnené výdavky</w:t>
            </w:r>
          </w:p>
        </w:tc>
        <w:tc>
          <w:tcPr>
            <w:tcW w:w="7393" w:type="dxa"/>
            <w:gridSpan w:val="9"/>
            <w:vAlign w:val="center"/>
          </w:tcPr>
          <w:p w14:paraId="61230C2B" w14:textId="77777777" w:rsidR="007839AF" w:rsidRPr="009F4B75" w:rsidRDefault="007839AF" w:rsidP="000414D6">
            <w:pPr>
              <w:jc w:val="both"/>
              <w:rPr>
                <w:rFonts w:ascii="Times New Roman" w:hAnsi="Times New Roman" w:cs="Times New Roman"/>
              </w:rPr>
            </w:pPr>
            <w:r w:rsidRPr="009F4B75">
              <w:rPr>
                <w:rFonts w:ascii="Times New Roman" w:hAnsi="Times New Roman" w:cs="Times New Roman"/>
                <w:i/>
              </w:rPr>
              <w:t>v súlade s IROP</w:t>
            </w:r>
          </w:p>
        </w:tc>
      </w:tr>
      <w:tr w:rsidR="007839AF" w:rsidRPr="009F4B75" w14:paraId="4BFB7369" w14:textId="77777777" w:rsidTr="008F3BDE">
        <w:trPr>
          <w:trHeight w:val="624"/>
        </w:trPr>
        <w:tc>
          <w:tcPr>
            <w:tcW w:w="2127" w:type="dxa"/>
            <w:vAlign w:val="center"/>
          </w:tcPr>
          <w:p w14:paraId="6A52011E"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Výška príspevku (minimálna a maximálna)</w:t>
            </w:r>
          </w:p>
        </w:tc>
        <w:tc>
          <w:tcPr>
            <w:tcW w:w="7393" w:type="dxa"/>
            <w:gridSpan w:val="9"/>
            <w:vAlign w:val="center"/>
          </w:tcPr>
          <w:p w14:paraId="6701D2A8" w14:textId="77777777" w:rsidR="007839AF" w:rsidRPr="009F4B75" w:rsidRDefault="007839AF" w:rsidP="00C02D67">
            <w:pPr>
              <w:jc w:val="both"/>
              <w:rPr>
                <w:rFonts w:ascii="Times New Roman" w:hAnsi="Times New Roman" w:cs="Times New Roman"/>
              </w:rPr>
            </w:pPr>
            <w:r w:rsidRPr="009F4B75">
              <w:rPr>
                <w:rFonts w:ascii="Times New Roman" w:hAnsi="Times New Roman" w:cs="Times New Roman"/>
                <w:i/>
              </w:rPr>
              <w:t>3 000 – 55 000 EUR</w:t>
            </w:r>
          </w:p>
        </w:tc>
      </w:tr>
      <w:tr w:rsidR="007839AF" w:rsidRPr="009F4B75" w14:paraId="41259978" w14:textId="77777777" w:rsidTr="008F3BDE">
        <w:trPr>
          <w:trHeight w:val="624"/>
        </w:trPr>
        <w:tc>
          <w:tcPr>
            <w:tcW w:w="2127" w:type="dxa"/>
            <w:vMerge w:val="restart"/>
            <w:vAlign w:val="center"/>
          </w:tcPr>
          <w:p w14:paraId="08877111"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4F095E8F"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48"/>
            </w:r>
          </w:p>
        </w:tc>
        <w:tc>
          <w:tcPr>
            <w:tcW w:w="1417" w:type="dxa"/>
            <w:vAlign w:val="center"/>
          </w:tcPr>
          <w:p w14:paraId="357D756F"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Spolu</w:t>
            </w:r>
          </w:p>
        </w:tc>
        <w:tc>
          <w:tcPr>
            <w:tcW w:w="1276" w:type="dxa"/>
            <w:vAlign w:val="center"/>
          </w:tcPr>
          <w:p w14:paraId="290EE2DD"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EÚ</w:t>
            </w:r>
          </w:p>
        </w:tc>
        <w:tc>
          <w:tcPr>
            <w:tcW w:w="1276" w:type="dxa"/>
            <w:gridSpan w:val="2"/>
            <w:vAlign w:val="center"/>
          </w:tcPr>
          <w:p w14:paraId="3B221353"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ŠR</w:t>
            </w:r>
          </w:p>
        </w:tc>
        <w:tc>
          <w:tcPr>
            <w:tcW w:w="1495" w:type="dxa"/>
            <w:gridSpan w:val="3"/>
            <w:vAlign w:val="center"/>
          </w:tcPr>
          <w:p w14:paraId="254C253B"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VZ</w:t>
            </w:r>
          </w:p>
        </w:tc>
        <w:tc>
          <w:tcPr>
            <w:tcW w:w="937" w:type="dxa"/>
            <w:vAlign w:val="center"/>
          </w:tcPr>
          <w:p w14:paraId="753D063F"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iné</w:t>
            </w:r>
          </w:p>
        </w:tc>
      </w:tr>
      <w:tr w:rsidR="007839AF" w:rsidRPr="009F4B75" w14:paraId="19B6E70E" w14:textId="77777777" w:rsidTr="008F3BDE">
        <w:trPr>
          <w:trHeight w:val="624"/>
        </w:trPr>
        <w:tc>
          <w:tcPr>
            <w:tcW w:w="2127" w:type="dxa"/>
            <w:vMerge/>
            <w:vAlign w:val="center"/>
          </w:tcPr>
          <w:p w14:paraId="5A7D70BA" w14:textId="77777777" w:rsidR="007839AF" w:rsidRPr="009F4B75" w:rsidRDefault="007839AF" w:rsidP="00C02D67">
            <w:pPr>
              <w:rPr>
                <w:rFonts w:ascii="Times New Roman" w:hAnsi="Times New Roman" w:cs="Times New Roman"/>
              </w:rPr>
            </w:pPr>
          </w:p>
        </w:tc>
        <w:tc>
          <w:tcPr>
            <w:tcW w:w="992" w:type="dxa"/>
            <w:vAlign w:val="center"/>
          </w:tcPr>
          <w:p w14:paraId="195A6B23"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 xml:space="preserve">MR </w:t>
            </w:r>
          </w:p>
        </w:tc>
        <w:tc>
          <w:tcPr>
            <w:tcW w:w="1417" w:type="dxa"/>
            <w:vAlign w:val="center"/>
          </w:tcPr>
          <w:p w14:paraId="3CCCCFD8"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306 790,91</w:t>
            </w:r>
          </w:p>
        </w:tc>
        <w:tc>
          <w:tcPr>
            <w:tcW w:w="1276" w:type="dxa"/>
            <w:vAlign w:val="center"/>
          </w:tcPr>
          <w:p w14:paraId="184E58CE"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168 735,00</w:t>
            </w:r>
          </w:p>
        </w:tc>
        <w:tc>
          <w:tcPr>
            <w:tcW w:w="1276" w:type="dxa"/>
            <w:gridSpan w:val="2"/>
            <w:vAlign w:val="center"/>
          </w:tcPr>
          <w:p w14:paraId="10B18751"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05A0F5E9"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138 055,91</w:t>
            </w:r>
          </w:p>
        </w:tc>
        <w:tc>
          <w:tcPr>
            <w:tcW w:w="937" w:type="dxa"/>
            <w:vAlign w:val="center"/>
          </w:tcPr>
          <w:p w14:paraId="0B06AA10"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06C40C3A" w14:textId="77777777" w:rsidTr="008F3BDE">
        <w:trPr>
          <w:trHeight w:val="624"/>
        </w:trPr>
        <w:tc>
          <w:tcPr>
            <w:tcW w:w="2127" w:type="dxa"/>
            <w:vMerge/>
            <w:vAlign w:val="center"/>
          </w:tcPr>
          <w:p w14:paraId="18CAC341" w14:textId="77777777" w:rsidR="007839AF" w:rsidRPr="009F4B75" w:rsidRDefault="007839AF" w:rsidP="00C02D67">
            <w:pPr>
              <w:rPr>
                <w:rFonts w:ascii="Times New Roman" w:hAnsi="Times New Roman" w:cs="Times New Roman"/>
              </w:rPr>
            </w:pPr>
          </w:p>
        </w:tc>
        <w:tc>
          <w:tcPr>
            <w:tcW w:w="992" w:type="dxa"/>
            <w:vAlign w:val="center"/>
          </w:tcPr>
          <w:p w14:paraId="35B14CCF"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VR</w:t>
            </w:r>
          </w:p>
        </w:tc>
        <w:tc>
          <w:tcPr>
            <w:tcW w:w="1417" w:type="dxa"/>
            <w:vAlign w:val="center"/>
          </w:tcPr>
          <w:p w14:paraId="6DDC83E1"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276" w:type="dxa"/>
            <w:vAlign w:val="center"/>
          </w:tcPr>
          <w:p w14:paraId="3FBC310B"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276" w:type="dxa"/>
            <w:gridSpan w:val="2"/>
            <w:vAlign w:val="center"/>
          </w:tcPr>
          <w:p w14:paraId="31B258D3"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22066AB9"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937" w:type="dxa"/>
            <w:vAlign w:val="center"/>
          </w:tcPr>
          <w:p w14:paraId="6B390D67"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007302CA" w14:textId="77777777" w:rsidTr="008F3BDE">
        <w:trPr>
          <w:trHeight w:val="624"/>
        </w:trPr>
        <w:tc>
          <w:tcPr>
            <w:tcW w:w="2127" w:type="dxa"/>
            <w:vMerge/>
            <w:vAlign w:val="center"/>
          </w:tcPr>
          <w:p w14:paraId="2A15BE73" w14:textId="77777777" w:rsidR="007839AF" w:rsidRPr="009F4B75" w:rsidRDefault="007839AF" w:rsidP="00C02D67">
            <w:pPr>
              <w:rPr>
                <w:rFonts w:ascii="Times New Roman" w:hAnsi="Times New Roman" w:cs="Times New Roman"/>
              </w:rPr>
            </w:pPr>
          </w:p>
        </w:tc>
        <w:tc>
          <w:tcPr>
            <w:tcW w:w="992" w:type="dxa"/>
            <w:vAlign w:val="center"/>
          </w:tcPr>
          <w:p w14:paraId="1F381028" w14:textId="77777777" w:rsidR="007839AF" w:rsidRPr="009F4B75" w:rsidDel="00D14904" w:rsidRDefault="007839AF" w:rsidP="00C02D67">
            <w:pPr>
              <w:jc w:val="center"/>
              <w:rPr>
                <w:rFonts w:ascii="Times New Roman" w:hAnsi="Times New Roman" w:cs="Times New Roman"/>
              </w:rPr>
            </w:pPr>
            <w:r w:rsidRPr="009F4B75">
              <w:rPr>
                <w:rFonts w:ascii="Times New Roman" w:hAnsi="Times New Roman" w:cs="Times New Roman"/>
              </w:rPr>
              <w:t>Spolu</w:t>
            </w:r>
          </w:p>
        </w:tc>
        <w:tc>
          <w:tcPr>
            <w:tcW w:w="1417" w:type="dxa"/>
            <w:vAlign w:val="center"/>
          </w:tcPr>
          <w:p w14:paraId="44D081DB"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306 790,91</w:t>
            </w:r>
          </w:p>
        </w:tc>
        <w:tc>
          <w:tcPr>
            <w:tcW w:w="1276" w:type="dxa"/>
            <w:vAlign w:val="center"/>
          </w:tcPr>
          <w:p w14:paraId="0E1298A9"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168 735,00</w:t>
            </w:r>
          </w:p>
        </w:tc>
        <w:tc>
          <w:tcPr>
            <w:tcW w:w="1276" w:type="dxa"/>
            <w:gridSpan w:val="2"/>
            <w:vAlign w:val="center"/>
          </w:tcPr>
          <w:p w14:paraId="7A7746A9"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4CDEB53C"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138 055,91</w:t>
            </w:r>
          </w:p>
        </w:tc>
        <w:tc>
          <w:tcPr>
            <w:tcW w:w="937" w:type="dxa"/>
            <w:vAlign w:val="center"/>
          </w:tcPr>
          <w:p w14:paraId="16DB91BF" w14:textId="77777777" w:rsidR="007839AF" w:rsidRPr="009F4B75" w:rsidRDefault="007839AF" w:rsidP="00C02D67">
            <w:pPr>
              <w:jc w:val="right"/>
              <w:rPr>
                <w:rFonts w:ascii="Times New Roman" w:hAnsi="Times New Roman" w:cs="Times New Roman"/>
              </w:rPr>
            </w:pPr>
            <w:r w:rsidRPr="009F4B75">
              <w:rPr>
                <w:rFonts w:ascii="Times New Roman" w:hAnsi="Times New Roman" w:cs="Times New Roman"/>
              </w:rPr>
              <w:t>-</w:t>
            </w:r>
          </w:p>
        </w:tc>
      </w:tr>
      <w:tr w:rsidR="007839AF" w:rsidRPr="009F4B75" w14:paraId="387C2EF0" w14:textId="77777777" w:rsidTr="008F3BDE">
        <w:trPr>
          <w:trHeight w:val="624"/>
        </w:trPr>
        <w:tc>
          <w:tcPr>
            <w:tcW w:w="2127" w:type="dxa"/>
            <w:vAlign w:val="center"/>
          </w:tcPr>
          <w:p w14:paraId="573EADEA"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Princípy pre stanovenie výberových a </w:t>
            </w:r>
          </w:p>
          <w:p w14:paraId="1AA2BC22"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hodnotiacich kritérií/Hlavné zásady výberu operácií</w:t>
            </w:r>
            <w:r w:rsidRPr="009F4B75">
              <w:rPr>
                <w:rStyle w:val="Odkaznapoznmkupodiarou"/>
                <w:rFonts w:ascii="Times New Roman" w:hAnsi="Times New Roman" w:cs="Times New Roman"/>
              </w:rPr>
              <w:footnoteReference w:id="49"/>
            </w:r>
          </w:p>
        </w:tc>
        <w:tc>
          <w:tcPr>
            <w:tcW w:w="7393" w:type="dxa"/>
            <w:gridSpan w:val="9"/>
            <w:vAlign w:val="center"/>
          </w:tcPr>
          <w:p w14:paraId="70182649" w14:textId="77777777" w:rsidR="007839AF" w:rsidRPr="009F4B75" w:rsidRDefault="007839AF" w:rsidP="00C02D67">
            <w:pPr>
              <w:rPr>
                <w:rFonts w:ascii="Times New Roman" w:hAnsi="Times New Roman" w:cs="Times New Roman"/>
                <w:i/>
              </w:rPr>
            </w:pPr>
            <w:r w:rsidRPr="009F4B75">
              <w:rPr>
                <w:rFonts w:ascii="Times New Roman" w:hAnsi="Times New Roman" w:cs="Times New Roman"/>
                <w:i/>
              </w:rPr>
              <w:t xml:space="preserve">v súlade s IROP, vlastné </w:t>
            </w:r>
          </w:p>
          <w:p w14:paraId="6981B8BA" w14:textId="77777777" w:rsidR="007839AF" w:rsidRPr="009F4B75" w:rsidRDefault="007839AF" w:rsidP="000414D6">
            <w:pPr>
              <w:spacing w:after="60"/>
              <w:rPr>
                <w:rFonts w:ascii="Times New Roman" w:hAnsi="Times New Roman" w:cs="Times New Roman"/>
                <w:b/>
                <w:i/>
                <w:sz w:val="24"/>
                <w:szCs w:val="24"/>
              </w:rPr>
            </w:pPr>
            <w:r w:rsidRPr="009F4B75">
              <w:rPr>
                <w:rFonts w:ascii="Times New Roman" w:hAnsi="Times New Roman" w:cs="Times New Roman"/>
                <w:b/>
                <w:i/>
                <w:sz w:val="24"/>
                <w:szCs w:val="24"/>
              </w:rPr>
              <w:t>Zvýhodňované budú nasledovné projekty:</w:t>
            </w:r>
          </w:p>
          <w:p w14:paraId="30989B4D"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súvisiace s ekonomickým rozvojom, čiže jeho realizáciu sa vytvorí aspoň jedno pracovné miesto</w:t>
            </w:r>
          </w:p>
          <w:p w14:paraId="698AA9BE"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xml:space="preserve">- zohľadňujúce potreby marginalizovaných skupín obyvateľstva </w:t>
            </w:r>
          </w:p>
          <w:p w14:paraId="079ED6E3" w14:textId="77777777" w:rsidR="007839AF" w:rsidRPr="009F4B75" w:rsidRDefault="007839AF" w:rsidP="000414D6">
            <w:pPr>
              <w:spacing w:line="259" w:lineRule="auto"/>
              <w:contextualSpacing/>
              <w:jc w:val="both"/>
              <w:rPr>
                <w:rFonts w:ascii="Times New Roman" w:hAnsi="Times New Roman" w:cs="Times New Roman"/>
                <w:i/>
                <w:sz w:val="24"/>
                <w:szCs w:val="24"/>
              </w:rPr>
            </w:pPr>
            <w:r w:rsidRPr="009F4B75">
              <w:rPr>
                <w:rFonts w:ascii="Times New Roman" w:hAnsi="Times New Roman" w:cs="Times New Roman"/>
                <w:i/>
                <w:sz w:val="24"/>
                <w:szCs w:val="24"/>
              </w:rPr>
              <w:t>- vykazujúce inovatívne znaky či využívanie inovatívnych prvkov príp. technológií najmä v oblasti ochrany životného prostredia alebo inovatívnych metód výučby</w:t>
            </w:r>
          </w:p>
          <w:p w14:paraId="73A6756A" w14:textId="77777777" w:rsidR="007839AF" w:rsidRPr="009F4B75" w:rsidRDefault="007839AF" w:rsidP="000414D6">
            <w:pPr>
              <w:spacing w:line="259" w:lineRule="auto"/>
              <w:contextualSpacing/>
              <w:jc w:val="both"/>
              <w:rPr>
                <w:rFonts w:ascii="Times New Roman" w:eastAsia="SimSun" w:hAnsi="Times New Roman" w:cs="Mangal"/>
                <w:i/>
                <w:kern w:val="3"/>
                <w:sz w:val="24"/>
                <w:szCs w:val="24"/>
                <w:lang w:eastAsia="zh-CN" w:bidi="hi-IN"/>
              </w:rPr>
            </w:pPr>
            <w:r w:rsidRPr="009F4B75">
              <w:rPr>
                <w:rFonts w:ascii="Times New Roman" w:hAnsi="Times New Roman" w:cs="Times New Roman"/>
                <w:i/>
                <w:sz w:val="24"/>
                <w:szCs w:val="24"/>
              </w:rPr>
              <w:t>- riešiace využitie OZE</w:t>
            </w:r>
            <w:r w:rsidRPr="009F4B75">
              <w:t xml:space="preserve"> </w:t>
            </w:r>
            <w:r w:rsidRPr="009F4B75">
              <w:rPr>
                <w:rFonts w:ascii="Times New Roman" w:hAnsi="Times New Roman" w:cs="Times New Roman"/>
                <w:i/>
                <w:sz w:val="24"/>
                <w:szCs w:val="24"/>
              </w:rPr>
              <w:t xml:space="preserve">alebo úspory energie </w:t>
            </w:r>
          </w:p>
          <w:p w14:paraId="53F35121" w14:textId="77777777" w:rsidR="007839AF" w:rsidRPr="009F4B75" w:rsidRDefault="007839AF" w:rsidP="000414D6">
            <w:pPr>
              <w:spacing w:after="60"/>
              <w:rPr>
                <w:rFonts w:ascii="Times New Roman" w:hAnsi="Times New Roman" w:cs="Times New Roman"/>
              </w:rPr>
            </w:pPr>
            <w:r w:rsidRPr="009F4B75">
              <w:rPr>
                <w:rFonts w:ascii="Times New Roman" w:hAnsi="Times New Roman" w:cs="Times New Roman"/>
                <w:i/>
                <w:sz w:val="24"/>
                <w:szCs w:val="24"/>
              </w:rPr>
              <w:t>- so znakmi integrovaného projektu</w:t>
            </w:r>
          </w:p>
        </w:tc>
      </w:tr>
      <w:tr w:rsidR="007839AF" w:rsidRPr="009F4B75" w14:paraId="10629CFB" w14:textId="77777777" w:rsidTr="008F3BDE">
        <w:trPr>
          <w:trHeight w:val="624"/>
        </w:trPr>
        <w:tc>
          <w:tcPr>
            <w:tcW w:w="2127" w:type="dxa"/>
            <w:vAlign w:val="center"/>
          </w:tcPr>
          <w:p w14:paraId="0F217FC3"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Povinné prílohy stanovené MAS</w:t>
            </w:r>
            <w:r w:rsidRPr="009F4B75">
              <w:rPr>
                <w:rStyle w:val="Odkaznapoznmkupodiarou"/>
                <w:rFonts w:ascii="Times New Roman" w:hAnsi="Times New Roman" w:cs="Times New Roman"/>
              </w:rPr>
              <w:footnoteReference w:id="50"/>
            </w:r>
          </w:p>
        </w:tc>
        <w:tc>
          <w:tcPr>
            <w:tcW w:w="7393" w:type="dxa"/>
            <w:gridSpan w:val="9"/>
            <w:vAlign w:val="center"/>
          </w:tcPr>
          <w:p w14:paraId="132F15C3" w14:textId="77777777" w:rsidR="007839AF" w:rsidRPr="009F4B75" w:rsidRDefault="007839AF" w:rsidP="00C02D67">
            <w:pPr>
              <w:rPr>
                <w:rFonts w:ascii="Times New Roman" w:hAnsi="Times New Roman" w:cs="Times New Roman"/>
                <w:i/>
              </w:rPr>
            </w:pPr>
            <w:r w:rsidRPr="009F4B75">
              <w:rPr>
                <w:rFonts w:ascii="Times New Roman" w:hAnsi="Times New Roman" w:cs="Times New Roman"/>
                <w:i/>
              </w:rPr>
              <w:t>žiadne</w:t>
            </w:r>
          </w:p>
        </w:tc>
      </w:tr>
      <w:tr w:rsidR="007839AF" w:rsidRPr="009F4B75" w14:paraId="242ABF01" w14:textId="77777777" w:rsidTr="008F3BDE">
        <w:trPr>
          <w:trHeight w:val="624"/>
        </w:trPr>
        <w:tc>
          <w:tcPr>
            <w:tcW w:w="2127" w:type="dxa"/>
            <w:vMerge w:val="restart"/>
            <w:vAlign w:val="center"/>
          </w:tcPr>
          <w:p w14:paraId="322CF312" w14:textId="77777777" w:rsidR="007839AF" w:rsidRPr="009F4B75" w:rsidRDefault="007839AF" w:rsidP="00C02D67">
            <w:pPr>
              <w:rPr>
                <w:rFonts w:ascii="Times New Roman" w:hAnsi="Times New Roman" w:cs="Times New Roman"/>
              </w:rPr>
            </w:pPr>
            <w:r w:rsidRPr="009F4B75">
              <w:rPr>
                <w:rFonts w:ascii="Times New Roman" w:hAnsi="Times New Roman" w:cs="Times New Roman"/>
              </w:rPr>
              <w:t>Merateľné ukazovatele projektu</w:t>
            </w:r>
          </w:p>
        </w:tc>
        <w:tc>
          <w:tcPr>
            <w:tcW w:w="992" w:type="dxa"/>
            <w:vAlign w:val="center"/>
          </w:tcPr>
          <w:p w14:paraId="0175C1A0"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Kód/ID</w:t>
            </w:r>
          </w:p>
        </w:tc>
        <w:tc>
          <w:tcPr>
            <w:tcW w:w="2855" w:type="dxa"/>
            <w:gridSpan w:val="3"/>
            <w:vAlign w:val="center"/>
          </w:tcPr>
          <w:p w14:paraId="1D91C090"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Názov/Ukazovateľ</w:t>
            </w:r>
          </w:p>
        </w:tc>
        <w:tc>
          <w:tcPr>
            <w:tcW w:w="1155" w:type="dxa"/>
            <w:gridSpan w:val="2"/>
            <w:vAlign w:val="center"/>
          </w:tcPr>
          <w:p w14:paraId="7B9518F2"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Merná jednotka</w:t>
            </w:r>
          </w:p>
        </w:tc>
        <w:tc>
          <w:tcPr>
            <w:tcW w:w="1262" w:type="dxa"/>
            <w:vAlign w:val="center"/>
          </w:tcPr>
          <w:p w14:paraId="21EAEFF1"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Počiatočná hodnota</w:t>
            </w:r>
          </w:p>
        </w:tc>
        <w:tc>
          <w:tcPr>
            <w:tcW w:w="1129" w:type="dxa"/>
            <w:gridSpan w:val="2"/>
            <w:vAlign w:val="center"/>
          </w:tcPr>
          <w:p w14:paraId="4D03C1B3" w14:textId="77777777" w:rsidR="007839AF" w:rsidRPr="009F4B75" w:rsidRDefault="007839AF" w:rsidP="00C02D67">
            <w:pPr>
              <w:jc w:val="center"/>
              <w:rPr>
                <w:rFonts w:ascii="Times New Roman" w:hAnsi="Times New Roman" w:cs="Times New Roman"/>
                <w:i/>
              </w:rPr>
            </w:pPr>
            <w:r w:rsidRPr="009F4B75">
              <w:rPr>
                <w:rFonts w:ascii="Times New Roman" w:hAnsi="Times New Roman" w:cs="Times New Roman"/>
              </w:rPr>
              <w:t>Celková cieľová hodnota</w:t>
            </w:r>
          </w:p>
        </w:tc>
      </w:tr>
      <w:tr w:rsidR="007839AF" w:rsidRPr="009F4B75" w14:paraId="7EDD4CC3" w14:textId="77777777" w:rsidTr="008F3BDE">
        <w:trPr>
          <w:trHeight w:val="624"/>
        </w:trPr>
        <w:tc>
          <w:tcPr>
            <w:tcW w:w="2127" w:type="dxa"/>
            <w:vMerge/>
            <w:vAlign w:val="center"/>
          </w:tcPr>
          <w:p w14:paraId="16EE4E13" w14:textId="77777777" w:rsidR="007839AF" w:rsidRPr="009F4B75" w:rsidRDefault="007839AF" w:rsidP="00C02D67">
            <w:pPr>
              <w:rPr>
                <w:rFonts w:ascii="Times New Roman" w:hAnsi="Times New Roman" w:cs="Times New Roman"/>
              </w:rPr>
            </w:pPr>
          </w:p>
        </w:tc>
        <w:tc>
          <w:tcPr>
            <w:tcW w:w="992" w:type="dxa"/>
            <w:vAlign w:val="center"/>
          </w:tcPr>
          <w:p w14:paraId="4F35F808"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5.1.1</w:t>
            </w:r>
          </w:p>
        </w:tc>
        <w:tc>
          <w:tcPr>
            <w:tcW w:w="2855" w:type="dxa"/>
            <w:gridSpan w:val="3"/>
            <w:vAlign w:val="center"/>
          </w:tcPr>
          <w:p w14:paraId="64792F88" w14:textId="77777777" w:rsidR="007839AF" w:rsidRPr="009F4B75" w:rsidRDefault="007839AF" w:rsidP="008F3BDE">
            <w:pPr>
              <w:spacing w:after="60" w:line="276" w:lineRule="auto"/>
              <w:rPr>
                <w:rFonts w:ascii="Times New Roman" w:hAnsi="Times New Roman" w:cs="Times New Roman"/>
              </w:rPr>
            </w:pPr>
            <w:r w:rsidRPr="009F4B75">
              <w:rPr>
                <w:rFonts w:ascii="Times New Roman" w:hAnsi="Times New Roman" w:cs="Times New Roman"/>
              </w:rPr>
              <w:t>Celkový objem preinvestovaných finančných prostriedkov na opatrenie</w:t>
            </w:r>
          </w:p>
        </w:tc>
        <w:tc>
          <w:tcPr>
            <w:tcW w:w="1155" w:type="dxa"/>
            <w:gridSpan w:val="2"/>
            <w:vAlign w:val="center"/>
          </w:tcPr>
          <w:p w14:paraId="18217270"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EUR</w:t>
            </w:r>
          </w:p>
        </w:tc>
        <w:tc>
          <w:tcPr>
            <w:tcW w:w="1262" w:type="dxa"/>
            <w:vAlign w:val="center"/>
          </w:tcPr>
          <w:p w14:paraId="562FFA18"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099A4888" w14:textId="77777777" w:rsidR="007839AF" w:rsidRPr="009F4B75" w:rsidRDefault="007839AF" w:rsidP="00C02D67">
            <w:pPr>
              <w:jc w:val="center"/>
              <w:rPr>
                <w:rFonts w:ascii="Times New Roman" w:hAnsi="Times New Roman" w:cs="Times New Roman"/>
              </w:rPr>
            </w:pPr>
            <w:r w:rsidRPr="009F4B75">
              <w:rPr>
                <w:rFonts w:ascii="Times New Roman" w:hAnsi="Times New Roman" w:cs="Times New Roman"/>
              </w:rPr>
              <w:t>306 790,91</w:t>
            </w:r>
          </w:p>
        </w:tc>
      </w:tr>
      <w:tr w:rsidR="00B23F58" w:rsidRPr="009F4B75" w14:paraId="298E26BE" w14:textId="77777777" w:rsidTr="008F3BDE">
        <w:trPr>
          <w:trHeight w:val="624"/>
        </w:trPr>
        <w:tc>
          <w:tcPr>
            <w:tcW w:w="2127" w:type="dxa"/>
            <w:vAlign w:val="center"/>
          </w:tcPr>
          <w:p w14:paraId="0AD6E05C"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Indikatívny harmonogram výziev</w:t>
            </w:r>
          </w:p>
        </w:tc>
        <w:tc>
          <w:tcPr>
            <w:tcW w:w="7393" w:type="dxa"/>
            <w:gridSpan w:val="9"/>
          </w:tcPr>
          <w:p w14:paraId="7069E549" w14:textId="77777777" w:rsidR="00B23F58" w:rsidRPr="009F4B75" w:rsidRDefault="00B23F58" w:rsidP="00C02D67">
            <w:pPr>
              <w:jc w:val="both"/>
              <w:rPr>
                <w:rFonts w:ascii="Times New Roman" w:hAnsi="Times New Roman" w:cs="Times New Roman"/>
              </w:rPr>
            </w:pPr>
            <w:r w:rsidRPr="009F4B75">
              <w:rPr>
                <w:rFonts w:ascii="Times New Roman" w:hAnsi="Times New Roman" w:cs="Times New Roman"/>
              </w:rPr>
              <w:t>Máj 2019</w:t>
            </w:r>
          </w:p>
        </w:tc>
      </w:tr>
    </w:tbl>
    <w:p w14:paraId="4D711F5D" w14:textId="77777777" w:rsidR="00C02D67" w:rsidRDefault="00C02D67" w:rsidP="00454577">
      <w:pPr>
        <w:spacing w:after="0" w:line="312" w:lineRule="auto"/>
        <w:rPr>
          <w:rFonts w:ascii="Times New Roman" w:hAnsi="Times New Roman" w:cs="Times New Roman"/>
          <w:b/>
          <w:sz w:val="24"/>
          <w:szCs w:val="24"/>
        </w:rPr>
      </w:pPr>
    </w:p>
    <w:p w14:paraId="07CD128C" w14:textId="77777777" w:rsidR="00362E8C" w:rsidRPr="008951E2" w:rsidRDefault="00362E8C" w:rsidP="00362E8C">
      <w:pPr>
        <w:spacing w:after="0" w:line="312" w:lineRule="auto"/>
        <w:rPr>
          <w:rFonts w:ascii="Times New Roman" w:hAnsi="Times New Roman" w:cs="Times New Roman"/>
          <w:b/>
          <w:sz w:val="20"/>
          <w:szCs w:val="20"/>
        </w:rPr>
      </w:pPr>
    </w:p>
    <w:p w14:paraId="614D3D94" w14:textId="77777777" w:rsidR="009F4B75" w:rsidRPr="008951E2" w:rsidRDefault="009F4B75" w:rsidP="009F4B75">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K</w:t>
      </w:r>
      <w:r>
        <w:rPr>
          <w:rFonts w:ascii="Times New Roman" w:hAnsi="Times New Roman" w:cs="Times New Roman"/>
          <w:b/>
          <w:sz w:val="20"/>
          <w:szCs w:val="20"/>
        </w:rPr>
        <w:t xml:space="preserve"> Opatrenie stratégie CLLD 3.5</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B23F58" w:rsidRPr="009F4B75" w14:paraId="6E72738C" w14:textId="77777777" w:rsidTr="00B26DD2">
        <w:trPr>
          <w:trHeight w:val="624"/>
        </w:trPr>
        <w:tc>
          <w:tcPr>
            <w:tcW w:w="2127" w:type="dxa"/>
            <w:vAlign w:val="center"/>
          </w:tcPr>
          <w:p w14:paraId="6B4043DC"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9"/>
          </w:tcPr>
          <w:p w14:paraId="1B783ABF" w14:textId="77777777" w:rsidR="00B23F58" w:rsidRPr="009F4B75" w:rsidRDefault="00B23F58" w:rsidP="00B26DD2">
            <w:pPr>
              <w:spacing w:after="60"/>
              <w:rPr>
                <w:rFonts w:ascii="Times New Roman" w:hAnsi="Times New Roman" w:cs="Times New Roman"/>
                <w:b/>
                <w:sz w:val="24"/>
                <w:szCs w:val="24"/>
              </w:rPr>
            </w:pPr>
            <w:r w:rsidRPr="009F4B75">
              <w:rPr>
                <w:rFonts w:ascii="Times New Roman" w:hAnsi="Times New Roman" w:cs="Times New Roman"/>
                <w:b/>
                <w:sz w:val="24"/>
                <w:szCs w:val="24"/>
              </w:rPr>
              <w:t xml:space="preserve">3.5 Spolupráca medzi malými hospodárskymi subjektmi pri organizácii spoločných pracovných procesov a spoločnom využívaní zariadení a zdrojov a pri rozvoji služieb v oblasti cestovného ruchu/ich uvádzania na trh  </w:t>
            </w:r>
          </w:p>
        </w:tc>
      </w:tr>
      <w:tr w:rsidR="00B23F58" w:rsidRPr="009F4B75" w14:paraId="61D00366" w14:textId="77777777" w:rsidTr="00B26DD2">
        <w:trPr>
          <w:trHeight w:val="624"/>
        </w:trPr>
        <w:tc>
          <w:tcPr>
            <w:tcW w:w="2127" w:type="dxa"/>
            <w:vAlign w:val="center"/>
          </w:tcPr>
          <w:p w14:paraId="37C7AA9C"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Priradenie kódu opatrenia</w:t>
            </w:r>
            <w:r w:rsidRPr="009F4B75">
              <w:rPr>
                <w:rStyle w:val="Odkaznapoznmkupodiarou"/>
                <w:rFonts w:ascii="Times New Roman" w:hAnsi="Times New Roman" w:cs="Times New Roman"/>
              </w:rPr>
              <w:footnoteReference w:id="51"/>
            </w:r>
            <w:r w:rsidRPr="009F4B75">
              <w:rPr>
                <w:rFonts w:ascii="Times New Roman" w:hAnsi="Times New Roman" w:cs="Times New Roman"/>
              </w:rPr>
              <w:t xml:space="preserve"> </w:t>
            </w:r>
          </w:p>
        </w:tc>
        <w:tc>
          <w:tcPr>
            <w:tcW w:w="7393" w:type="dxa"/>
            <w:gridSpan w:val="9"/>
          </w:tcPr>
          <w:p w14:paraId="01E8FA1E"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16.3 </w:t>
            </w:r>
          </w:p>
        </w:tc>
      </w:tr>
      <w:tr w:rsidR="00B23F58" w:rsidRPr="009F4B75" w14:paraId="781948D8" w14:textId="77777777" w:rsidTr="00B26DD2">
        <w:trPr>
          <w:trHeight w:val="624"/>
        </w:trPr>
        <w:tc>
          <w:tcPr>
            <w:tcW w:w="2127" w:type="dxa"/>
            <w:vAlign w:val="center"/>
          </w:tcPr>
          <w:p w14:paraId="041F4A3C"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Priradenie k fokusovej oblasti PRV/ŠC IROP</w:t>
            </w:r>
          </w:p>
        </w:tc>
        <w:tc>
          <w:tcPr>
            <w:tcW w:w="7393" w:type="dxa"/>
            <w:gridSpan w:val="9"/>
          </w:tcPr>
          <w:p w14:paraId="3F6F92AC" w14:textId="77777777" w:rsidR="00A141C1" w:rsidRPr="00A141C1" w:rsidRDefault="00A141C1" w:rsidP="00A141C1">
            <w:pPr>
              <w:spacing w:after="60"/>
              <w:rPr>
                <w:rFonts w:ascii="Times New Roman" w:hAnsi="Times New Roman" w:cs="Times New Roman"/>
                <w:sz w:val="24"/>
                <w:szCs w:val="24"/>
              </w:rPr>
            </w:pPr>
            <w:r w:rsidRPr="00A141C1">
              <w:rPr>
                <w:rFonts w:ascii="Times New Roman" w:hAnsi="Times New Roman" w:cs="Times New Roman"/>
                <w:sz w:val="24"/>
                <w:szCs w:val="24"/>
              </w:rPr>
              <w:t>Sekundárna FO predominantná  – 2A</w:t>
            </w:r>
          </w:p>
          <w:p w14:paraId="24309D8F" w14:textId="5CBDA888" w:rsidR="00B23F58" w:rsidRPr="009F4B75" w:rsidRDefault="00A141C1" w:rsidP="00B26DD2">
            <w:pPr>
              <w:spacing w:after="60"/>
              <w:rPr>
                <w:rFonts w:ascii="Times New Roman" w:hAnsi="Times New Roman" w:cs="Times New Roman"/>
                <w:sz w:val="24"/>
                <w:szCs w:val="24"/>
              </w:rPr>
            </w:pPr>
            <w:r w:rsidRPr="00A141C1">
              <w:rPr>
                <w:rFonts w:ascii="Times New Roman" w:hAnsi="Times New Roman" w:cs="Times New Roman"/>
                <w:sz w:val="24"/>
                <w:szCs w:val="24"/>
              </w:rPr>
              <w:t>Sekundárna FO doplnková  – 1A, 3A</w:t>
            </w:r>
          </w:p>
        </w:tc>
      </w:tr>
      <w:tr w:rsidR="00B23F58" w:rsidRPr="009F4B75" w14:paraId="26AE6A21" w14:textId="77777777" w:rsidTr="00B26DD2">
        <w:trPr>
          <w:trHeight w:val="624"/>
        </w:trPr>
        <w:tc>
          <w:tcPr>
            <w:tcW w:w="2127" w:type="dxa"/>
            <w:vAlign w:val="center"/>
          </w:tcPr>
          <w:p w14:paraId="7D0C74C3"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 xml:space="preserve">Ciele opatrenia </w:t>
            </w:r>
          </w:p>
        </w:tc>
        <w:tc>
          <w:tcPr>
            <w:tcW w:w="7393" w:type="dxa"/>
            <w:gridSpan w:val="9"/>
            <w:vAlign w:val="center"/>
          </w:tcPr>
          <w:p w14:paraId="61E84510" w14:textId="77777777" w:rsidR="00B23F58" w:rsidRPr="009F4B75" w:rsidRDefault="00B23F58" w:rsidP="00B26DD2">
            <w:pPr>
              <w:jc w:val="both"/>
              <w:rPr>
                <w:rFonts w:ascii="Times New Roman" w:hAnsi="Times New Roman" w:cs="Times New Roman"/>
                <w:i/>
                <w:sz w:val="18"/>
                <w:szCs w:val="18"/>
              </w:rPr>
            </w:pPr>
            <w:r w:rsidRPr="009F4B75">
              <w:rPr>
                <w:rFonts w:ascii="Times New Roman" w:hAnsi="Times New Roman" w:cs="Times New Roman"/>
                <w:i/>
                <w:sz w:val="24"/>
                <w:szCs w:val="24"/>
              </w:rPr>
              <w:t xml:space="preserve">Opatrenie prispieva k naplneniu Špecifického cieľa: Vytvoriť kvalitné podmienky pre rozvoj podnikania </w:t>
            </w:r>
            <w:r w:rsidRPr="009F4B75">
              <w:rPr>
                <w:rFonts w:ascii="Times New Roman" w:hAnsi="Times New Roman" w:cs="Times New Roman"/>
                <w:bCs/>
                <w:i/>
                <w:sz w:val="24"/>
                <w:szCs w:val="24"/>
              </w:rPr>
              <w:t>a zamestnanosti</w:t>
            </w:r>
            <w:r w:rsidRPr="009F4B75">
              <w:rPr>
                <w:rFonts w:ascii="Times New Roman" w:hAnsi="Times New Roman" w:cs="Times New Roman"/>
                <w:i/>
                <w:sz w:val="24"/>
                <w:szCs w:val="24"/>
              </w:rPr>
              <w:t>. Cieľom je prostredníctvom spolupráce zvýšiť efektivitu vykonávaných činností.</w:t>
            </w:r>
          </w:p>
        </w:tc>
      </w:tr>
      <w:tr w:rsidR="00B23F58" w:rsidRPr="009F4B75" w14:paraId="104A1FE1" w14:textId="77777777" w:rsidTr="00B26DD2">
        <w:trPr>
          <w:trHeight w:val="624"/>
        </w:trPr>
        <w:tc>
          <w:tcPr>
            <w:tcW w:w="2127" w:type="dxa"/>
            <w:vAlign w:val="center"/>
          </w:tcPr>
          <w:p w14:paraId="0C2A3C5F"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lastRenderedPageBreak/>
              <w:t>Zdôvodnenie výberu</w:t>
            </w:r>
          </w:p>
        </w:tc>
        <w:tc>
          <w:tcPr>
            <w:tcW w:w="7393" w:type="dxa"/>
            <w:gridSpan w:val="9"/>
            <w:vAlign w:val="center"/>
          </w:tcPr>
          <w:p w14:paraId="4B5ACDD2"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Opatrenie reflektuje na potreby identifikované v oblasti Hospodárstvo a Ľudské zdroje a sekundárne aj Životné prostredie a Cestovný ruch v rámci Identifikácie potrieb</w:t>
            </w:r>
          </w:p>
          <w:p w14:paraId="7596CBCD"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Vzájomná spolupráca výrazne prepojí aktérov reprezentujúcich výskum aj prax v rôznych oblastiach, pričom budú presadzované inovatívne riešenia. Zakladanie operačných skupín EIP ako aj iných skupín bude mať výrazný pozitívny vplyv na posilnenie inovatívneho potenciálu, a to aj v oblasti udržateľného manažmentu a efektívneho využívania prírodných zdrojov.</w:t>
            </w:r>
          </w:p>
          <w:p w14:paraId="3515617F" w14:textId="77777777" w:rsidR="00B23F58" w:rsidRPr="009F4B75" w:rsidRDefault="00B23F58" w:rsidP="00B26DD2">
            <w:pPr>
              <w:jc w:val="both"/>
              <w:rPr>
                <w:rFonts w:ascii="Times New Roman" w:hAnsi="Times New Roman" w:cs="Times New Roman"/>
                <w:i/>
              </w:rPr>
            </w:pPr>
            <w:r w:rsidRPr="009F4B75">
              <w:rPr>
                <w:rFonts w:ascii="Times New Roman" w:hAnsi="Times New Roman" w:cs="Times New Roman"/>
                <w:i/>
                <w:sz w:val="24"/>
                <w:szCs w:val="24"/>
              </w:rPr>
              <w:t>Projekt spolupráce bude sústredený do oblasti zameranej na využívanie potenciálu nielen poľnohospodárskych ale aj nepoľnohospodárskych podnikov, a to organizovaním spoločných pracovných procesov, čím bude okrem iného stimulovaná aj tvorba pracovných miest. Vzhľadom na nízku alokáciu pridelenú KR – MAS bude dotácia na projekt žiadaná na priamo z PRV SR 2014 - 2020</w:t>
            </w:r>
          </w:p>
        </w:tc>
      </w:tr>
      <w:tr w:rsidR="00B23F58" w:rsidRPr="009F4B75" w14:paraId="7774E8EA" w14:textId="77777777" w:rsidTr="00B26DD2">
        <w:trPr>
          <w:trHeight w:val="624"/>
        </w:trPr>
        <w:tc>
          <w:tcPr>
            <w:tcW w:w="2127" w:type="dxa"/>
            <w:vAlign w:val="center"/>
          </w:tcPr>
          <w:p w14:paraId="06B5ACF2"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9"/>
            <w:vAlign w:val="center"/>
          </w:tcPr>
          <w:p w14:paraId="02B867DB" w14:textId="77777777" w:rsidR="00B23F58" w:rsidRPr="009F4B75" w:rsidRDefault="00B23F58" w:rsidP="00B26DD2">
            <w:pPr>
              <w:jc w:val="both"/>
              <w:rPr>
                <w:rFonts w:ascii="Times New Roman" w:hAnsi="Times New Roman" w:cs="Times New Roman"/>
                <w:i/>
              </w:rPr>
            </w:pPr>
            <w:r w:rsidRPr="009F4B75">
              <w:rPr>
                <w:rFonts w:ascii="Times New Roman" w:hAnsi="Times New Roman" w:cs="Times New Roman"/>
                <w:i/>
                <w:sz w:val="24"/>
                <w:szCs w:val="24"/>
              </w:rPr>
              <w:t>Podporená bude spolupráca medzi malými hospodárskymi subjektmi (mikropodnikmi) v odvetví poľnohospodárstva, potravinovom reťazci, sektore lesného hospodárstva a v sektore cestovného ruchu pri organizácii spoločných pracovných procesov, spoločnom využívaní zariadení a zdrojov a pri rozvoji služieb a marketingu v oblasti cestovného ruchu.</w:t>
            </w:r>
          </w:p>
        </w:tc>
      </w:tr>
      <w:tr w:rsidR="00B23F58" w:rsidRPr="009F4B75" w14:paraId="59C0F56C" w14:textId="77777777" w:rsidTr="00B26DD2">
        <w:trPr>
          <w:trHeight w:val="624"/>
        </w:trPr>
        <w:tc>
          <w:tcPr>
            <w:tcW w:w="2127" w:type="dxa"/>
            <w:vAlign w:val="center"/>
          </w:tcPr>
          <w:p w14:paraId="5B18473A"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Oprávnení prijímatelia</w:t>
            </w:r>
          </w:p>
        </w:tc>
        <w:tc>
          <w:tcPr>
            <w:tcW w:w="7393" w:type="dxa"/>
            <w:gridSpan w:val="9"/>
            <w:vAlign w:val="center"/>
          </w:tcPr>
          <w:p w14:paraId="4D717454"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Najmenej 5 subjektov, ktorých spolupráca je: </w:t>
            </w:r>
          </w:p>
          <w:p w14:paraId="1488A8D0" w14:textId="77777777" w:rsidR="00B23F58" w:rsidRPr="009F4B75" w:rsidRDefault="00B23F58" w:rsidP="00B26DD2">
            <w:pPr>
              <w:jc w:val="both"/>
              <w:rPr>
                <w:rFonts w:ascii="Times New Roman" w:hAnsi="Times New Roman" w:cs="Times New Roman"/>
              </w:rPr>
            </w:pPr>
            <w:r w:rsidRPr="009F4B75">
              <w:rPr>
                <w:rFonts w:ascii="Times New Roman" w:hAnsi="Times New Roman" w:cs="Times New Roman"/>
                <w:i/>
                <w:sz w:val="24"/>
                <w:szCs w:val="24"/>
              </w:rPr>
              <w:t>•  medzi rôznymi aktérmi v poľnohospodárstve, potravinovom reťazci , v lesnom hospodárstve, alebo v sektore cestovného ruchu a rozvoji vidieka na území EÚ a medzi inými aktérmi, ktorí prispievajú k splneniu cieľov a priorít politiky rozvoja vidieka vrátane medziodvetvových organizácií, mimovládnych neziskových organizácií a výskumných organizácií.</w:t>
            </w:r>
            <w:r w:rsidR="0004490E" w:rsidRPr="009F4B75">
              <w:rPr>
                <w:rFonts w:ascii="Times New Roman" w:hAnsi="Times New Roman" w:cs="Times New Roman"/>
                <w:i/>
                <w:sz w:val="24"/>
                <w:szCs w:val="24"/>
              </w:rPr>
              <w:t xml:space="preserve"> Žiadosť o NFP bude predložená v rámci výzvy z PRV SR 2014 – 2020, pričom koordinátorom projektu bude KR - MAS</w:t>
            </w:r>
          </w:p>
        </w:tc>
      </w:tr>
      <w:tr w:rsidR="00B23F58" w:rsidRPr="009F4B75" w14:paraId="29EBB5BA" w14:textId="77777777" w:rsidTr="00B26DD2">
        <w:trPr>
          <w:trHeight w:val="624"/>
        </w:trPr>
        <w:tc>
          <w:tcPr>
            <w:tcW w:w="2127" w:type="dxa"/>
            <w:vAlign w:val="center"/>
          </w:tcPr>
          <w:p w14:paraId="5A942379"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 xml:space="preserve">Intenzita pomoci </w:t>
            </w:r>
            <w:r w:rsidRPr="009F4B75">
              <w:rPr>
                <w:rStyle w:val="Odkaznapoznmkupodiarou"/>
                <w:rFonts w:ascii="Times New Roman" w:hAnsi="Times New Roman" w:cs="Times New Roman"/>
              </w:rPr>
              <w:footnoteReference w:id="52"/>
            </w:r>
          </w:p>
        </w:tc>
        <w:tc>
          <w:tcPr>
            <w:tcW w:w="7393" w:type="dxa"/>
            <w:gridSpan w:val="9"/>
            <w:vAlign w:val="center"/>
          </w:tcPr>
          <w:p w14:paraId="0021C0BD" w14:textId="77777777" w:rsidR="00B23F58" w:rsidRPr="009F4B75" w:rsidRDefault="00B23F58" w:rsidP="00B26DD2">
            <w:pPr>
              <w:jc w:val="both"/>
              <w:rPr>
                <w:rFonts w:ascii="Times New Roman" w:hAnsi="Times New Roman" w:cs="Times New Roman"/>
              </w:rPr>
            </w:pPr>
            <w:r w:rsidRPr="009F4B75">
              <w:rPr>
                <w:rFonts w:ascii="Times New Roman" w:hAnsi="Times New Roman" w:cs="Times New Roman"/>
                <w:i/>
                <w:sz w:val="24"/>
                <w:szCs w:val="24"/>
              </w:rPr>
              <w:t>95 %</w:t>
            </w:r>
          </w:p>
        </w:tc>
      </w:tr>
      <w:tr w:rsidR="00B23F58" w:rsidRPr="009F4B75" w14:paraId="7D4BBD0B" w14:textId="77777777" w:rsidTr="00B26DD2">
        <w:trPr>
          <w:trHeight w:val="624"/>
        </w:trPr>
        <w:tc>
          <w:tcPr>
            <w:tcW w:w="2127" w:type="dxa"/>
            <w:vAlign w:val="center"/>
          </w:tcPr>
          <w:p w14:paraId="52A77AB6"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Oprávnené výdavky</w:t>
            </w:r>
          </w:p>
        </w:tc>
        <w:tc>
          <w:tcPr>
            <w:tcW w:w="7393" w:type="dxa"/>
            <w:gridSpan w:val="9"/>
            <w:vAlign w:val="center"/>
          </w:tcPr>
          <w:p w14:paraId="7E1B6DAF" w14:textId="77777777" w:rsidR="00B23F58" w:rsidRPr="009F4B75" w:rsidRDefault="00B23F58" w:rsidP="00B26DD2">
            <w:pPr>
              <w:jc w:val="both"/>
              <w:rPr>
                <w:rFonts w:ascii="Times New Roman" w:hAnsi="Times New Roman" w:cs="Times New Roman"/>
              </w:rPr>
            </w:pPr>
            <w:r w:rsidRPr="009F4B75">
              <w:rPr>
                <w:rFonts w:ascii="Times New Roman" w:hAnsi="Times New Roman" w:cs="Times New Roman"/>
                <w:i/>
              </w:rPr>
              <w:t>v súlade s PRV (resp. s nariadením EÚ (č. 1305/2013)</w:t>
            </w:r>
          </w:p>
        </w:tc>
      </w:tr>
      <w:tr w:rsidR="00B23F58" w:rsidRPr="009F4B75" w14:paraId="452F4072" w14:textId="77777777" w:rsidTr="00B26DD2">
        <w:trPr>
          <w:trHeight w:val="624"/>
        </w:trPr>
        <w:tc>
          <w:tcPr>
            <w:tcW w:w="2127" w:type="dxa"/>
            <w:vAlign w:val="center"/>
          </w:tcPr>
          <w:p w14:paraId="5DA0538B"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Výška príspevku (minimálna a maximálna)</w:t>
            </w:r>
          </w:p>
        </w:tc>
        <w:tc>
          <w:tcPr>
            <w:tcW w:w="7393" w:type="dxa"/>
            <w:gridSpan w:val="9"/>
            <w:vAlign w:val="center"/>
          </w:tcPr>
          <w:p w14:paraId="6AB1E1C5" w14:textId="77777777" w:rsidR="00B23F58" w:rsidRPr="009F4B75" w:rsidRDefault="0004490E" w:rsidP="00B26DD2">
            <w:pPr>
              <w:jc w:val="both"/>
              <w:rPr>
                <w:rFonts w:ascii="Times New Roman" w:hAnsi="Times New Roman" w:cs="Times New Roman"/>
                <w:i/>
              </w:rPr>
            </w:pPr>
            <w:r w:rsidRPr="009F4B75">
              <w:rPr>
                <w:rFonts w:ascii="Times New Roman" w:hAnsi="Times New Roman" w:cs="Times New Roman"/>
                <w:i/>
              </w:rPr>
              <w:t>5</w:t>
            </w:r>
            <w:r w:rsidR="00B23F58" w:rsidRPr="009F4B75">
              <w:rPr>
                <w:rFonts w:ascii="Times New Roman" w:hAnsi="Times New Roman" w:cs="Times New Roman"/>
                <w:i/>
              </w:rPr>
              <w:t>0 000 - 200 000</w:t>
            </w:r>
          </w:p>
        </w:tc>
      </w:tr>
      <w:tr w:rsidR="00B23F58" w:rsidRPr="009F4B75" w14:paraId="6F572695" w14:textId="77777777" w:rsidTr="00B26DD2">
        <w:trPr>
          <w:trHeight w:val="624"/>
        </w:trPr>
        <w:tc>
          <w:tcPr>
            <w:tcW w:w="2127" w:type="dxa"/>
            <w:vMerge w:val="restart"/>
            <w:vAlign w:val="center"/>
          </w:tcPr>
          <w:p w14:paraId="40C8353F"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5BAF97F0" w14:textId="77777777" w:rsidR="00B23F58" w:rsidRPr="009F4B75" w:rsidDel="00D14904" w:rsidRDefault="00B23F58" w:rsidP="00B26DD2">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53"/>
            </w:r>
          </w:p>
        </w:tc>
        <w:tc>
          <w:tcPr>
            <w:tcW w:w="1417" w:type="dxa"/>
            <w:vAlign w:val="center"/>
          </w:tcPr>
          <w:p w14:paraId="7A64BB29"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Spolu</w:t>
            </w:r>
          </w:p>
        </w:tc>
        <w:tc>
          <w:tcPr>
            <w:tcW w:w="1276" w:type="dxa"/>
            <w:vAlign w:val="center"/>
          </w:tcPr>
          <w:p w14:paraId="056D0018"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EÚ</w:t>
            </w:r>
          </w:p>
        </w:tc>
        <w:tc>
          <w:tcPr>
            <w:tcW w:w="1276" w:type="dxa"/>
            <w:gridSpan w:val="2"/>
            <w:vAlign w:val="center"/>
          </w:tcPr>
          <w:p w14:paraId="41A95749"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ŠR</w:t>
            </w:r>
          </w:p>
        </w:tc>
        <w:tc>
          <w:tcPr>
            <w:tcW w:w="1495" w:type="dxa"/>
            <w:gridSpan w:val="3"/>
            <w:vAlign w:val="center"/>
          </w:tcPr>
          <w:p w14:paraId="188658B3"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VZ</w:t>
            </w:r>
          </w:p>
        </w:tc>
        <w:tc>
          <w:tcPr>
            <w:tcW w:w="937" w:type="dxa"/>
            <w:vAlign w:val="center"/>
          </w:tcPr>
          <w:p w14:paraId="750581F2"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iné</w:t>
            </w:r>
          </w:p>
        </w:tc>
      </w:tr>
      <w:tr w:rsidR="00B23F58" w:rsidRPr="009F4B75" w14:paraId="532E7298" w14:textId="77777777" w:rsidTr="00B26DD2">
        <w:trPr>
          <w:trHeight w:val="624"/>
        </w:trPr>
        <w:tc>
          <w:tcPr>
            <w:tcW w:w="2127" w:type="dxa"/>
            <w:vMerge/>
            <w:vAlign w:val="center"/>
          </w:tcPr>
          <w:p w14:paraId="7D702420" w14:textId="77777777" w:rsidR="00B23F58" w:rsidRPr="009F4B75" w:rsidRDefault="00B23F58" w:rsidP="00B26DD2">
            <w:pPr>
              <w:rPr>
                <w:rFonts w:ascii="Times New Roman" w:hAnsi="Times New Roman" w:cs="Times New Roman"/>
              </w:rPr>
            </w:pPr>
          </w:p>
        </w:tc>
        <w:tc>
          <w:tcPr>
            <w:tcW w:w="992" w:type="dxa"/>
            <w:vAlign w:val="center"/>
          </w:tcPr>
          <w:p w14:paraId="5226E585" w14:textId="77777777" w:rsidR="00B23F58" w:rsidRPr="009F4B75" w:rsidDel="00D14904" w:rsidRDefault="00B23F58" w:rsidP="00B26DD2">
            <w:pPr>
              <w:jc w:val="center"/>
              <w:rPr>
                <w:rFonts w:ascii="Times New Roman" w:hAnsi="Times New Roman" w:cs="Times New Roman"/>
              </w:rPr>
            </w:pPr>
            <w:r w:rsidRPr="009F4B75">
              <w:rPr>
                <w:rFonts w:ascii="Times New Roman" w:hAnsi="Times New Roman" w:cs="Times New Roman"/>
              </w:rPr>
              <w:t xml:space="preserve">MR </w:t>
            </w:r>
          </w:p>
        </w:tc>
        <w:tc>
          <w:tcPr>
            <w:tcW w:w="1417" w:type="dxa"/>
            <w:vAlign w:val="center"/>
          </w:tcPr>
          <w:p w14:paraId="39400FEF"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200 000,00</w:t>
            </w:r>
          </w:p>
        </w:tc>
        <w:tc>
          <w:tcPr>
            <w:tcW w:w="1276" w:type="dxa"/>
            <w:vAlign w:val="center"/>
          </w:tcPr>
          <w:p w14:paraId="69B01DE3"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170 000,00</w:t>
            </w:r>
          </w:p>
        </w:tc>
        <w:tc>
          <w:tcPr>
            <w:tcW w:w="1276" w:type="dxa"/>
            <w:gridSpan w:val="2"/>
            <w:vAlign w:val="center"/>
          </w:tcPr>
          <w:p w14:paraId="2477740B"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20 000,00</w:t>
            </w:r>
          </w:p>
        </w:tc>
        <w:tc>
          <w:tcPr>
            <w:tcW w:w="1495" w:type="dxa"/>
            <w:gridSpan w:val="3"/>
            <w:vAlign w:val="center"/>
          </w:tcPr>
          <w:p w14:paraId="15AB9706"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10 000</w:t>
            </w:r>
          </w:p>
        </w:tc>
        <w:tc>
          <w:tcPr>
            <w:tcW w:w="937" w:type="dxa"/>
            <w:vAlign w:val="center"/>
          </w:tcPr>
          <w:p w14:paraId="72CD9087"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r>
      <w:tr w:rsidR="00B23F58" w:rsidRPr="009F4B75" w14:paraId="54708568" w14:textId="77777777" w:rsidTr="00B26DD2">
        <w:trPr>
          <w:trHeight w:val="624"/>
        </w:trPr>
        <w:tc>
          <w:tcPr>
            <w:tcW w:w="2127" w:type="dxa"/>
            <w:vMerge/>
            <w:vAlign w:val="center"/>
          </w:tcPr>
          <w:p w14:paraId="37EF0C42" w14:textId="77777777" w:rsidR="00B23F58" w:rsidRPr="009F4B75" w:rsidRDefault="00B23F58" w:rsidP="00B26DD2">
            <w:pPr>
              <w:rPr>
                <w:rFonts w:ascii="Times New Roman" w:hAnsi="Times New Roman" w:cs="Times New Roman"/>
              </w:rPr>
            </w:pPr>
          </w:p>
        </w:tc>
        <w:tc>
          <w:tcPr>
            <w:tcW w:w="992" w:type="dxa"/>
            <w:vAlign w:val="center"/>
          </w:tcPr>
          <w:p w14:paraId="68B60E0D" w14:textId="77777777" w:rsidR="00B23F58" w:rsidRPr="009F4B75" w:rsidDel="00D14904" w:rsidRDefault="00B23F58" w:rsidP="00B26DD2">
            <w:pPr>
              <w:jc w:val="center"/>
              <w:rPr>
                <w:rFonts w:ascii="Times New Roman" w:hAnsi="Times New Roman" w:cs="Times New Roman"/>
              </w:rPr>
            </w:pPr>
            <w:r w:rsidRPr="009F4B75">
              <w:rPr>
                <w:rFonts w:ascii="Times New Roman" w:hAnsi="Times New Roman" w:cs="Times New Roman"/>
              </w:rPr>
              <w:t>VR</w:t>
            </w:r>
          </w:p>
        </w:tc>
        <w:tc>
          <w:tcPr>
            <w:tcW w:w="1417" w:type="dxa"/>
            <w:vAlign w:val="center"/>
          </w:tcPr>
          <w:p w14:paraId="2B45ECE7"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c>
          <w:tcPr>
            <w:tcW w:w="1276" w:type="dxa"/>
            <w:vAlign w:val="center"/>
          </w:tcPr>
          <w:p w14:paraId="349E2E23"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c>
          <w:tcPr>
            <w:tcW w:w="1276" w:type="dxa"/>
            <w:gridSpan w:val="2"/>
            <w:vAlign w:val="center"/>
          </w:tcPr>
          <w:p w14:paraId="335CD4D9"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0B5E6466"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c>
          <w:tcPr>
            <w:tcW w:w="937" w:type="dxa"/>
            <w:vAlign w:val="center"/>
          </w:tcPr>
          <w:p w14:paraId="3F3E4F2F"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r>
      <w:tr w:rsidR="00B23F58" w:rsidRPr="009F4B75" w14:paraId="45252CBE" w14:textId="77777777" w:rsidTr="00B26DD2">
        <w:trPr>
          <w:trHeight w:val="624"/>
        </w:trPr>
        <w:tc>
          <w:tcPr>
            <w:tcW w:w="2127" w:type="dxa"/>
            <w:vMerge/>
            <w:vAlign w:val="center"/>
          </w:tcPr>
          <w:p w14:paraId="7BBABD9F" w14:textId="77777777" w:rsidR="00B23F58" w:rsidRPr="009F4B75" w:rsidRDefault="00B23F58" w:rsidP="00B26DD2">
            <w:pPr>
              <w:rPr>
                <w:rFonts w:ascii="Times New Roman" w:hAnsi="Times New Roman" w:cs="Times New Roman"/>
              </w:rPr>
            </w:pPr>
          </w:p>
        </w:tc>
        <w:tc>
          <w:tcPr>
            <w:tcW w:w="992" w:type="dxa"/>
            <w:vAlign w:val="center"/>
          </w:tcPr>
          <w:p w14:paraId="46096A9B" w14:textId="77777777" w:rsidR="00B23F58" w:rsidRPr="009F4B75" w:rsidDel="00D14904" w:rsidRDefault="00B23F58" w:rsidP="00B26DD2">
            <w:pPr>
              <w:jc w:val="center"/>
              <w:rPr>
                <w:rFonts w:ascii="Times New Roman" w:hAnsi="Times New Roman" w:cs="Times New Roman"/>
              </w:rPr>
            </w:pPr>
            <w:r w:rsidRPr="009F4B75">
              <w:rPr>
                <w:rFonts w:ascii="Times New Roman" w:hAnsi="Times New Roman" w:cs="Times New Roman"/>
              </w:rPr>
              <w:t>Spolu</w:t>
            </w:r>
          </w:p>
        </w:tc>
        <w:tc>
          <w:tcPr>
            <w:tcW w:w="1417" w:type="dxa"/>
            <w:vAlign w:val="center"/>
          </w:tcPr>
          <w:p w14:paraId="724BA13C"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200 000,00</w:t>
            </w:r>
          </w:p>
        </w:tc>
        <w:tc>
          <w:tcPr>
            <w:tcW w:w="1276" w:type="dxa"/>
            <w:vAlign w:val="center"/>
          </w:tcPr>
          <w:p w14:paraId="5A756E56"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170 000,00</w:t>
            </w:r>
          </w:p>
        </w:tc>
        <w:tc>
          <w:tcPr>
            <w:tcW w:w="1276" w:type="dxa"/>
            <w:gridSpan w:val="2"/>
            <w:vAlign w:val="center"/>
          </w:tcPr>
          <w:p w14:paraId="6616B6AD"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20 000,00</w:t>
            </w:r>
          </w:p>
        </w:tc>
        <w:tc>
          <w:tcPr>
            <w:tcW w:w="1495" w:type="dxa"/>
            <w:gridSpan w:val="3"/>
            <w:vAlign w:val="center"/>
          </w:tcPr>
          <w:p w14:paraId="106AF819"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10 000</w:t>
            </w:r>
          </w:p>
        </w:tc>
        <w:tc>
          <w:tcPr>
            <w:tcW w:w="937" w:type="dxa"/>
            <w:vAlign w:val="center"/>
          </w:tcPr>
          <w:p w14:paraId="72BC841C" w14:textId="77777777" w:rsidR="00B23F58" w:rsidRPr="009F4B75" w:rsidRDefault="00B23F58" w:rsidP="00B26DD2">
            <w:pPr>
              <w:jc w:val="right"/>
              <w:rPr>
                <w:rFonts w:ascii="Times New Roman" w:hAnsi="Times New Roman" w:cs="Times New Roman"/>
              </w:rPr>
            </w:pPr>
            <w:r w:rsidRPr="009F4B75">
              <w:rPr>
                <w:rFonts w:ascii="Times New Roman" w:hAnsi="Times New Roman" w:cs="Times New Roman"/>
              </w:rPr>
              <w:t>-</w:t>
            </w:r>
          </w:p>
        </w:tc>
      </w:tr>
      <w:tr w:rsidR="00B23F58" w:rsidRPr="009F4B75" w14:paraId="3580C570" w14:textId="77777777" w:rsidTr="00B26DD2">
        <w:trPr>
          <w:trHeight w:val="624"/>
        </w:trPr>
        <w:tc>
          <w:tcPr>
            <w:tcW w:w="2127" w:type="dxa"/>
            <w:vAlign w:val="center"/>
          </w:tcPr>
          <w:p w14:paraId="3E32578E"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lastRenderedPageBreak/>
              <w:t>Princípy pre stanovenie výberových a </w:t>
            </w:r>
          </w:p>
          <w:p w14:paraId="2C55B6F5"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hodnotiacich kritérií/Hlavné zásady výberu operácií</w:t>
            </w:r>
            <w:r w:rsidRPr="009F4B75">
              <w:rPr>
                <w:rStyle w:val="Odkaznapoznmkupodiarou"/>
                <w:rFonts w:ascii="Times New Roman" w:hAnsi="Times New Roman" w:cs="Times New Roman"/>
              </w:rPr>
              <w:footnoteReference w:id="54"/>
            </w:r>
          </w:p>
        </w:tc>
        <w:tc>
          <w:tcPr>
            <w:tcW w:w="7393" w:type="dxa"/>
            <w:gridSpan w:val="9"/>
            <w:vAlign w:val="center"/>
          </w:tcPr>
          <w:p w14:paraId="6F589CB5" w14:textId="77777777" w:rsidR="00B23F58" w:rsidRPr="009F4B75" w:rsidRDefault="00B23F58" w:rsidP="00B26DD2">
            <w:pPr>
              <w:rPr>
                <w:rFonts w:ascii="Times New Roman" w:hAnsi="Times New Roman" w:cs="Times New Roman"/>
                <w:i/>
              </w:rPr>
            </w:pPr>
            <w:r w:rsidRPr="009F4B75">
              <w:rPr>
                <w:rFonts w:ascii="Times New Roman" w:hAnsi="Times New Roman" w:cs="Times New Roman"/>
                <w:i/>
              </w:rPr>
              <w:t>v súlade s PRV</w:t>
            </w:r>
          </w:p>
        </w:tc>
      </w:tr>
      <w:tr w:rsidR="00B23F58" w:rsidRPr="009F4B75" w14:paraId="79085DBE" w14:textId="77777777" w:rsidTr="00B26DD2">
        <w:trPr>
          <w:trHeight w:val="624"/>
        </w:trPr>
        <w:tc>
          <w:tcPr>
            <w:tcW w:w="2127" w:type="dxa"/>
            <w:vAlign w:val="center"/>
          </w:tcPr>
          <w:p w14:paraId="282332EE"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Povinné prílohy stanovené MAS</w:t>
            </w:r>
            <w:r w:rsidRPr="009F4B75">
              <w:rPr>
                <w:rStyle w:val="Odkaznapoznmkupodiarou"/>
                <w:rFonts w:ascii="Times New Roman" w:hAnsi="Times New Roman" w:cs="Times New Roman"/>
              </w:rPr>
              <w:footnoteReference w:id="55"/>
            </w:r>
          </w:p>
        </w:tc>
        <w:tc>
          <w:tcPr>
            <w:tcW w:w="7393" w:type="dxa"/>
            <w:gridSpan w:val="9"/>
            <w:vAlign w:val="center"/>
          </w:tcPr>
          <w:p w14:paraId="696594BF" w14:textId="77777777" w:rsidR="00B23F58" w:rsidRPr="009F4B75" w:rsidRDefault="00B23F58" w:rsidP="00B26DD2">
            <w:pPr>
              <w:rPr>
                <w:rFonts w:ascii="Times New Roman" w:hAnsi="Times New Roman" w:cs="Times New Roman"/>
                <w:i/>
              </w:rPr>
            </w:pPr>
            <w:r w:rsidRPr="009F4B75">
              <w:rPr>
                <w:rFonts w:ascii="Times New Roman" w:hAnsi="Times New Roman" w:cs="Times New Roman"/>
                <w:i/>
              </w:rPr>
              <w:t>-</w:t>
            </w:r>
          </w:p>
        </w:tc>
      </w:tr>
      <w:tr w:rsidR="00B23F58" w:rsidRPr="009F4B75" w14:paraId="7A1541CA" w14:textId="77777777" w:rsidTr="00B26DD2">
        <w:trPr>
          <w:trHeight w:val="624"/>
        </w:trPr>
        <w:tc>
          <w:tcPr>
            <w:tcW w:w="2127" w:type="dxa"/>
            <w:vMerge w:val="restart"/>
            <w:vAlign w:val="center"/>
          </w:tcPr>
          <w:p w14:paraId="5101339D"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Merateľné ukazovatele projektu</w:t>
            </w:r>
          </w:p>
        </w:tc>
        <w:tc>
          <w:tcPr>
            <w:tcW w:w="992" w:type="dxa"/>
            <w:vAlign w:val="center"/>
          </w:tcPr>
          <w:p w14:paraId="3625F5F6" w14:textId="77777777" w:rsidR="00B23F58" w:rsidRPr="009F4B75" w:rsidRDefault="00B23F58" w:rsidP="00B26DD2">
            <w:pPr>
              <w:jc w:val="center"/>
              <w:rPr>
                <w:rFonts w:ascii="Times New Roman" w:hAnsi="Times New Roman" w:cs="Times New Roman"/>
                <w:i/>
              </w:rPr>
            </w:pPr>
            <w:r w:rsidRPr="009F4B75">
              <w:rPr>
                <w:rFonts w:ascii="Times New Roman" w:hAnsi="Times New Roman" w:cs="Times New Roman"/>
              </w:rPr>
              <w:t>Kód/ID</w:t>
            </w:r>
          </w:p>
        </w:tc>
        <w:tc>
          <w:tcPr>
            <w:tcW w:w="2855" w:type="dxa"/>
            <w:gridSpan w:val="3"/>
            <w:vAlign w:val="center"/>
          </w:tcPr>
          <w:p w14:paraId="6959B5BB" w14:textId="77777777" w:rsidR="00B23F58" w:rsidRPr="009F4B75" w:rsidRDefault="00B23F58" w:rsidP="00B26DD2">
            <w:pPr>
              <w:jc w:val="center"/>
              <w:rPr>
                <w:rFonts w:ascii="Times New Roman" w:hAnsi="Times New Roman" w:cs="Times New Roman"/>
                <w:i/>
              </w:rPr>
            </w:pPr>
            <w:r w:rsidRPr="009F4B75">
              <w:rPr>
                <w:rFonts w:ascii="Times New Roman" w:hAnsi="Times New Roman" w:cs="Times New Roman"/>
              </w:rPr>
              <w:t>Názov/Ukazovateľ</w:t>
            </w:r>
          </w:p>
        </w:tc>
        <w:tc>
          <w:tcPr>
            <w:tcW w:w="1155" w:type="dxa"/>
            <w:gridSpan w:val="2"/>
            <w:vAlign w:val="center"/>
          </w:tcPr>
          <w:p w14:paraId="319DBF32" w14:textId="77777777" w:rsidR="00B23F58" w:rsidRPr="009F4B75" w:rsidRDefault="00B23F58" w:rsidP="00B26DD2">
            <w:pPr>
              <w:jc w:val="center"/>
              <w:rPr>
                <w:rFonts w:ascii="Times New Roman" w:hAnsi="Times New Roman" w:cs="Times New Roman"/>
                <w:i/>
              </w:rPr>
            </w:pPr>
            <w:r w:rsidRPr="009F4B75">
              <w:rPr>
                <w:rFonts w:ascii="Times New Roman" w:hAnsi="Times New Roman" w:cs="Times New Roman"/>
              </w:rPr>
              <w:t>Merná jednotka</w:t>
            </w:r>
          </w:p>
        </w:tc>
        <w:tc>
          <w:tcPr>
            <w:tcW w:w="1262" w:type="dxa"/>
            <w:vAlign w:val="center"/>
          </w:tcPr>
          <w:p w14:paraId="0BBCA919" w14:textId="77777777" w:rsidR="00B23F58" w:rsidRPr="009F4B75" w:rsidRDefault="00B23F58" w:rsidP="00B26DD2">
            <w:pPr>
              <w:jc w:val="center"/>
              <w:rPr>
                <w:rFonts w:ascii="Times New Roman" w:hAnsi="Times New Roman" w:cs="Times New Roman"/>
                <w:i/>
              </w:rPr>
            </w:pPr>
            <w:r w:rsidRPr="009F4B75">
              <w:rPr>
                <w:rFonts w:ascii="Times New Roman" w:hAnsi="Times New Roman" w:cs="Times New Roman"/>
              </w:rPr>
              <w:t>Počiatočná hodnota</w:t>
            </w:r>
          </w:p>
        </w:tc>
        <w:tc>
          <w:tcPr>
            <w:tcW w:w="1129" w:type="dxa"/>
            <w:gridSpan w:val="2"/>
            <w:vAlign w:val="center"/>
          </w:tcPr>
          <w:p w14:paraId="5FAFE5F1" w14:textId="77777777" w:rsidR="00B23F58" w:rsidRPr="009F4B75" w:rsidRDefault="00B23F58" w:rsidP="00B26DD2">
            <w:pPr>
              <w:jc w:val="center"/>
              <w:rPr>
                <w:rFonts w:ascii="Times New Roman" w:hAnsi="Times New Roman" w:cs="Times New Roman"/>
                <w:i/>
              </w:rPr>
            </w:pPr>
            <w:r w:rsidRPr="009F4B75">
              <w:rPr>
                <w:rFonts w:ascii="Times New Roman" w:hAnsi="Times New Roman" w:cs="Times New Roman"/>
              </w:rPr>
              <w:t>Celková cieľová hodnota</w:t>
            </w:r>
          </w:p>
        </w:tc>
      </w:tr>
      <w:tr w:rsidR="00B23F58" w:rsidRPr="009F4B75" w14:paraId="494B9972" w14:textId="77777777" w:rsidTr="00B26DD2">
        <w:trPr>
          <w:trHeight w:val="624"/>
        </w:trPr>
        <w:tc>
          <w:tcPr>
            <w:tcW w:w="2127" w:type="dxa"/>
            <w:vMerge/>
            <w:vAlign w:val="center"/>
          </w:tcPr>
          <w:p w14:paraId="1C89CA29" w14:textId="77777777" w:rsidR="00B23F58" w:rsidRPr="009F4B75" w:rsidRDefault="00B23F58" w:rsidP="00B26DD2">
            <w:pPr>
              <w:rPr>
                <w:rFonts w:ascii="Times New Roman" w:hAnsi="Times New Roman" w:cs="Times New Roman"/>
              </w:rPr>
            </w:pPr>
          </w:p>
        </w:tc>
        <w:tc>
          <w:tcPr>
            <w:tcW w:w="992" w:type="dxa"/>
          </w:tcPr>
          <w:p w14:paraId="6D1D5066" w14:textId="77777777" w:rsidR="00B23F58" w:rsidRPr="009F4B75" w:rsidRDefault="00B23F58" w:rsidP="00B26DD2">
            <w:pPr>
              <w:spacing w:after="60"/>
              <w:rPr>
                <w:rFonts w:ascii="Times New Roman" w:hAnsi="Times New Roman" w:cs="Times New Roman"/>
                <w:bCs/>
                <w:sz w:val="24"/>
                <w:szCs w:val="24"/>
              </w:rPr>
            </w:pPr>
            <w:r w:rsidRPr="009F4B75">
              <w:rPr>
                <w:rFonts w:ascii="Times New Roman" w:hAnsi="Times New Roman" w:cs="Times New Roman"/>
                <w:bCs/>
                <w:sz w:val="24"/>
                <w:szCs w:val="24"/>
              </w:rPr>
              <w:t>16.3</w:t>
            </w:r>
          </w:p>
        </w:tc>
        <w:tc>
          <w:tcPr>
            <w:tcW w:w="2855" w:type="dxa"/>
            <w:gridSpan w:val="3"/>
          </w:tcPr>
          <w:p w14:paraId="18A23A2A" w14:textId="77777777" w:rsidR="00B23F58" w:rsidRPr="009F4B75" w:rsidRDefault="00B23F58" w:rsidP="00B26DD2">
            <w:pPr>
              <w:spacing w:after="60"/>
              <w:rPr>
                <w:rFonts w:ascii="Times New Roman" w:hAnsi="Times New Roman" w:cs="Times New Roman"/>
                <w:bCs/>
                <w:sz w:val="24"/>
                <w:szCs w:val="24"/>
              </w:rPr>
            </w:pPr>
            <w:r w:rsidRPr="009F4B75">
              <w:rPr>
                <w:rFonts w:ascii="Times New Roman" w:hAnsi="Times New Roman" w:cs="Times New Roman"/>
                <w:bCs/>
                <w:sz w:val="24"/>
                <w:szCs w:val="24"/>
              </w:rPr>
              <w:t>Počet zapojených subjektov</w:t>
            </w:r>
          </w:p>
        </w:tc>
        <w:tc>
          <w:tcPr>
            <w:tcW w:w="1155" w:type="dxa"/>
            <w:gridSpan w:val="2"/>
            <w:vAlign w:val="center"/>
          </w:tcPr>
          <w:p w14:paraId="229E2052"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Počet</w:t>
            </w:r>
          </w:p>
        </w:tc>
        <w:tc>
          <w:tcPr>
            <w:tcW w:w="1262" w:type="dxa"/>
            <w:vAlign w:val="center"/>
          </w:tcPr>
          <w:p w14:paraId="274AB312"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77C485BD"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4</w:t>
            </w:r>
          </w:p>
        </w:tc>
      </w:tr>
      <w:tr w:rsidR="00B23F58" w:rsidRPr="009F4B75" w14:paraId="458A35ED" w14:textId="77777777" w:rsidTr="00B26DD2">
        <w:trPr>
          <w:trHeight w:val="624"/>
        </w:trPr>
        <w:tc>
          <w:tcPr>
            <w:tcW w:w="2127" w:type="dxa"/>
            <w:vMerge/>
            <w:vAlign w:val="center"/>
          </w:tcPr>
          <w:p w14:paraId="744A98EE" w14:textId="77777777" w:rsidR="00B23F58" w:rsidRPr="009F4B75" w:rsidRDefault="00B23F58" w:rsidP="00B26DD2">
            <w:pPr>
              <w:rPr>
                <w:rFonts w:ascii="Times New Roman" w:hAnsi="Times New Roman" w:cs="Times New Roman"/>
              </w:rPr>
            </w:pPr>
          </w:p>
        </w:tc>
        <w:tc>
          <w:tcPr>
            <w:tcW w:w="992" w:type="dxa"/>
          </w:tcPr>
          <w:p w14:paraId="6CD9DF97" w14:textId="77777777" w:rsidR="00B23F58" w:rsidRPr="009F4B75" w:rsidRDefault="00B23F58" w:rsidP="00B26DD2">
            <w:pPr>
              <w:spacing w:after="60"/>
              <w:rPr>
                <w:rFonts w:ascii="Times New Roman" w:hAnsi="Times New Roman" w:cs="Times New Roman"/>
                <w:bCs/>
                <w:sz w:val="24"/>
                <w:szCs w:val="24"/>
              </w:rPr>
            </w:pPr>
            <w:r w:rsidRPr="009F4B75">
              <w:rPr>
                <w:rFonts w:ascii="Times New Roman" w:hAnsi="Times New Roman" w:cs="Times New Roman"/>
                <w:bCs/>
                <w:sz w:val="24"/>
                <w:szCs w:val="24"/>
              </w:rPr>
              <w:t>16.3</w:t>
            </w:r>
          </w:p>
        </w:tc>
        <w:tc>
          <w:tcPr>
            <w:tcW w:w="2855" w:type="dxa"/>
            <w:gridSpan w:val="3"/>
            <w:vAlign w:val="center"/>
          </w:tcPr>
          <w:p w14:paraId="7D638AE1" w14:textId="77777777" w:rsidR="00B23F58" w:rsidRPr="009F4B75" w:rsidRDefault="00B23F58" w:rsidP="00B26DD2">
            <w:pPr>
              <w:spacing w:after="60"/>
              <w:ind w:left="-10" w:right="-41"/>
              <w:rPr>
                <w:rFonts w:ascii="Times New Roman" w:hAnsi="Times New Roman" w:cs="Times New Roman"/>
              </w:rPr>
            </w:pPr>
            <w:r w:rsidRPr="009F4B75">
              <w:rPr>
                <w:rFonts w:ascii="Times New Roman" w:hAnsi="Times New Roman" w:cs="Times New Roman"/>
                <w:bCs/>
              </w:rPr>
              <w:t>Počet vytvorených pracovných miest</w:t>
            </w:r>
          </w:p>
        </w:tc>
        <w:tc>
          <w:tcPr>
            <w:tcW w:w="1155" w:type="dxa"/>
            <w:gridSpan w:val="2"/>
            <w:vAlign w:val="center"/>
          </w:tcPr>
          <w:p w14:paraId="6ED3D0A6"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počet</w:t>
            </w:r>
          </w:p>
        </w:tc>
        <w:tc>
          <w:tcPr>
            <w:tcW w:w="1262" w:type="dxa"/>
            <w:vAlign w:val="center"/>
          </w:tcPr>
          <w:p w14:paraId="4EF85455"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27C82D9A" w14:textId="77777777" w:rsidR="00B23F58" w:rsidRPr="009F4B75" w:rsidRDefault="00B23F58" w:rsidP="00B26DD2">
            <w:pPr>
              <w:jc w:val="center"/>
              <w:rPr>
                <w:rFonts w:ascii="Times New Roman" w:hAnsi="Times New Roman" w:cs="Times New Roman"/>
              </w:rPr>
            </w:pPr>
            <w:r w:rsidRPr="009F4B75">
              <w:rPr>
                <w:rFonts w:ascii="Times New Roman" w:hAnsi="Times New Roman" w:cs="Times New Roman"/>
              </w:rPr>
              <w:t>1</w:t>
            </w:r>
          </w:p>
        </w:tc>
      </w:tr>
      <w:tr w:rsidR="00B23F58" w:rsidRPr="009F4B75" w14:paraId="16C627E8" w14:textId="77777777" w:rsidTr="00B26DD2">
        <w:trPr>
          <w:trHeight w:val="624"/>
        </w:trPr>
        <w:tc>
          <w:tcPr>
            <w:tcW w:w="2127" w:type="dxa"/>
            <w:vAlign w:val="center"/>
          </w:tcPr>
          <w:p w14:paraId="62439BCA" w14:textId="77777777" w:rsidR="00B23F58" w:rsidRPr="009F4B75" w:rsidRDefault="00B23F58" w:rsidP="00B26DD2">
            <w:pPr>
              <w:rPr>
                <w:rFonts w:ascii="Times New Roman" w:hAnsi="Times New Roman" w:cs="Times New Roman"/>
              </w:rPr>
            </w:pPr>
            <w:r w:rsidRPr="009F4B75">
              <w:rPr>
                <w:rFonts w:ascii="Times New Roman" w:hAnsi="Times New Roman" w:cs="Times New Roman"/>
              </w:rPr>
              <w:t>Indikatívny harmonogram výziev</w:t>
            </w:r>
          </w:p>
        </w:tc>
        <w:tc>
          <w:tcPr>
            <w:tcW w:w="7393" w:type="dxa"/>
            <w:gridSpan w:val="9"/>
          </w:tcPr>
          <w:p w14:paraId="56BC744A" w14:textId="77777777" w:rsidR="00B23F58" w:rsidRPr="009F4B75" w:rsidRDefault="00B23F58" w:rsidP="00B26DD2">
            <w:pPr>
              <w:jc w:val="both"/>
              <w:rPr>
                <w:rFonts w:ascii="Times New Roman" w:hAnsi="Times New Roman" w:cs="Times New Roman"/>
              </w:rPr>
            </w:pPr>
            <w:r w:rsidRPr="009F4B75">
              <w:rPr>
                <w:rFonts w:ascii="Times New Roman" w:hAnsi="Times New Roman" w:cs="Times New Roman"/>
              </w:rPr>
              <w:t>Máj 2018</w:t>
            </w:r>
          </w:p>
        </w:tc>
      </w:tr>
    </w:tbl>
    <w:p w14:paraId="4AF5ADC5" w14:textId="77777777" w:rsidR="00C02D67" w:rsidRDefault="00C02D67" w:rsidP="00D2349E">
      <w:pPr>
        <w:spacing w:after="60" w:line="312" w:lineRule="auto"/>
        <w:rPr>
          <w:rFonts w:ascii="Times New Roman" w:hAnsi="Times New Roman" w:cs="Times New Roman"/>
          <w:b/>
          <w:sz w:val="24"/>
          <w:szCs w:val="24"/>
        </w:rPr>
      </w:pPr>
    </w:p>
    <w:p w14:paraId="4E184B23" w14:textId="77777777" w:rsidR="00362E8C" w:rsidRPr="008951E2" w:rsidRDefault="00362E8C" w:rsidP="00362E8C">
      <w:pPr>
        <w:spacing w:after="0" w:line="312" w:lineRule="auto"/>
        <w:rPr>
          <w:rFonts w:ascii="Times New Roman" w:hAnsi="Times New Roman" w:cs="Times New Roman"/>
          <w:b/>
          <w:sz w:val="20"/>
          <w:szCs w:val="20"/>
        </w:rPr>
      </w:pPr>
      <w:r w:rsidRPr="008951E2">
        <w:rPr>
          <w:rFonts w:ascii="Times New Roman" w:hAnsi="Times New Roman" w:cs="Times New Roman"/>
          <w:b/>
          <w:sz w:val="20"/>
          <w:szCs w:val="20"/>
        </w:rPr>
        <w:t>Tabuľka č. 5.2.</w:t>
      </w:r>
      <w:r w:rsidR="002A0E09">
        <w:rPr>
          <w:rFonts w:ascii="Times New Roman" w:hAnsi="Times New Roman" w:cs="Times New Roman"/>
          <w:b/>
          <w:sz w:val="20"/>
          <w:szCs w:val="20"/>
        </w:rPr>
        <w:t>L</w:t>
      </w:r>
      <w:r w:rsidRPr="008951E2">
        <w:rPr>
          <w:rFonts w:ascii="Times New Roman" w:hAnsi="Times New Roman" w:cs="Times New Roman"/>
          <w:b/>
          <w:sz w:val="20"/>
          <w:szCs w:val="20"/>
        </w:rPr>
        <w:t xml:space="preserve"> Opatrenie stratégie CLLD 3.6</w:t>
      </w:r>
    </w:p>
    <w:p w14:paraId="15075F20" w14:textId="77777777" w:rsidR="005202AC" w:rsidRPr="005202AC" w:rsidRDefault="005202AC" w:rsidP="003301D6">
      <w:pPr>
        <w:pStyle w:val="Odsekzoznamu"/>
        <w:keepNext/>
        <w:keepLines/>
        <w:numPr>
          <w:ilvl w:val="0"/>
          <w:numId w:val="20"/>
        </w:numPr>
        <w:spacing w:after="0" w:line="360" w:lineRule="auto"/>
        <w:contextualSpacing w:val="0"/>
        <w:outlineLvl w:val="1"/>
        <w:rPr>
          <w:rFonts w:ascii="Times New Roman" w:eastAsiaTheme="majorEastAsia" w:hAnsi="Times New Roman" w:cstheme="majorBidi"/>
          <w:b/>
          <w:vanish/>
          <w:sz w:val="24"/>
          <w:szCs w:val="26"/>
        </w:rPr>
      </w:pPr>
      <w:bookmarkStart w:id="1688" w:name="_Toc437862879"/>
      <w:bookmarkStart w:id="1689" w:name="_Toc437877465"/>
      <w:bookmarkStart w:id="1690" w:name="_Toc437877663"/>
      <w:bookmarkStart w:id="1691" w:name="_Toc437877863"/>
      <w:bookmarkStart w:id="1692" w:name="_Toc437878063"/>
      <w:bookmarkStart w:id="1693" w:name="_Toc437878266"/>
      <w:bookmarkStart w:id="1694" w:name="_Toc437878470"/>
      <w:bookmarkStart w:id="1695" w:name="_Toc437878674"/>
      <w:bookmarkStart w:id="1696" w:name="_Toc437878878"/>
      <w:bookmarkStart w:id="1697" w:name="_Toc439150040"/>
      <w:bookmarkStart w:id="1698" w:name="_Toc439150396"/>
      <w:bookmarkStart w:id="1699" w:name="_Toc439150595"/>
      <w:bookmarkStart w:id="1700" w:name="_Toc485645685"/>
      <w:bookmarkStart w:id="1701" w:name="_Toc485645844"/>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56D90732" w14:textId="77777777" w:rsidR="005202AC" w:rsidRPr="005202AC" w:rsidRDefault="005202AC" w:rsidP="003301D6">
      <w:pPr>
        <w:pStyle w:val="Odsekzoznamu"/>
        <w:keepNext/>
        <w:keepLines/>
        <w:numPr>
          <w:ilvl w:val="0"/>
          <w:numId w:val="20"/>
        </w:numPr>
        <w:spacing w:after="0" w:line="360" w:lineRule="auto"/>
        <w:contextualSpacing w:val="0"/>
        <w:outlineLvl w:val="1"/>
        <w:rPr>
          <w:rFonts w:ascii="Times New Roman" w:eastAsiaTheme="majorEastAsia" w:hAnsi="Times New Roman" w:cstheme="majorBidi"/>
          <w:b/>
          <w:vanish/>
          <w:sz w:val="24"/>
          <w:szCs w:val="26"/>
        </w:rPr>
      </w:pPr>
      <w:bookmarkStart w:id="1702" w:name="_Toc437862880"/>
      <w:bookmarkStart w:id="1703" w:name="_Toc437877466"/>
      <w:bookmarkStart w:id="1704" w:name="_Toc437877664"/>
      <w:bookmarkStart w:id="1705" w:name="_Toc437877864"/>
      <w:bookmarkStart w:id="1706" w:name="_Toc437878064"/>
      <w:bookmarkStart w:id="1707" w:name="_Toc437878267"/>
      <w:bookmarkStart w:id="1708" w:name="_Toc437878471"/>
      <w:bookmarkStart w:id="1709" w:name="_Toc437878675"/>
      <w:bookmarkStart w:id="1710" w:name="_Toc437878879"/>
      <w:bookmarkStart w:id="1711" w:name="_Toc439150041"/>
      <w:bookmarkStart w:id="1712" w:name="_Toc439150397"/>
      <w:bookmarkStart w:id="1713" w:name="_Toc439150596"/>
      <w:bookmarkStart w:id="1714" w:name="_Toc485645686"/>
      <w:bookmarkStart w:id="1715" w:name="_Toc485645845"/>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5EF5E852" w14:textId="77777777" w:rsidR="005202AC" w:rsidRPr="005202AC" w:rsidRDefault="005202AC" w:rsidP="003301D6">
      <w:pPr>
        <w:pStyle w:val="Odsekzoznamu"/>
        <w:keepNext/>
        <w:keepLines/>
        <w:numPr>
          <w:ilvl w:val="0"/>
          <w:numId w:val="20"/>
        </w:numPr>
        <w:spacing w:after="0" w:line="360" w:lineRule="auto"/>
        <w:contextualSpacing w:val="0"/>
        <w:outlineLvl w:val="1"/>
        <w:rPr>
          <w:rFonts w:ascii="Times New Roman" w:eastAsiaTheme="majorEastAsia" w:hAnsi="Times New Roman" w:cstheme="majorBidi"/>
          <w:b/>
          <w:vanish/>
          <w:sz w:val="24"/>
          <w:szCs w:val="26"/>
        </w:rPr>
      </w:pPr>
      <w:bookmarkStart w:id="1716" w:name="_Toc437862881"/>
      <w:bookmarkStart w:id="1717" w:name="_Toc437877467"/>
      <w:bookmarkStart w:id="1718" w:name="_Toc437877665"/>
      <w:bookmarkStart w:id="1719" w:name="_Toc437877865"/>
      <w:bookmarkStart w:id="1720" w:name="_Toc437878065"/>
      <w:bookmarkStart w:id="1721" w:name="_Toc437878268"/>
      <w:bookmarkStart w:id="1722" w:name="_Toc437878472"/>
      <w:bookmarkStart w:id="1723" w:name="_Toc437878676"/>
      <w:bookmarkStart w:id="1724" w:name="_Toc437878880"/>
      <w:bookmarkStart w:id="1725" w:name="_Toc439150042"/>
      <w:bookmarkStart w:id="1726" w:name="_Toc439150398"/>
      <w:bookmarkStart w:id="1727" w:name="_Toc439150597"/>
      <w:bookmarkStart w:id="1728" w:name="_Toc485645687"/>
      <w:bookmarkStart w:id="1729" w:name="_Toc485645846"/>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1ADE85DB" w14:textId="77777777" w:rsidR="005202AC" w:rsidRPr="005202AC" w:rsidRDefault="005202AC" w:rsidP="003301D6">
      <w:pPr>
        <w:pStyle w:val="Odsekzoznamu"/>
        <w:keepNext/>
        <w:keepLines/>
        <w:numPr>
          <w:ilvl w:val="0"/>
          <w:numId w:val="20"/>
        </w:numPr>
        <w:spacing w:after="0" w:line="360" w:lineRule="auto"/>
        <w:contextualSpacing w:val="0"/>
        <w:outlineLvl w:val="1"/>
        <w:rPr>
          <w:rFonts w:ascii="Times New Roman" w:eastAsiaTheme="majorEastAsia" w:hAnsi="Times New Roman" w:cstheme="majorBidi"/>
          <w:b/>
          <w:vanish/>
          <w:sz w:val="24"/>
          <w:szCs w:val="26"/>
        </w:rPr>
      </w:pPr>
      <w:bookmarkStart w:id="1730" w:name="_Toc437862882"/>
      <w:bookmarkStart w:id="1731" w:name="_Toc437877468"/>
      <w:bookmarkStart w:id="1732" w:name="_Toc437877666"/>
      <w:bookmarkStart w:id="1733" w:name="_Toc437877866"/>
      <w:bookmarkStart w:id="1734" w:name="_Toc437878066"/>
      <w:bookmarkStart w:id="1735" w:name="_Toc437878269"/>
      <w:bookmarkStart w:id="1736" w:name="_Toc437878473"/>
      <w:bookmarkStart w:id="1737" w:name="_Toc437878677"/>
      <w:bookmarkStart w:id="1738" w:name="_Toc437878881"/>
      <w:bookmarkStart w:id="1739" w:name="_Toc439150043"/>
      <w:bookmarkStart w:id="1740" w:name="_Toc439150399"/>
      <w:bookmarkStart w:id="1741" w:name="_Toc439150598"/>
      <w:bookmarkStart w:id="1742" w:name="_Toc485645688"/>
      <w:bookmarkStart w:id="1743" w:name="_Toc485645847"/>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65C1E3E5" w14:textId="77777777" w:rsidR="005202AC" w:rsidRPr="005202AC" w:rsidRDefault="005202AC" w:rsidP="003301D6">
      <w:pPr>
        <w:pStyle w:val="Odsekzoznamu"/>
        <w:keepNext/>
        <w:keepLines/>
        <w:numPr>
          <w:ilvl w:val="0"/>
          <w:numId w:val="20"/>
        </w:numPr>
        <w:spacing w:after="0" w:line="360" w:lineRule="auto"/>
        <w:contextualSpacing w:val="0"/>
        <w:outlineLvl w:val="1"/>
        <w:rPr>
          <w:rFonts w:ascii="Times New Roman" w:eastAsiaTheme="majorEastAsia" w:hAnsi="Times New Roman" w:cstheme="majorBidi"/>
          <w:b/>
          <w:vanish/>
          <w:sz w:val="24"/>
          <w:szCs w:val="26"/>
        </w:rPr>
      </w:pPr>
      <w:bookmarkStart w:id="1744" w:name="_Toc437862883"/>
      <w:bookmarkStart w:id="1745" w:name="_Toc437877469"/>
      <w:bookmarkStart w:id="1746" w:name="_Toc437877667"/>
      <w:bookmarkStart w:id="1747" w:name="_Toc437877867"/>
      <w:bookmarkStart w:id="1748" w:name="_Toc437878067"/>
      <w:bookmarkStart w:id="1749" w:name="_Toc437878270"/>
      <w:bookmarkStart w:id="1750" w:name="_Toc437878474"/>
      <w:bookmarkStart w:id="1751" w:name="_Toc437878678"/>
      <w:bookmarkStart w:id="1752" w:name="_Toc437878882"/>
      <w:bookmarkStart w:id="1753" w:name="_Toc439150044"/>
      <w:bookmarkStart w:id="1754" w:name="_Toc439150400"/>
      <w:bookmarkStart w:id="1755" w:name="_Toc439150599"/>
      <w:bookmarkStart w:id="1756" w:name="_Toc485645689"/>
      <w:bookmarkStart w:id="1757" w:name="_Toc485645848"/>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5A50B104" w14:textId="77777777" w:rsidR="005202AC" w:rsidRPr="005202AC" w:rsidRDefault="005202AC" w:rsidP="003301D6">
      <w:pPr>
        <w:pStyle w:val="Odsekzoznamu"/>
        <w:keepNext/>
        <w:keepLines/>
        <w:numPr>
          <w:ilvl w:val="1"/>
          <w:numId w:val="20"/>
        </w:numPr>
        <w:spacing w:after="0" w:line="360" w:lineRule="auto"/>
        <w:contextualSpacing w:val="0"/>
        <w:outlineLvl w:val="1"/>
        <w:rPr>
          <w:rFonts w:ascii="Times New Roman" w:eastAsiaTheme="majorEastAsia" w:hAnsi="Times New Roman" w:cstheme="majorBidi"/>
          <w:b/>
          <w:vanish/>
          <w:sz w:val="24"/>
          <w:szCs w:val="26"/>
        </w:rPr>
      </w:pPr>
      <w:bookmarkStart w:id="1758" w:name="_Toc437862884"/>
      <w:bookmarkStart w:id="1759" w:name="_Toc437877470"/>
      <w:bookmarkStart w:id="1760" w:name="_Toc437877668"/>
      <w:bookmarkStart w:id="1761" w:name="_Toc437877868"/>
      <w:bookmarkStart w:id="1762" w:name="_Toc437878068"/>
      <w:bookmarkStart w:id="1763" w:name="_Toc437878271"/>
      <w:bookmarkStart w:id="1764" w:name="_Toc437878475"/>
      <w:bookmarkStart w:id="1765" w:name="_Toc437878679"/>
      <w:bookmarkStart w:id="1766" w:name="_Toc437878883"/>
      <w:bookmarkStart w:id="1767" w:name="_Toc439150045"/>
      <w:bookmarkStart w:id="1768" w:name="_Toc439150401"/>
      <w:bookmarkStart w:id="1769" w:name="_Toc439150600"/>
      <w:bookmarkStart w:id="1770" w:name="_Toc485645690"/>
      <w:bookmarkStart w:id="1771" w:name="_Toc485645849"/>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64A3C4B6" w14:textId="77777777" w:rsidR="005202AC" w:rsidRPr="005202AC" w:rsidRDefault="005202AC" w:rsidP="003301D6">
      <w:pPr>
        <w:pStyle w:val="Odsekzoznamu"/>
        <w:keepNext/>
        <w:keepLines/>
        <w:numPr>
          <w:ilvl w:val="1"/>
          <w:numId w:val="20"/>
        </w:numPr>
        <w:spacing w:after="0" w:line="360" w:lineRule="auto"/>
        <w:contextualSpacing w:val="0"/>
        <w:outlineLvl w:val="1"/>
        <w:rPr>
          <w:rFonts w:ascii="Times New Roman" w:eastAsiaTheme="majorEastAsia" w:hAnsi="Times New Roman" w:cstheme="majorBidi"/>
          <w:b/>
          <w:vanish/>
          <w:sz w:val="24"/>
          <w:szCs w:val="26"/>
        </w:rPr>
      </w:pPr>
      <w:bookmarkStart w:id="1772" w:name="_Toc437862885"/>
      <w:bookmarkStart w:id="1773" w:name="_Toc437877471"/>
      <w:bookmarkStart w:id="1774" w:name="_Toc437877669"/>
      <w:bookmarkStart w:id="1775" w:name="_Toc437877869"/>
      <w:bookmarkStart w:id="1776" w:name="_Toc437878069"/>
      <w:bookmarkStart w:id="1777" w:name="_Toc437878272"/>
      <w:bookmarkStart w:id="1778" w:name="_Toc437878476"/>
      <w:bookmarkStart w:id="1779" w:name="_Toc437878680"/>
      <w:bookmarkStart w:id="1780" w:name="_Toc437878884"/>
      <w:bookmarkStart w:id="1781" w:name="_Toc439150046"/>
      <w:bookmarkStart w:id="1782" w:name="_Toc439150402"/>
      <w:bookmarkStart w:id="1783" w:name="_Toc439150601"/>
      <w:bookmarkStart w:id="1784" w:name="_Toc485645691"/>
      <w:bookmarkStart w:id="1785" w:name="_Toc485645850"/>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C02D67" w:rsidRPr="00A1636E" w14:paraId="00021108" w14:textId="77777777" w:rsidTr="00FD1A57">
        <w:trPr>
          <w:trHeight w:val="624"/>
        </w:trPr>
        <w:tc>
          <w:tcPr>
            <w:tcW w:w="2127" w:type="dxa"/>
            <w:vAlign w:val="center"/>
          </w:tcPr>
          <w:p w14:paraId="79BE6749" w14:textId="77777777" w:rsidR="00C02D67" w:rsidRPr="00A1636E" w:rsidRDefault="00C02D67" w:rsidP="00C02D67">
            <w:pPr>
              <w:rPr>
                <w:rFonts w:ascii="Times New Roman" w:hAnsi="Times New Roman" w:cs="Times New Roman"/>
              </w:rPr>
            </w:pPr>
            <w:r w:rsidRPr="00A1636E">
              <w:rPr>
                <w:rFonts w:ascii="Times New Roman" w:hAnsi="Times New Roman" w:cs="Times New Roman"/>
              </w:rPr>
              <w:t xml:space="preserve">Názov opatrenia </w:t>
            </w:r>
          </w:p>
        </w:tc>
        <w:tc>
          <w:tcPr>
            <w:tcW w:w="7393" w:type="dxa"/>
            <w:gridSpan w:val="9"/>
          </w:tcPr>
          <w:p w14:paraId="188D4E50" w14:textId="77777777" w:rsidR="00C02D67" w:rsidRPr="009707A1" w:rsidRDefault="00FD1A57" w:rsidP="00C02D67">
            <w:pPr>
              <w:rPr>
                <w:rFonts w:ascii="Times New Roman" w:hAnsi="Times New Roman" w:cs="Times New Roman"/>
              </w:rPr>
            </w:pPr>
            <w:r>
              <w:rPr>
                <w:rFonts w:ascii="Times New Roman" w:hAnsi="Times New Roman" w:cs="Times New Roman"/>
                <w:b/>
                <w:sz w:val="24"/>
                <w:szCs w:val="24"/>
              </w:rPr>
              <w:t>3</w:t>
            </w:r>
            <w:r w:rsidRPr="003C0D7F">
              <w:rPr>
                <w:rFonts w:ascii="Times New Roman" w:hAnsi="Times New Roman" w:cs="Times New Roman"/>
                <w:b/>
                <w:sz w:val="24"/>
                <w:szCs w:val="24"/>
              </w:rPr>
              <w:t>.</w:t>
            </w:r>
            <w:r>
              <w:rPr>
                <w:rFonts w:ascii="Times New Roman" w:hAnsi="Times New Roman" w:cs="Times New Roman"/>
                <w:b/>
                <w:sz w:val="24"/>
                <w:szCs w:val="24"/>
              </w:rPr>
              <w:t>6 Podpora zamestnanosti, začleňovania a rozvoja ľudských zdrojov</w:t>
            </w:r>
          </w:p>
        </w:tc>
      </w:tr>
      <w:tr w:rsidR="00C02D67" w:rsidRPr="00A1636E" w14:paraId="14CD168C" w14:textId="77777777" w:rsidTr="00FD1A57">
        <w:trPr>
          <w:trHeight w:val="624"/>
        </w:trPr>
        <w:tc>
          <w:tcPr>
            <w:tcW w:w="2127" w:type="dxa"/>
            <w:vAlign w:val="center"/>
          </w:tcPr>
          <w:p w14:paraId="6A541BB2" w14:textId="77777777" w:rsidR="00C02D67" w:rsidRPr="00A1636E" w:rsidRDefault="00C02D67" w:rsidP="00C02D67">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56"/>
            </w:r>
            <w:r w:rsidRPr="00A1636E">
              <w:rPr>
                <w:rFonts w:ascii="Times New Roman" w:hAnsi="Times New Roman" w:cs="Times New Roman"/>
              </w:rPr>
              <w:t xml:space="preserve"> </w:t>
            </w:r>
          </w:p>
        </w:tc>
        <w:tc>
          <w:tcPr>
            <w:tcW w:w="7393" w:type="dxa"/>
            <w:gridSpan w:val="9"/>
          </w:tcPr>
          <w:p w14:paraId="37B779EC" w14:textId="77777777" w:rsidR="00C02D67" w:rsidRPr="009707A1" w:rsidRDefault="008A5900" w:rsidP="00C02D67">
            <w:pPr>
              <w:rPr>
                <w:rFonts w:ascii="Times New Roman" w:hAnsi="Times New Roman" w:cs="Times New Roman"/>
              </w:rPr>
            </w:pPr>
            <w:r>
              <w:rPr>
                <w:rFonts w:ascii="Times New Roman" w:hAnsi="Times New Roman" w:cs="Times New Roman"/>
              </w:rPr>
              <w:t>-</w:t>
            </w:r>
          </w:p>
        </w:tc>
      </w:tr>
      <w:tr w:rsidR="00C02D67" w:rsidRPr="00320E60" w14:paraId="6086D6DB" w14:textId="77777777" w:rsidTr="00FD1A57">
        <w:trPr>
          <w:trHeight w:val="624"/>
        </w:trPr>
        <w:tc>
          <w:tcPr>
            <w:tcW w:w="2127" w:type="dxa"/>
            <w:vAlign w:val="center"/>
          </w:tcPr>
          <w:p w14:paraId="1AE6BB19" w14:textId="77777777" w:rsidR="00C02D67" w:rsidRPr="00320E60" w:rsidRDefault="00C02D67"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Priradenie k fokusovej oblasti PRV/ŠC IROP</w:t>
            </w:r>
          </w:p>
        </w:tc>
        <w:tc>
          <w:tcPr>
            <w:tcW w:w="7393" w:type="dxa"/>
            <w:gridSpan w:val="9"/>
          </w:tcPr>
          <w:p w14:paraId="20A47770" w14:textId="77777777" w:rsidR="00C02D67" w:rsidRPr="00320E60" w:rsidRDefault="008A5900" w:rsidP="00C02D67">
            <w:pPr>
              <w:rPr>
                <w:rFonts w:ascii="Times New Roman" w:hAnsi="Times New Roman" w:cs="Times New Roman"/>
                <w:color w:val="000000" w:themeColor="text1"/>
              </w:rPr>
            </w:pPr>
            <w:r>
              <w:rPr>
                <w:rFonts w:ascii="Times New Roman" w:hAnsi="Times New Roman" w:cs="Times New Roman"/>
                <w:color w:val="000000" w:themeColor="text1"/>
              </w:rPr>
              <w:t>-</w:t>
            </w:r>
          </w:p>
        </w:tc>
      </w:tr>
      <w:tr w:rsidR="0004490E" w:rsidRPr="00320E60" w14:paraId="5A9E2530" w14:textId="77777777" w:rsidTr="00FD1A57">
        <w:trPr>
          <w:trHeight w:val="624"/>
        </w:trPr>
        <w:tc>
          <w:tcPr>
            <w:tcW w:w="2127" w:type="dxa"/>
            <w:vAlign w:val="center"/>
          </w:tcPr>
          <w:p w14:paraId="2FED813A"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393" w:type="dxa"/>
            <w:gridSpan w:val="9"/>
            <w:vAlign w:val="center"/>
          </w:tcPr>
          <w:p w14:paraId="4583569A" w14:textId="77777777" w:rsidR="0004490E" w:rsidRPr="00320E60" w:rsidRDefault="0004490E" w:rsidP="00C02D67">
            <w:pPr>
              <w:jc w:val="both"/>
              <w:rPr>
                <w:rFonts w:ascii="Times New Roman" w:hAnsi="Times New Roman" w:cs="Times New Roman"/>
                <w:i/>
                <w:color w:val="000000" w:themeColor="text1"/>
                <w:sz w:val="18"/>
                <w:szCs w:val="18"/>
              </w:rPr>
            </w:pPr>
            <w:r w:rsidRPr="00CC383B">
              <w:rPr>
                <w:rFonts w:ascii="Times New Roman" w:hAnsi="Times New Roman" w:cs="Times New Roman"/>
                <w:i/>
                <w:color w:val="000000" w:themeColor="text1"/>
              </w:rPr>
              <w:t>Opatrenie prispieva k naplneniu Špecifického cieľa: Vytvoriť kvalitné podmienky pre rozvoj podnikania a zamestnanosti.. Zvýšiť zamestnanosť s osobitným dôrazom na dlhodobo nezamestnaných, nízko kvalifikovaných, starších a zdravotne postihnuté osoby. Zlepšiť prístup na trh práce uplatnením účinných nástrojov na podporu zamestnanosti, vrátane podpory mobility pre získanie zamestnania, samostatnej zárobkovej činnosti a aktivít vo vidieckych oblastiach.</w:t>
            </w:r>
          </w:p>
        </w:tc>
      </w:tr>
      <w:tr w:rsidR="0004490E" w:rsidRPr="00320E60" w14:paraId="0DE88CB0" w14:textId="77777777" w:rsidTr="00FD1A57">
        <w:trPr>
          <w:trHeight w:val="624"/>
        </w:trPr>
        <w:tc>
          <w:tcPr>
            <w:tcW w:w="2127" w:type="dxa"/>
            <w:vAlign w:val="center"/>
          </w:tcPr>
          <w:p w14:paraId="00059B14"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393" w:type="dxa"/>
            <w:gridSpan w:val="9"/>
            <w:vAlign w:val="center"/>
          </w:tcPr>
          <w:p w14:paraId="721AEC4F" w14:textId="77777777" w:rsidR="0004490E" w:rsidRPr="00320E60" w:rsidRDefault="0004490E" w:rsidP="00C02D67">
            <w:pPr>
              <w:jc w:val="both"/>
              <w:rPr>
                <w:rFonts w:ascii="Times New Roman" w:hAnsi="Times New Roman" w:cs="Times New Roman"/>
                <w:i/>
                <w:color w:val="000000" w:themeColor="text1"/>
              </w:rPr>
            </w:pPr>
            <w:r w:rsidRPr="00CC383B">
              <w:rPr>
                <w:rFonts w:ascii="Times New Roman" w:hAnsi="Times New Roman" w:cs="Times New Roman"/>
                <w:i/>
                <w:color w:val="000000" w:themeColor="text1"/>
              </w:rPr>
              <w:t>Opatrenie reflektuje na potreby identifikované v oblasti Hospodárstvo a Ľudské zdroje a sekundárne aj Životné prostredie v rámci Identifikácie potrieb.</w:t>
            </w:r>
          </w:p>
        </w:tc>
      </w:tr>
      <w:tr w:rsidR="0004490E" w:rsidRPr="00320E60" w14:paraId="444C80F2" w14:textId="77777777" w:rsidTr="00FD1A57">
        <w:trPr>
          <w:trHeight w:val="624"/>
        </w:trPr>
        <w:tc>
          <w:tcPr>
            <w:tcW w:w="2127" w:type="dxa"/>
            <w:vAlign w:val="center"/>
          </w:tcPr>
          <w:p w14:paraId="2D69F243"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393" w:type="dxa"/>
            <w:gridSpan w:val="9"/>
            <w:vAlign w:val="center"/>
          </w:tcPr>
          <w:p w14:paraId="547FC244" w14:textId="77777777" w:rsidR="0004490E" w:rsidRPr="00320E60" w:rsidRDefault="0004490E" w:rsidP="00C02D67">
            <w:pPr>
              <w:jc w:val="both"/>
              <w:rPr>
                <w:rFonts w:ascii="Times New Roman" w:hAnsi="Times New Roman" w:cs="Times New Roman"/>
                <w:i/>
                <w:color w:val="000000" w:themeColor="text1"/>
              </w:rPr>
            </w:pPr>
            <w:r w:rsidRPr="00346875">
              <w:rPr>
                <w:rFonts w:ascii="Times New Roman" w:hAnsi="Times New Roman" w:cs="Times New Roman"/>
                <w:i/>
                <w:color w:val="000000" w:themeColor="text1"/>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04490E" w:rsidRPr="00320E60" w14:paraId="177A6096" w14:textId="77777777" w:rsidTr="00FD1A57">
        <w:trPr>
          <w:trHeight w:val="624"/>
        </w:trPr>
        <w:tc>
          <w:tcPr>
            <w:tcW w:w="2127" w:type="dxa"/>
            <w:vAlign w:val="center"/>
          </w:tcPr>
          <w:p w14:paraId="45FBA060"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Oprávnení prijímatelia</w:t>
            </w:r>
          </w:p>
        </w:tc>
        <w:tc>
          <w:tcPr>
            <w:tcW w:w="7393" w:type="dxa"/>
            <w:gridSpan w:val="9"/>
            <w:vAlign w:val="center"/>
          </w:tcPr>
          <w:p w14:paraId="61446242" w14:textId="77777777" w:rsidR="0004490E" w:rsidRPr="00320E60" w:rsidRDefault="0004490E" w:rsidP="00FD1A57">
            <w:pPr>
              <w:jc w:val="both"/>
              <w:rPr>
                <w:rFonts w:ascii="Times New Roman" w:hAnsi="Times New Roman" w:cs="Times New Roman"/>
                <w:color w:val="000000" w:themeColor="text1"/>
              </w:rPr>
            </w:pPr>
            <w:r w:rsidRPr="00320E60">
              <w:rPr>
                <w:rFonts w:ascii="Times New Roman" w:hAnsi="Times New Roman" w:cs="Times New Roman"/>
                <w:i/>
                <w:color w:val="000000" w:themeColor="text1"/>
              </w:rPr>
              <w:t>v súlade s</w:t>
            </w:r>
            <w:r>
              <w:rPr>
                <w:rFonts w:ascii="Times New Roman" w:hAnsi="Times New Roman" w:cs="Times New Roman"/>
                <w:i/>
                <w:color w:val="000000" w:themeColor="text1"/>
              </w:rPr>
              <w:t> Operačný program Ľudské zdroje</w:t>
            </w:r>
          </w:p>
        </w:tc>
      </w:tr>
      <w:tr w:rsidR="0004490E" w:rsidRPr="00320E60" w14:paraId="0F4FE269" w14:textId="77777777" w:rsidTr="00FD1A57">
        <w:trPr>
          <w:trHeight w:val="624"/>
        </w:trPr>
        <w:tc>
          <w:tcPr>
            <w:tcW w:w="2127" w:type="dxa"/>
            <w:vAlign w:val="center"/>
          </w:tcPr>
          <w:p w14:paraId="4CD80F77"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 xml:space="preserve">Intenzita pomoci </w:t>
            </w:r>
            <w:r w:rsidRPr="00320E60">
              <w:rPr>
                <w:rStyle w:val="Odkaznapoznmkupodiarou"/>
                <w:rFonts w:ascii="Times New Roman" w:hAnsi="Times New Roman" w:cs="Times New Roman"/>
                <w:color w:val="000000" w:themeColor="text1"/>
              </w:rPr>
              <w:footnoteReference w:id="57"/>
            </w:r>
          </w:p>
        </w:tc>
        <w:tc>
          <w:tcPr>
            <w:tcW w:w="7393" w:type="dxa"/>
            <w:gridSpan w:val="9"/>
            <w:vAlign w:val="center"/>
          </w:tcPr>
          <w:p w14:paraId="17D6322F" w14:textId="77777777" w:rsidR="0004490E" w:rsidRPr="00320E60" w:rsidRDefault="0004490E" w:rsidP="00C02D67">
            <w:pPr>
              <w:jc w:val="both"/>
              <w:rPr>
                <w:rFonts w:ascii="Times New Roman" w:hAnsi="Times New Roman" w:cs="Times New Roman"/>
                <w:color w:val="000000" w:themeColor="text1"/>
              </w:rPr>
            </w:pPr>
            <w:r>
              <w:rPr>
                <w:rFonts w:ascii="Times New Roman" w:hAnsi="Times New Roman" w:cs="Times New Roman"/>
                <w:i/>
                <w:color w:val="000000" w:themeColor="text1"/>
              </w:rPr>
              <w:t>95 %</w:t>
            </w:r>
          </w:p>
        </w:tc>
      </w:tr>
      <w:tr w:rsidR="0004490E" w:rsidRPr="00320E60" w14:paraId="4A303DBA" w14:textId="77777777" w:rsidTr="00FD1A57">
        <w:trPr>
          <w:trHeight w:val="624"/>
        </w:trPr>
        <w:tc>
          <w:tcPr>
            <w:tcW w:w="2127" w:type="dxa"/>
            <w:vAlign w:val="center"/>
          </w:tcPr>
          <w:p w14:paraId="06AD8581"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393" w:type="dxa"/>
            <w:gridSpan w:val="9"/>
            <w:vAlign w:val="center"/>
          </w:tcPr>
          <w:p w14:paraId="49E7518C" w14:textId="77777777" w:rsidR="0004490E" w:rsidRPr="00320E60" w:rsidRDefault="0004490E" w:rsidP="00C02D67">
            <w:pPr>
              <w:jc w:val="both"/>
              <w:rPr>
                <w:rFonts w:ascii="Times New Roman" w:hAnsi="Times New Roman" w:cs="Times New Roman"/>
                <w:color w:val="000000" w:themeColor="text1"/>
              </w:rPr>
            </w:pPr>
            <w:r w:rsidRPr="00320E60">
              <w:rPr>
                <w:rFonts w:ascii="Times New Roman" w:hAnsi="Times New Roman" w:cs="Times New Roman"/>
                <w:i/>
                <w:color w:val="000000" w:themeColor="text1"/>
              </w:rPr>
              <w:t>v súlade s</w:t>
            </w:r>
            <w:r>
              <w:rPr>
                <w:rFonts w:ascii="Times New Roman" w:hAnsi="Times New Roman" w:cs="Times New Roman"/>
                <w:i/>
                <w:color w:val="000000" w:themeColor="text1"/>
              </w:rPr>
              <w:t> Operačný program Ľudské zdroje</w:t>
            </w:r>
          </w:p>
        </w:tc>
      </w:tr>
      <w:tr w:rsidR="0004490E" w:rsidRPr="00320E60" w14:paraId="582EC159" w14:textId="77777777" w:rsidTr="00FD1A57">
        <w:trPr>
          <w:trHeight w:val="624"/>
        </w:trPr>
        <w:tc>
          <w:tcPr>
            <w:tcW w:w="2127" w:type="dxa"/>
            <w:vAlign w:val="center"/>
          </w:tcPr>
          <w:p w14:paraId="37BCE88E"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393" w:type="dxa"/>
            <w:gridSpan w:val="9"/>
            <w:vAlign w:val="center"/>
          </w:tcPr>
          <w:p w14:paraId="65325D36" w14:textId="77777777" w:rsidR="0004490E" w:rsidRPr="00320E60" w:rsidRDefault="0004490E" w:rsidP="00C02D67">
            <w:pPr>
              <w:jc w:val="both"/>
              <w:rPr>
                <w:rFonts w:ascii="Times New Roman" w:hAnsi="Times New Roman" w:cs="Times New Roman"/>
                <w:color w:val="000000" w:themeColor="text1"/>
              </w:rPr>
            </w:pPr>
            <w:r>
              <w:rPr>
                <w:rFonts w:ascii="Times New Roman" w:hAnsi="Times New Roman" w:cs="Times New Roman"/>
                <w:i/>
                <w:color w:val="000000" w:themeColor="text1"/>
              </w:rPr>
              <w:t>20 000 – 50 000</w:t>
            </w:r>
          </w:p>
        </w:tc>
      </w:tr>
      <w:tr w:rsidR="0004490E" w:rsidRPr="00320E60" w14:paraId="0FD05569" w14:textId="77777777" w:rsidTr="00FD1A57">
        <w:trPr>
          <w:trHeight w:val="624"/>
        </w:trPr>
        <w:tc>
          <w:tcPr>
            <w:tcW w:w="2127" w:type="dxa"/>
            <w:vMerge w:val="restart"/>
            <w:vAlign w:val="center"/>
          </w:tcPr>
          <w:p w14:paraId="14BC6048" w14:textId="77777777" w:rsidR="0004490E" w:rsidRPr="00320E60" w:rsidRDefault="0004490E" w:rsidP="00C02D67">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14:paraId="19C661AE" w14:textId="77777777" w:rsidR="0004490E" w:rsidRPr="00320E60" w:rsidDel="00D14904"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58"/>
            </w:r>
          </w:p>
        </w:tc>
        <w:tc>
          <w:tcPr>
            <w:tcW w:w="1417" w:type="dxa"/>
            <w:vAlign w:val="center"/>
          </w:tcPr>
          <w:p w14:paraId="6A9E1A8A" w14:textId="77777777" w:rsidR="0004490E" w:rsidRPr="00320E60"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14:paraId="4E6D012A" w14:textId="77777777" w:rsidR="0004490E" w:rsidRPr="00320E60"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14:paraId="46D28AB7" w14:textId="77777777" w:rsidR="0004490E" w:rsidRPr="00320E60"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14:paraId="16205BE2" w14:textId="77777777" w:rsidR="0004490E" w:rsidRPr="00320E60"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937" w:type="dxa"/>
            <w:vAlign w:val="center"/>
          </w:tcPr>
          <w:p w14:paraId="7271B8ED" w14:textId="77777777" w:rsidR="0004490E" w:rsidRPr="00320E60"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04490E" w:rsidRPr="00320E60" w14:paraId="2167E060" w14:textId="77777777" w:rsidTr="00FD1A57">
        <w:trPr>
          <w:trHeight w:val="624"/>
        </w:trPr>
        <w:tc>
          <w:tcPr>
            <w:tcW w:w="2127" w:type="dxa"/>
            <w:vMerge/>
            <w:vAlign w:val="center"/>
          </w:tcPr>
          <w:p w14:paraId="4669539E" w14:textId="77777777" w:rsidR="0004490E" w:rsidRPr="00320E60" w:rsidRDefault="0004490E" w:rsidP="00C02D67">
            <w:pPr>
              <w:rPr>
                <w:rFonts w:ascii="Times New Roman" w:hAnsi="Times New Roman" w:cs="Times New Roman"/>
                <w:color w:val="000000" w:themeColor="text1"/>
              </w:rPr>
            </w:pPr>
          </w:p>
        </w:tc>
        <w:tc>
          <w:tcPr>
            <w:tcW w:w="992" w:type="dxa"/>
            <w:vAlign w:val="center"/>
          </w:tcPr>
          <w:p w14:paraId="51B9B043" w14:textId="77777777" w:rsidR="0004490E" w:rsidRPr="00320E60" w:rsidDel="00D14904"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vAlign w:val="center"/>
          </w:tcPr>
          <w:p w14:paraId="5BABC857"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50 000</w:t>
            </w:r>
          </w:p>
        </w:tc>
        <w:tc>
          <w:tcPr>
            <w:tcW w:w="1276" w:type="dxa"/>
            <w:vAlign w:val="center"/>
          </w:tcPr>
          <w:p w14:paraId="68318ED0"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42 500</w:t>
            </w:r>
          </w:p>
        </w:tc>
        <w:tc>
          <w:tcPr>
            <w:tcW w:w="1276" w:type="dxa"/>
            <w:gridSpan w:val="2"/>
            <w:vAlign w:val="center"/>
          </w:tcPr>
          <w:p w14:paraId="5040C044"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5 000</w:t>
            </w:r>
          </w:p>
        </w:tc>
        <w:tc>
          <w:tcPr>
            <w:tcW w:w="1495" w:type="dxa"/>
            <w:gridSpan w:val="3"/>
            <w:vAlign w:val="center"/>
          </w:tcPr>
          <w:p w14:paraId="5F1CD076"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2 500</w:t>
            </w:r>
          </w:p>
        </w:tc>
        <w:tc>
          <w:tcPr>
            <w:tcW w:w="937" w:type="dxa"/>
            <w:vAlign w:val="center"/>
          </w:tcPr>
          <w:p w14:paraId="6F761DF3"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04490E" w:rsidRPr="00320E60" w14:paraId="6C14C655" w14:textId="77777777" w:rsidTr="00FD1A57">
        <w:trPr>
          <w:trHeight w:val="624"/>
        </w:trPr>
        <w:tc>
          <w:tcPr>
            <w:tcW w:w="2127" w:type="dxa"/>
            <w:vMerge/>
            <w:vAlign w:val="center"/>
          </w:tcPr>
          <w:p w14:paraId="29178856" w14:textId="77777777" w:rsidR="0004490E" w:rsidRPr="00320E60" w:rsidRDefault="0004490E" w:rsidP="00C02D67">
            <w:pPr>
              <w:rPr>
                <w:rFonts w:ascii="Times New Roman" w:hAnsi="Times New Roman" w:cs="Times New Roman"/>
                <w:color w:val="000000" w:themeColor="text1"/>
              </w:rPr>
            </w:pPr>
          </w:p>
        </w:tc>
        <w:tc>
          <w:tcPr>
            <w:tcW w:w="992" w:type="dxa"/>
            <w:vAlign w:val="center"/>
          </w:tcPr>
          <w:p w14:paraId="06D60D55" w14:textId="77777777" w:rsidR="0004490E" w:rsidRPr="00320E60" w:rsidDel="00D14904"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vAlign w:val="center"/>
          </w:tcPr>
          <w:p w14:paraId="5CCA314C"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vAlign w:val="center"/>
          </w:tcPr>
          <w:p w14:paraId="53D20C05"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276" w:type="dxa"/>
            <w:gridSpan w:val="2"/>
            <w:vAlign w:val="center"/>
          </w:tcPr>
          <w:p w14:paraId="3C240CBC"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495" w:type="dxa"/>
            <w:gridSpan w:val="3"/>
            <w:vAlign w:val="center"/>
          </w:tcPr>
          <w:p w14:paraId="4E0957DF"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37" w:type="dxa"/>
            <w:vAlign w:val="center"/>
          </w:tcPr>
          <w:p w14:paraId="577CDC1A"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04490E" w:rsidRPr="00320E60" w14:paraId="596C2569" w14:textId="77777777" w:rsidTr="00FD1A57">
        <w:trPr>
          <w:trHeight w:val="624"/>
        </w:trPr>
        <w:tc>
          <w:tcPr>
            <w:tcW w:w="2127" w:type="dxa"/>
            <w:vMerge/>
            <w:vAlign w:val="center"/>
          </w:tcPr>
          <w:p w14:paraId="74099280" w14:textId="77777777" w:rsidR="0004490E" w:rsidRPr="00320E60" w:rsidRDefault="0004490E" w:rsidP="00C02D67">
            <w:pPr>
              <w:rPr>
                <w:rFonts w:ascii="Times New Roman" w:hAnsi="Times New Roman" w:cs="Times New Roman"/>
                <w:color w:val="000000" w:themeColor="text1"/>
              </w:rPr>
            </w:pPr>
          </w:p>
        </w:tc>
        <w:tc>
          <w:tcPr>
            <w:tcW w:w="992" w:type="dxa"/>
            <w:vAlign w:val="center"/>
          </w:tcPr>
          <w:p w14:paraId="2E4640CC" w14:textId="77777777" w:rsidR="0004490E" w:rsidRPr="00320E60" w:rsidDel="00D14904" w:rsidRDefault="0004490E" w:rsidP="00C02D67">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vAlign w:val="center"/>
          </w:tcPr>
          <w:p w14:paraId="5830952B"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50 000</w:t>
            </w:r>
          </w:p>
        </w:tc>
        <w:tc>
          <w:tcPr>
            <w:tcW w:w="1276" w:type="dxa"/>
            <w:vAlign w:val="center"/>
          </w:tcPr>
          <w:p w14:paraId="5AD78243"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42 500</w:t>
            </w:r>
          </w:p>
        </w:tc>
        <w:tc>
          <w:tcPr>
            <w:tcW w:w="1276" w:type="dxa"/>
            <w:gridSpan w:val="2"/>
            <w:vAlign w:val="center"/>
          </w:tcPr>
          <w:p w14:paraId="18AD36E8"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5 000</w:t>
            </w:r>
          </w:p>
        </w:tc>
        <w:tc>
          <w:tcPr>
            <w:tcW w:w="1495" w:type="dxa"/>
            <w:gridSpan w:val="3"/>
            <w:vAlign w:val="center"/>
          </w:tcPr>
          <w:p w14:paraId="482031B4"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2 500</w:t>
            </w:r>
          </w:p>
        </w:tc>
        <w:tc>
          <w:tcPr>
            <w:tcW w:w="937" w:type="dxa"/>
            <w:vAlign w:val="center"/>
          </w:tcPr>
          <w:p w14:paraId="161FB4EA" w14:textId="77777777" w:rsidR="0004490E" w:rsidRPr="00320E60" w:rsidRDefault="0004490E" w:rsidP="00C02D6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04490E" w:rsidRPr="00A1636E" w14:paraId="03A8C1CF" w14:textId="77777777" w:rsidTr="00FD1A57">
        <w:trPr>
          <w:trHeight w:val="624"/>
        </w:trPr>
        <w:tc>
          <w:tcPr>
            <w:tcW w:w="2127" w:type="dxa"/>
            <w:vAlign w:val="center"/>
          </w:tcPr>
          <w:p w14:paraId="24E41406" w14:textId="77777777" w:rsidR="0004490E" w:rsidRPr="00A1636E" w:rsidRDefault="0004490E" w:rsidP="00C02D67">
            <w:pPr>
              <w:rPr>
                <w:rFonts w:ascii="Times New Roman" w:hAnsi="Times New Roman" w:cs="Times New Roman"/>
              </w:rPr>
            </w:pPr>
            <w:r w:rsidRPr="00A1636E">
              <w:rPr>
                <w:rFonts w:ascii="Times New Roman" w:hAnsi="Times New Roman" w:cs="Times New Roman"/>
              </w:rPr>
              <w:t>Princípy pre stanovenie výberových a </w:t>
            </w:r>
          </w:p>
          <w:p w14:paraId="5CE0ECB7" w14:textId="77777777" w:rsidR="0004490E" w:rsidRPr="00A1636E" w:rsidRDefault="0004490E" w:rsidP="00C02D67">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59"/>
            </w:r>
          </w:p>
        </w:tc>
        <w:tc>
          <w:tcPr>
            <w:tcW w:w="7393" w:type="dxa"/>
            <w:gridSpan w:val="9"/>
            <w:vAlign w:val="center"/>
          </w:tcPr>
          <w:p w14:paraId="3BE60DB6" w14:textId="77777777" w:rsidR="0004490E" w:rsidRPr="009707A1" w:rsidRDefault="0004490E" w:rsidP="00C02D67">
            <w:pPr>
              <w:rPr>
                <w:rFonts w:ascii="Times New Roman" w:hAnsi="Times New Roman" w:cs="Times New Roman"/>
              </w:rPr>
            </w:pPr>
            <w:r w:rsidRPr="00320E60">
              <w:rPr>
                <w:rFonts w:ascii="Times New Roman" w:hAnsi="Times New Roman" w:cs="Times New Roman"/>
                <w:i/>
                <w:color w:val="000000" w:themeColor="text1"/>
              </w:rPr>
              <w:t>v súlade s</w:t>
            </w:r>
            <w:r>
              <w:rPr>
                <w:rFonts w:ascii="Times New Roman" w:hAnsi="Times New Roman" w:cs="Times New Roman"/>
                <w:i/>
                <w:color w:val="000000" w:themeColor="text1"/>
              </w:rPr>
              <w:t> Operačný program Ľudské zdroje</w:t>
            </w:r>
          </w:p>
        </w:tc>
      </w:tr>
      <w:tr w:rsidR="0004490E" w:rsidRPr="00A1636E" w14:paraId="24CB11BC" w14:textId="77777777" w:rsidTr="00FD1A57">
        <w:trPr>
          <w:trHeight w:val="624"/>
        </w:trPr>
        <w:tc>
          <w:tcPr>
            <w:tcW w:w="2127" w:type="dxa"/>
            <w:vAlign w:val="center"/>
          </w:tcPr>
          <w:p w14:paraId="7C1FC8A2" w14:textId="77777777" w:rsidR="0004490E" w:rsidRPr="00A1636E" w:rsidRDefault="0004490E" w:rsidP="00C02D67">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60"/>
            </w:r>
          </w:p>
        </w:tc>
        <w:tc>
          <w:tcPr>
            <w:tcW w:w="7393" w:type="dxa"/>
            <w:gridSpan w:val="9"/>
            <w:vAlign w:val="center"/>
          </w:tcPr>
          <w:p w14:paraId="6A60F605" w14:textId="77777777" w:rsidR="0004490E" w:rsidRPr="009707A1" w:rsidRDefault="0004490E" w:rsidP="00C02D67">
            <w:pPr>
              <w:rPr>
                <w:rFonts w:ascii="Times New Roman" w:hAnsi="Times New Roman" w:cs="Times New Roman"/>
                <w:i/>
              </w:rPr>
            </w:pPr>
            <w:r w:rsidRPr="00346875">
              <w:rPr>
                <w:rFonts w:ascii="Times New Roman" w:hAnsi="Times New Roman" w:cs="Times New Roman"/>
                <w:i/>
              </w:rPr>
              <w:t>v súlade s Operačný program Ľudské zdroje</w:t>
            </w:r>
          </w:p>
        </w:tc>
      </w:tr>
      <w:tr w:rsidR="0004490E" w:rsidRPr="009707A1" w14:paraId="4652676D" w14:textId="77777777" w:rsidTr="00FD1A57">
        <w:trPr>
          <w:trHeight w:val="624"/>
        </w:trPr>
        <w:tc>
          <w:tcPr>
            <w:tcW w:w="2127" w:type="dxa"/>
            <w:vMerge w:val="restart"/>
            <w:vAlign w:val="center"/>
          </w:tcPr>
          <w:p w14:paraId="1D740CB3" w14:textId="77777777" w:rsidR="0004490E" w:rsidRPr="00A1636E" w:rsidRDefault="0004490E" w:rsidP="00C02D67">
            <w:pPr>
              <w:rPr>
                <w:rFonts w:ascii="Times New Roman" w:hAnsi="Times New Roman" w:cs="Times New Roman"/>
              </w:rPr>
            </w:pPr>
            <w:r w:rsidRPr="00A1636E">
              <w:rPr>
                <w:rFonts w:ascii="Times New Roman" w:hAnsi="Times New Roman" w:cs="Times New Roman"/>
              </w:rPr>
              <w:t>Merateľné ukazovatele projektu</w:t>
            </w:r>
          </w:p>
        </w:tc>
        <w:tc>
          <w:tcPr>
            <w:tcW w:w="992" w:type="dxa"/>
            <w:vAlign w:val="center"/>
          </w:tcPr>
          <w:p w14:paraId="0817F9BC" w14:textId="77777777" w:rsidR="0004490E" w:rsidRPr="00A1636E" w:rsidRDefault="0004490E" w:rsidP="00C02D67">
            <w:pPr>
              <w:jc w:val="center"/>
              <w:rPr>
                <w:rFonts w:ascii="Times New Roman" w:hAnsi="Times New Roman" w:cs="Times New Roman"/>
                <w:i/>
              </w:rPr>
            </w:pPr>
            <w:r w:rsidRPr="00A1636E">
              <w:rPr>
                <w:rFonts w:ascii="Times New Roman" w:hAnsi="Times New Roman" w:cs="Times New Roman"/>
              </w:rPr>
              <w:t>Kód/ID</w:t>
            </w:r>
          </w:p>
        </w:tc>
        <w:tc>
          <w:tcPr>
            <w:tcW w:w="2855" w:type="dxa"/>
            <w:gridSpan w:val="3"/>
            <w:vAlign w:val="center"/>
          </w:tcPr>
          <w:p w14:paraId="1AD45872" w14:textId="77777777" w:rsidR="0004490E" w:rsidRPr="00A1636E" w:rsidRDefault="0004490E" w:rsidP="00C02D67">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14:paraId="5F51DB43" w14:textId="77777777" w:rsidR="0004490E" w:rsidRPr="00A1636E" w:rsidRDefault="0004490E" w:rsidP="00C02D67">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14:paraId="62558EFA" w14:textId="77777777" w:rsidR="0004490E" w:rsidRPr="00A1636E" w:rsidRDefault="0004490E" w:rsidP="00C02D67">
            <w:pPr>
              <w:jc w:val="center"/>
              <w:rPr>
                <w:rFonts w:ascii="Times New Roman" w:hAnsi="Times New Roman" w:cs="Times New Roman"/>
                <w:i/>
              </w:rPr>
            </w:pPr>
            <w:r w:rsidRPr="00A1636E">
              <w:rPr>
                <w:rFonts w:ascii="Times New Roman" w:hAnsi="Times New Roman" w:cs="Times New Roman"/>
              </w:rPr>
              <w:t>Počiatočná hodnota</w:t>
            </w:r>
          </w:p>
        </w:tc>
        <w:tc>
          <w:tcPr>
            <w:tcW w:w="1129" w:type="dxa"/>
            <w:gridSpan w:val="2"/>
            <w:vAlign w:val="center"/>
          </w:tcPr>
          <w:p w14:paraId="075AED68" w14:textId="77777777" w:rsidR="0004490E" w:rsidRPr="00A1636E" w:rsidRDefault="0004490E" w:rsidP="00C02D67">
            <w:pPr>
              <w:jc w:val="center"/>
              <w:rPr>
                <w:rFonts w:ascii="Times New Roman" w:hAnsi="Times New Roman" w:cs="Times New Roman"/>
                <w:i/>
              </w:rPr>
            </w:pPr>
            <w:r w:rsidRPr="00A1636E">
              <w:rPr>
                <w:rFonts w:ascii="Times New Roman" w:hAnsi="Times New Roman" w:cs="Times New Roman"/>
              </w:rPr>
              <w:t>Celková cieľová hodnota</w:t>
            </w:r>
          </w:p>
        </w:tc>
      </w:tr>
      <w:tr w:rsidR="0004490E" w:rsidRPr="009707A1" w14:paraId="793E3683" w14:textId="77777777" w:rsidTr="00FD1A57">
        <w:trPr>
          <w:trHeight w:val="624"/>
        </w:trPr>
        <w:tc>
          <w:tcPr>
            <w:tcW w:w="2127" w:type="dxa"/>
            <w:vMerge/>
            <w:vAlign w:val="center"/>
          </w:tcPr>
          <w:p w14:paraId="6256A6B9" w14:textId="77777777" w:rsidR="0004490E" w:rsidRPr="00A1636E" w:rsidRDefault="0004490E" w:rsidP="00C02D67">
            <w:pPr>
              <w:rPr>
                <w:rFonts w:ascii="Times New Roman" w:hAnsi="Times New Roman" w:cs="Times New Roman"/>
              </w:rPr>
            </w:pPr>
          </w:p>
        </w:tc>
        <w:tc>
          <w:tcPr>
            <w:tcW w:w="992" w:type="dxa"/>
            <w:vAlign w:val="center"/>
          </w:tcPr>
          <w:p w14:paraId="3146F727" w14:textId="77777777" w:rsidR="0004490E" w:rsidRPr="00A1636E" w:rsidRDefault="0004490E" w:rsidP="00C02D67">
            <w:pPr>
              <w:jc w:val="center"/>
              <w:rPr>
                <w:rFonts w:ascii="Times New Roman" w:hAnsi="Times New Roman" w:cs="Times New Roman"/>
              </w:rPr>
            </w:pPr>
          </w:p>
        </w:tc>
        <w:tc>
          <w:tcPr>
            <w:tcW w:w="2855" w:type="dxa"/>
            <w:gridSpan w:val="3"/>
            <w:vAlign w:val="center"/>
          </w:tcPr>
          <w:p w14:paraId="0A8454E2" w14:textId="77777777" w:rsidR="0004490E" w:rsidRPr="00FD1A57" w:rsidRDefault="0004490E" w:rsidP="00FD1A57">
            <w:pPr>
              <w:spacing w:after="60" w:line="276" w:lineRule="auto"/>
              <w:rPr>
                <w:rFonts w:ascii="Times New Roman" w:hAnsi="Times New Roman" w:cs="Times New Roman"/>
              </w:rPr>
            </w:pPr>
            <w:r>
              <w:rPr>
                <w:rFonts w:ascii="Times New Roman" w:hAnsi="Times New Roman" w:cs="Times New Roman"/>
                <w:bCs/>
              </w:rPr>
              <w:t>O</w:t>
            </w:r>
            <w:r w:rsidRPr="00914227">
              <w:rPr>
                <w:rFonts w:ascii="Times New Roman" w:hAnsi="Times New Roman" w:cs="Times New Roman"/>
                <w:bCs/>
              </w:rPr>
              <w:t>soby zúčast</w:t>
            </w:r>
            <w:r>
              <w:rPr>
                <w:rFonts w:ascii="Times New Roman" w:hAnsi="Times New Roman" w:cs="Times New Roman"/>
                <w:bCs/>
              </w:rPr>
              <w:t>nené na aktivitách v rámci celož</w:t>
            </w:r>
            <w:r w:rsidRPr="00914227">
              <w:rPr>
                <w:rFonts w:ascii="Times New Roman" w:hAnsi="Times New Roman" w:cs="Times New Roman"/>
                <w:bCs/>
              </w:rPr>
              <w:t>ivotného vzdelávania</w:t>
            </w:r>
          </w:p>
        </w:tc>
        <w:tc>
          <w:tcPr>
            <w:tcW w:w="1155" w:type="dxa"/>
            <w:gridSpan w:val="2"/>
            <w:vAlign w:val="center"/>
          </w:tcPr>
          <w:p w14:paraId="11B9210B" w14:textId="77777777" w:rsidR="0004490E" w:rsidRPr="00A1636E" w:rsidRDefault="0004490E" w:rsidP="00C02D67">
            <w:pPr>
              <w:jc w:val="center"/>
              <w:rPr>
                <w:rFonts w:ascii="Times New Roman" w:hAnsi="Times New Roman" w:cs="Times New Roman"/>
              </w:rPr>
            </w:pPr>
            <w:r>
              <w:rPr>
                <w:rFonts w:ascii="Times New Roman" w:hAnsi="Times New Roman" w:cs="Times New Roman"/>
              </w:rPr>
              <w:t>Počet osôb</w:t>
            </w:r>
          </w:p>
        </w:tc>
        <w:tc>
          <w:tcPr>
            <w:tcW w:w="1262" w:type="dxa"/>
            <w:vAlign w:val="center"/>
          </w:tcPr>
          <w:p w14:paraId="06356CA8" w14:textId="77777777" w:rsidR="0004490E" w:rsidRPr="00A1636E" w:rsidRDefault="0004490E" w:rsidP="00C02D67">
            <w:pPr>
              <w:jc w:val="center"/>
              <w:rPr>
                <w:rFonts w:ascii="Times New Roman" w:hAnsi="Times New Roman" w:cs="Times New Roman"/>
              </w:rPr>
            </w:pPr>
            <w:r>
              <w:rPr>
                <w:rFonts w:ascii="Times New Roman" w:hAnsi="Times New Roman" w:cs="Times New Roman"/>
              </w:rPr>
              <w:t>0</w:t>
            </w:r>
          </w:p>
        </w:tc>
        <w:tc>
          <w:tcPr>
            <w:tcW w:w="1129" w:type="dxa"/>
            <w:gridSpan w:val="2"/>
            <w:vAlign w:val="center"/>
          </w:tcPr>
          <w:p w14:paraId="4A960B59" w14:textId="77777777" w:rsidR="0004490E" w:rsidRPr="00A1636E" w:rsidRDefault="0004490E" w:rsidP="00C02D67">
            <w:pPr>
              <w:jc w:val="center"/>
              <w:rPr>
                <w:rFonts w:ascii="Times New Roman" w:hAnsi="Times New Roman" w:cs="Times New Roman"/>
              </w:rPr>
            </w:pPr>
            <w:r>
              <w:rPr>
                <w:rFonts w:ascii="Times New Roman" w:hAnsi="Times New Roman" w:cs="Times New Roman"/>
              </w:rPr>
              <w:t>1</w:t>
            </w:r>
          </w:p>
        </w:tc>
      </w:tr>
      <w:tr w:rsidR="0004490E" w:rsidRPr="009707A1" w14:paraId="48DF3C5F" w14:textId="77777777" w:rsidTr="00FD1A57">
        <w:trPr>
          <w:trHeight w:val="624"/>
        </w:trPr>
        <w:tc>
          <w:tcPr>
            <w:tcW w:w="2127" w:type="dxa"/>
            <w:vMerge/>
            <w:vAlign w:val="center"/>
          </w:tcPr>
          <w:p w14:paraId="62BE2FFB" w14:textId="77777777" w:rsidR="0004490E" w:rsidRPr="00320E60" w:rsidRDefault="0004490E" w:rsidP="00C02D67">
            <w:pPr>
              <w:spacing w:after="200" w:line="276" w:lineRule="auto"/>
              <w:rPr>
                <w:rFonts w:ascii="Times New Roman" w:hAnsi="Times New Roman" w:cs="Times New Roman"/>
              </w:rPr>
            </w:pPr>
          </w:p>
        </w:tc>
        <w:tc>
          <w:tcPr>
            <w:tcW w:w="992" w:type="dxa"/>
            <w:vAlign w:val="center"/>
          </w:tcPr>
          <w:p w14:paraId="35439BB5" w14:textId="77777777" w:rsidR="0004490E" w:rsidRPr="002C6C80" w:rsidRDefault="0004490E" w:rsidP="00C02D67">
            <w:pPr>
              <w:spacing w:after="200" w:line="276" w:lineRule="auto"/>
              <w:jc w:val="right"/>
              <w:rPr>
                <w:rFonts w:ascii="Times New Roman" w:hAnsi="Times New Roman" w:cs="Times New Roman"/>
                <w:i/>
              </w:rPr>
            </w:pPr>
          </w:p>
        </w:tc>
        <w:tc>
          <w:tcPr>
            <w:tcW w:w="2855" w:type="dxa"/>
            <w:gridSpan w:val="3"/>
            <w:vAlign w:val="center"/>
          </w:tcPr>
          <w:p w14:paraId="7DB93B54" w14:textId="77777777" w:rsidR="0004490E" w:rsidRPr="00FD1A57" w:rsidRDefault="0004490E" w:rsidP="00FD1A57">
            <w:pPr>
              <w:spacing w:after="60" w:line="276" w:lineRule="auto"/>
              <w:rPr>
                <w:rFonts w:ascii="Times New Roman" w:hAnsi="Times New Roman" w:cs="Times New Roman"/>
                <w:i/>
              </w:rPr>
            </w:pPr>
            <w:r>
              <w:rPr>
                <w:rFonts w:ascii="Times New Roman" w:hAnsi="Times New Roman" w:cs="Times New Roman"/>
                <w:bCs/>
              </w:rPr>
              <w:t xml:space="preserve">Zapojení </w:t>
            </w:r>
            <w:r w:rsidRPr="00914227">
              <w:rPr>
                <w:rFonts w:ascii="Times New Roman" w:hAnsi="Times New Roman" w:cs="Times New Roman"/>
                <w:bCs/>
              </w:rPr>
              <w:t>lídri komunitnej práce</w:t>
            </w:r>
          </w:p>
        </w:tc>
        <w:tc>
          <w:tcPr>
            <w:tcW w:w="1155" w:type="dxa"/>
            <w:gridSpan w:val="2"/>
            <w:vAlign w:val="center"/>
          </w:tcPr>
          <w:p w14:paraId="4625F7C8" w14:textId="77777777" w:rsidR="0004490E" w:rsidRPr="00FD1A57" w:rsidRDefault="0004490E" w:rsidP="00FD1A57">
            <w:pPr>
              <w:spacing w:after="200" w:line="276" w:lineRule="auto"/>
              <w:jc w:val="center"/>
              <w:rPr>
                <w:rFonts w:ascii="Times New Roman" w:hAnsi="Times New Roman" w:cs="Times New Roman"/>
              </w:rPr>
            </w:pPr>
            <w:r w:rsidRPr="00FD1A57">
              <w:rPr>
                <w:rFonts w:ascii="Times New Roman" w:hAnsi="Times New Roman" w:cs="Times New Roman"/>
              </w:rPr>
              <w:t>Počet osôb</w:t>
            </w:r>
          </w:p>
        </w:tc>
        <w:tc>
          <w:tcPr>
            <w:tcW w:w="1262" w:type="dxa"/>
            <w:vAlign w:val="center"/>
          </w:tcPr>
          <w:p w14:paraId="399F8DA5" w14:textId="77777777" w:rsidR="0004490E" w:rsidRPr="00FD1A57" w:rsidRDefault="0004490E" w:rsidP="00FD1A57">
            <w:pPr>
              <w:spacing w:after="200" w:line="276" w:lineRule="auto"/>
              <w:jc w:val="center"/>
              <w:rPr>
                <w:rFonts w:ascii="Times New Roman" w:hAnsi="Times New Roman" w:cs="Times New Roman"/>
              </w:rPr>
            </w:pPr>
            <w:r>
              <w:rPr>
                <w:rFonts w:ascii="Times New Roman" w:hAnsi="Times New Roman" w:cs="Times New Roman"/>
              </w:rPr>
              <w:t>0</w:t>
            </w:r>
          </w:p>
        </w:tc>
        <w:tc>
          <w:tcPr>
            <w:tcW w:w="1129" w:type="dxa"/>
            <w:gridSpan w:val="2"/>
            <w:vAlign w:val="center"/>
          </w:tcPr>
          <w:p w14:paraId="3909D28D" w14:textId="77777777" w:rsidR="0004490E" w:rsidRPr="00FD1A57" w:rsidRDefault="0004490E" w:rsidP="00FD1A57">
            <w:pPr>
              <w:spacing w:after="200" w:line="276" w:lineRule="auto"/>
              <w:jc w:val="center"/>
              <w:rPr>
                <w:rFonts w:ascii="Times New Roman" w:hAnsi="Times New Roman" w:cs="Times New Roman"/>
              </w:rPr>
            </w:pPr>
            <w:r w:rsidRPr="00FD1A57">
              <w:rPr>
                <w:rFonts w:ascii="Times New Roman" w:hAnsi="Times New Roman" w:cs="Times New Roman"/>
              </w:rPr>
              <w:t>5</w:t>
            </w:r>
          </w:p>
        </w:tc>
      </w:tr>
      <w:tr w:rsidR="0004490E" w:rsidRPr="009707A1" w14:paraId="5E19BD64" w14:textId="77777777" w:rsidTr="00FD1A57">
        <w:trPr>
          <w:trHeight w:val="624"/>
        </w:trPr>
        <w:tc>
          <w:tcPr>
            <w:tcW w:w="2127" w:type="dxa"/>
            <w:vAlign w:val="center"/>
          </w:tcPr>
          <w:p w14:paraId="371BD77D" w14:textId="77777777" w:rsidR="0004490E" w:rsidRPr="00A1636E" w:rsidRDefault="0004490E" w:rsidP="00C02D67">
            <w:pPr>
              <w:rPr>
                <w:rFonts w:ascii="Times New Roman" w:hAnsi="Times New Roman" w:cs="Times New Roman"/>
              </w:rPr>
            </w:pPr>
            <w:r w:rsidRPr="00A1636E">
              <w:rPr>
                <w:rFonts w:ascii="Times New Roman" w:hAnsi="Times New Roman" w:cs="Times New Roman"/>
              </w:rPr>
              <w:t>Indikatívny harmonogram výziev</w:t>
            </w:r>
          </w:p>
        </w:tc>
        <w:tc>
          <w:tcPr>
            <w:tcW w:w="7393" w:type="dxa"/>
            <w:gridSpan w:val="9"/>
          </w:tcPr>
          <w:p w14:paraId="42269B1F" w14:textId="77777777" w:rsidR="0004490E" w:rsidRPr="00A1636E" w:rsidRDefault="0004490E" w:rsidP="00C02D67">
            <w:pPr>
              <w:jc w:val="both"/>
              <w:rPr>
                <w:rFonts w:ascii="Times New Roman" w:hAnsi="Times New Roman" w:cs="Times New Roman"/>
                <w:color w:val="008000"/>
              </w:rPr>
            </w:pPr>
            <w:r>
              <w:rPr>
                <w:rFonts w:ascii="Times New Roman" w:hAnsi="Times New Roman" w:cs="Times New Roman"/>
                <w:i/>
              </w:rPr>
              <w:t>Marec 2018</w:t>
            </w:r>
          </w:p>
        </w:tc>
      </w:tr>
    </w:tbl>
    <w:p w14:paraId="1C8389F6" w14:textId="77777777" w:rsidR="00C02D67" w:rsidRPr="00C02D67" w:rsidRDefault="00C02D67" w:rsidP="00C02D67"/>
    <w:p w14:paraId="7D5053AB" w14:textId="77777777" w:rsidR="00F843FA" w:rsidRPr="00F843FA" w:rsidRDefault="00F843FA" w:rsidP="00F843FA">
      <w:pPr>
        <w:rPr>
          <w:rFonts w:ascii="Times New Roman" w:hAnsi="Times New Roman" w:cs="Times New Roman"/>
          <w:b/>
          <w:sz w:val="24"/>
          <w:szCs w:val="24"/>
        </w:rPr>
      </w:pPr>
      <w:r w:rsidRPr="00F843FA">
        <w:rPr>
          <w:rFonts w:ascii="Times New Roman" w:hAnsi="Times New Roman" w:cs="Times New Roman"/>
          <w:b/>
          <w:sz w:val="24"/>
          <w:szCs w:val="24"/>
        </w:rPr>
        <w:t>Priorita č. 4 Efektív</w:t>
      </w:r>
      <w:r>
        <w:rPr>
          <w:rFonts w:ascii="Times New Roman" w:hAnsi="Times New Roman" w:cs="Times New Roman"/>
          <w:b/>
          <w:sz w:val="24"/>
          <w:szCs w:val="24"/>
        </w:rPr>
        <w:t xml:space="preserve">na činnosť MAS </w:t>
      </w:r>
    </w:p>
    <w:p w14:paraId="0DA6B4E5" w14:textId="77777777" w:rsidR="00F8126B" w:rsidRPr="008951E2" w:rsidRDefault="00F8126B" w:rsidP="00F8126B">
      <w:pPr>
        <w:spacing w:after="0" w:line="312" w:lineRule="auto"/>
        <w:rPr>
          <w:rFonts w:ascii="Times New Roman" w:hAnsi="Times New Roman" w:cs="Times New Roman"/>
          <w:b/>
          <w:sz w:val="20"/>
          <w:szCs w:val="20"/>
        </w:rPr>
      </w:pPr>
      <w:r>
        <w:rPr>
          <w:rFonts w:ascii="Times New Roman" w:hAnsi="Times New Roman" w:cs="Times New Roman"/>
          <w:b/>
          <w:sz w:val="20"/>
          <w:szCs w:val="20"/>
        </w:rPr>
        <w:t>Tabuľka č. 5.2.</w:t>
      </w:r>
      <w:r w:rsidR="002A0E09">
        <w:rPr>
          <w:rFonts w:ascii="Times New Roman" w:hAnsi="Times New Roman" w:cs="Times New Roman"/>
          <w:b/>
          <w:sz w:val="20"/>
          <w:szCs w:val="20"/>
        </w:rPr>
        <w:t>M</w:t>
      </w:r>
      <w:r>
        <w:rPr>
          <w:rFonts w:ascii="Times New Roman" w:hAnsi="Times New Roman" w:cs="Times New Roman"/>
          <w:b/>
          <w:sz w:val="20"/>
          <w:szCs w:val="20"/>
        </w:rPr>
        <w:t xml:space="preserve"> Opatrenie stratégie CLLD 4.1</w:t>
      </w:r>
    </w:p>
    <w:tbl>
      <w:tblPr>
        <w:tblStyle w:val="Mriekatabuky"/>
        <w:tblW w:w="9520" w:type="dxa"/>
        <w:tblInd w:w="108" w:type="dxa"/>
        <w:tblLayout w:type="fixed"/>
        <w:tblLook w:val="04A0" w:firstRow="1" w:lastRow="0" w:firstColumn="1" w:lastColumn="0" w:noHBand="0" w:noVBand="1"/>
      </w:tblPr>
      <w:tblGrid>
        <w:gridCol w:w="2127"/>
        <w:gridCol w:w="992"/>
        <w:gridCol w:w="1417"/>
        <w:gridCol w:w="1276"/>
        <w:gridCol w:w="162"/>
        <w:gridCol w:w="1114"/>
        <w:gridCol w:w="41"/>
        <w:gridCol w:w="1262"/>
        <w:gridCol w:w="192"/>
        <w:gridCol w:w="937"/>
      </w:tblGrid>
      <w:tr w:rsidR="00FD1A57" w:rsidRPr="009F4B75" w14:paraId="5682503B" w14:textId="77777777" w:rsidTr="00FD1A57">
        <w:trPr>
          <w:trHeight w:val="624"/>
        </w:trPr>
        <w:tc>
          <w:tcPr>
            <w:tcW w:w="2127" w:type="dxa"/>
            <w:vAlign w:val="center"/>
          </w:tcPr>
          <w:p w14:paraId="4F766CB6" w14:textId="77777777" w:rsidR="00FD1A57" w:rsidRPr="009F4B75" w:rsidRDefault="00FD1A57" w:rsidP="00C02D67">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9"/>
          </w:tcPr>
          <w:p w14:paraId="0D3572D0" w14:textId="77777777" w:rsidR="00FD1A57" w:rsidRPr="009F4B75" w:rsidRDefault="00FD1A57" w:rsidP="00C02D67">
            <w:pPr>
              <w:rPr>
                <w:rFonts w:ascii="Times New Roman" w:hAnsi="Times New Roman" w:cs="Times New Roman"/>
              </w:rPr>
            </w:pPr>
            <w:r w:rsidRPr="009F4B75">
              <w:rPr>
                <w:rFonts w:ascii="Times New Roman" w:hAnsi="Times New Roman" w:cs="Times New Roman"/>
                <w:b/>
                <w:sz w:val="24"/>
                <w:szCs w:val="24"/>
              </w:rPr>
              <w:t>4.1 Chod MAS a animácie</w:t>
            </w:r>
          </w:p>
        </w:tc>
      </w:tr>
      <w:tr w:rsidR="00FD1A57" w:rsidRPr="009F4B75" w14:paraId="37A48C43" w14:textId="77777777" w:rsidTr="00FD1A57">
        <w:trPr>
          <w:trHeight w:val="624"/>
        </w:trPr>
        <w:tc>
          <w:tcPr>
            <w:tcW w:w="2127" w:type="dxa"/>
            <w:vAlign w:val="center"/>
          </w:tcPr>
          <w:p w14:paraId="604CC9E3" w14:textId="77777777" w:rsidR="00FD1A57" w:rsidRPr="009F4B75" w:rsidRDefault="00FD1A57" w:rsidP="00C02D67">
            <w:pPr>
              <w:rPr>
                <w:rFonts w:ascii="Times New Roman" w:hAnsi="Times New Roman" w:cs="Times New Roman"/>
              </w:rPr>
            </w:pPr>
            <w:r w:rsidRPr="009F4B75">
              <w:rPr>
                <w:rFonts w:ascii="Times New Roman" w:hAnsi="Times New Roman" w:cs="Times New Roman"/>
              </w:rPr>
              <w:lastRenderedPageBreak/>
              <w:t>Priradenie kódu opatrenia</w:t>
            </w:r>
            <w:r w:rsidRPr="009F4B75">
              <w:rPr>
                <w:rStyle w:val="Odkaznapoznmkupodiarou"/>
                <w:rFonts w:ascii="Times New Roman" w:hAnsi="Times New Roman" w:cs="Times New Roman"/>
              </w:rPr>
              <w:footnoteReference w:id="61"/>
            </w:r>
            <w:r w:rsidRPr="009F4B75">
              <w:rPr>
                <w:rFonts w:ascii="Times New Roman" w:hAnsi="Times New Roman" w:cs="Times New Roman"/>
              </w:rPr>
              <w:t xml:space="preserve"> </w:t>
            </w:r>
          </w:p>
        </w:tc>
        <w:tc>
          <w:tcPr>
            <w:tcW w:w="7393" w:type="dxa"/>
            <w:gridSpan w:val="9"/>
          </w:tcPr>
          <w:p w14:paraId="7CE9FD3A" w14:textId="77777777" w:rsidR="00FD1A57" w:rsidRPr="009F4B75" w:rsidRDefault="00FD1A57" w:rsidP="00C02D67">
            <w:pPr>
              <w:rPr>
                <w:rFonts w:ascii="Times New Roman" w:hAnsi="Times New Roman" w:cs="Times New Roman"/>
              </w:rPr>
            </w:pPr>
            <w:r w:rsidRPr="009F4B75">
              <w:rPr>
                <w:rFonts w:ascii="Times New Roman" w:hAnsi="Times New Roman" w:cs="Times New Roman"/>
                <w:sz w:val="24"/>
                <w:szCs w:val="24"/>
              </w:rPr>
              <w:t>19.4 Podpora na prevádzkové náklady a oživenie</w:t>
            </w:r>
          </w:p>
        </w:tc>
      </w:tr>
      <w:tr w:rsidR="00FD1A57" w:rsidRPr="009F4B75" w14:paraId="6C0B19EB" w14:textId="77777777" w:rsidTr="00FD1A57">
        <w:trPr>
          <w:trHeight w:val="624"/>
        </w:trPr>
        <w:tc>
          <w:tcPr>
            <w:tcW w:w="2127" w:type="dxa"/>
            <w:vAlign w:val="center"/>
          </w:tcPr>
          <w:p w14:paraId="3EA5B949" w14:textId="77777777" w:rsidR="00FD1A57" w:rsidRPr="009F4B75" w:rsidRDefault="00FD1A57" w:rsidP="00C02D67">
            <w:pPr>
              <w:rPr>
                <w:rFonts w:ascii="Times New Roman" w:hAnsi="Times New Roman" w:cs="Times New Roman"/>
              </w:rPr>
            </w:pPr>
            <w:r w:rsidRPr="009F4B75">
              <w:rPr>
                <w:rFonts w:ascii="Times New Roman" w:hAnsi="Times New Roman" w:cs="Times New Roman"/>
              </w:rPr>
              <w:t>Priradenie k fokusovej oblasti PRV/ŠC IROP</w:t>
            </w:r>
          </w:p>
        </w:tc>
        <w:tc>
          <w:tcPr>
            <w:tcW w:w="7393" w:type="dxa"/>
            <w:gridSpan w:val="9"/>
          </w:tcPr>
          <w:p w14:paraId="76C20247" w14:textId="77777777" w:rsidR="00FD1A57" w:rsidRPr="009F4B75" w:rsidRDefault="00FD1A57" w:rsidP="00465C76">
            <w:pPr>
              <w:rPr>
                <w:rFonts w:ascii="Times New Roman" w:hAnsi="Times New Roman" w:cs="Times New Roman"/>
                <w:sz w:val="24"/>
                <w:szCs w:val="24"/>
              </w:rPr>
            </w:pPr>
            <w:r w:rsidRPr="009F4B75">
              <w:rPr>
                <w:rFonts w:ascii="Times New Roman" w:hAnsi="Times New Roman" w:cs="Times New Roman"/>
                <w:sz w:val="24"/>
                <w:szCs w:val="24"/>
              </w:rPr>
              <w:t>IROP – 5.1.1. Zvýšenie zamestnanosti na miestnej úrovni podporou podnikania a inovácií</w:t>
            </w:r>
          </w:p>
          <w:p w14:paraId="0BDE590E" w14:textId="77777777" w:rsidR="00FD1A57" w:rsidRPr="009F4B75" w:rsidRDefault="00FD1A57" w:rsidP="00C02D67">
            <w:pPr>
              <w:rPr>
                <w:rFonts w:ascii="Times New Roman" w:hAnsi="Times New Roman" w:cs="Times New Roman"/>
              </w:rPr>
            </w:pPr>
            <w:r w:rsidRPr="009F4B75">
              <w:rPr>
                <w:rFonts w:ascii="Times New Roman" w:hAnsi="Times New Roman" w:cs="Times New Roman"/>
                <w:sz w:val="24"/>
                <w:szCs w:val="24"/>
              </w:rPr>
              <w:t>PRV – 6B</w:t>
            </w:r>
          </w:p>
        </w:tc>
      </w:tr>
      <w:tr w:rsidR="00B23F58" w:rsidRPr="009F4B75" w14:paraId="3DE56EBB" w14:textId="77777777" w:rsidTr="00FD1A57">
        <w:trPr>
          <w:trHeight w:val="624"/>
        </w:trPr>
        <w:tc>
          <w:tcPr>
            <w:tcW w:w="2127" w:type="dxa"/>
            <w:vAlign w:val="center"/>
          </w:tcPr>
          <w:p w14:paraId="00EE302E"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 xml:space="preserve">Ciele opatrenia </w:t>
            </w:r>
          </w:p>
        </w:tc>
        <w:tc>
          <w:tcPr>
            <w:tcW w:w="7393" w:type="dxa"/>
            <w:gridSpan w:val="9"/>
            <w:vAlign w:val="center"/>
          </w:tcPr>
          <w:p w14:paraId="4CBB0617" w14:textId="77777777" w:rsidR="00B23F58" w:rsidRPr="009F4B75" w:rsidRDefault="00B23F58" w:rsidP="00C02D67">
            <w:pPr>
              <w:jc w:val="both"/>
              <w:rPr>
                <w:rFonts w:ascii="Times New Roman" w:hAnsi="Times New Roman" w:cs="Times New Roman"/>
                <w:i/>
                <w:sz w:val="18"/>
                <w:szCs w:val="18"/>
              </w:rPr>
            </w:pPr>
            <w:r w:rsidRPr="009F4B75">
              <w:rPr>
                <w:rFonts w:ascii="Times New Roman" w:hAnsi="Times New Roman" w:cs="Times New Roman"/>
                <w:iCs/>
                <w:sz w:val="24"/>
                <w:szCs w:val="24"/>
              </w:rPr>
              <w:t>Cieľom je zabezpečovať implementáciu stratégie</w:t>
            </w:r>
            <w:r w:rsidR="0004490E" w:rsidRPr="009F4B75">
              <w:rPr>
                <w:rFonts w:ascii="Times New Roman" w:hAnsi="Times New Roman" w:cs="Times New Roman"/>
                <w:iCs/>
                <w:sz w:val="24"/>
                <w:szCs w:val="24"/>
              </w:rPr>
              <w:t xml:space="preserve"> a účinne využiť finančné náklady na prevádzku MAS</w:t>
            </w:r>
          </w:p>
        </w:tc>
      </w:tr>
      <w:tr w:rsidR="00B23F58" w:rsidRPr="009F4B75" w14:paraId="51CF08D3" w14:textId="77777777" w:rsidTr="00FD1A57">
        <w:trPr>
          <w:trHeight w:val="624"/>
        </w:trPr>
        <w:tc>
          <w:tcPr>
            <w:tcW w:w="2127" w:type="dxa"/>
            <w:vAlign w:val="center"/>
          </w:tcPr>
          <w:p w14:paraId="25D5E117"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Zdôvodnenie výberu</w:t>
            </w:r>
          </w:p>
        </w:tc>
        <w:tc>
          <w:tcPr>
            <w:tcW w:w="7393" w:type="dxa"/>
            <w:gridSpan w:val="9"/>
            <w:vAlign w:val="center"/>
          </w:tcPr>
          <w:p w14:paraId="1928EB13" w14:textId="77777777" w:rsidR="00B23F58" w:rsidRPr="009F4B75" w:rsidRDefault="00B23F58" w:rsidP="00C02D67">
            <w:pPr>
              <w:jc w:val="both"/>
              <w:rPr>
                <w:rFonts w:ascii="Times New Roman" w:hAnsi="Times New Roman" w:cs="Times New Roman"/>
                <w:i/>
              </w:rPr>
            </w:pPr>
            <w:r w:rsidRPr="009F4B75">
              <w:rPr>
                <w:rFonts w:ascii="Times New Roman" w:hAnsi="Times New Roman" w:cs="Times New Roman"/>
                <w:iCs/>
              </w:rPr>
              <w:t>Jedná sa o prierezové opatrenie napĺňajúce všetky Priority aj Špecifické ciele, nakoľko jeho cieľom je zabezpečovať implementáciu stratégie.</w:t>
            </w:r>
            <w:r w:rsidR="0004490E" w:rsidRPr="009F4B75">
              <w:rPr>
                <w:rFonts w:ascii="Times New Roman" w:hAnsi="Times New Roman" w:cs="Times New Roman"/>
                <w:iCs/>
                <w:sz w:val="24"/>
                <w:szCs w:val="24"/>
              </w:rPr>
              <w:t xml:space="preserve"> Podpora je zameraná na personálne, prevádzkové náklady, na vzdelávanie zamestnancov a členov MAS, ktorí sa podieľajú na príprave a vykonávaní stratégie CLLD, účasť zamestnancov a členov MAS na stretnutiach s inými MAS, náklady vynaložené na monitorovanie, hodnotenie a aktualizáciu stratégií CLLD.</w:t>
            </w:r>
          </w:p>
        </w:tc>
      </w:tr>
      <w:tr w:rsidR="00B23F58" w:rsidRPr="009F4B75" w14:paraId="1A5A8C1D" w14:textId="77777777" w:rsidTr="00FD1A57">
        <w:trPr>
          <w:trHeight w:val="624"/>
        </w:trPr>
        <w:tc>
          <w:tcPr>
            <w:tcW w:w="2127" w:type="dxa"/>
            <w:vAlign w:val="center"/>
          </w:tcPr>
          <w:p w14:paraId="0E926717"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9"/>
            <w:vAlign w:val="center"/>
          </w:tcPr>
          <w:p w14:paraId="21898811" w14:textId="77777777" w:rsidR="00B23F58" w:rsidRPr="009F4B75" w:rsidRDefault="00B23F58" w:rsidP="00B26DD2">
            <w:pPr>
              <w:pStyle w:val="Default"/>
              <w:rPr>
                <w:color w:val="auto"/>
              </w:rPr>
            </w:pPr>
            <w:r w:rsidRPr="009F4B75">
              <w:rPr>
                <w:i/>
                <w:iCs/>
                <w:color w:val="auto"/>
              </w:rPr>
              <w:t xml:space="preserve">IROP - </w:t>
            </w:r>
            <w:r w:rsidRPr="009F4B75">
              <w:rPr>
                <w:bCs/>
                <w:color w:val="auto"/>
              </w:rPr>
              <w:t xml:space="preserve">Špecifický cieľ č. 5.1.1 </w:t>
            </w:r>
            <w:r w:rsidRPr="009F4B75">
              <w:rPr>
                <w:color w:val="auto"/>
              </w:rPr>
              <w:t xml:space="preserve">sa dosiahne realizáciou nasledovných aktivít: </w:t>
            </w:r>
          </w:p>
          <w:p w14:paraId="3435BC2F" w14:textId="77777777" w:rsidR="00B23F58" w:rsidRPr="009F4B75" w:rsidRDefault="00B23F58" w:rsidP="00B26DD2">
            <w:pPr>
              <w:autoSpaceDE w:val="0"/>
              <w:autoSpaceDN w:val="0"/>
              <w:adjustRightInd w:val="0"/>
              <w:jc w:val="both"/>
              <w:rPr>
                <w:rFonts w:ascii="Times New Roman" w:hAnsi="Times New Roman" w:cs="Times New Roman"/>
                <w:sz w:val="24"/>
                <w:szCs w:val="24"/>
              </w:rPr>
            </w:pPr>
            <w:r w:rsidRPr="009F4B75">
              <w:rPr>
                <w:rFonts w:ascii="Times New Roman" w:hAnsi="Times New Roman" w:cs="Times New Roman"/>
                <w:sz w:val="24"/>
                <w:szCs w:val="24"/>
              </w:rPr>
              <w:t xml:space="preserve">- financovanie prevádzkových nákladov MAS spojených s riadením uskutočňovania stratégií CLLD: </w:t>
            </w:r>
          </w:p>
          <w:p w14:paraId="0C811FE8" w14:textId="77777777" w:rsidR="00B23F58" w:rsidRPr="009F4B75" w:rsidRDefault="00B23F58" w:rsidP="00B26DD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A.) </w:t>
            </w:r>
            <w:r w:rsidRPr="009F4B75">
              <w:rPr>
                <w:rFonts w:ascii="Times New Roman" w:hAnsi="Times New Roman" w:cs="Times New Roman"/>
                <w:sz w:val="24"/>
                <w:szCs w:val="24"/>
              </w:rPr>
              <w:t xml:space="preserve">personálne a administratívne náklady MAS (prevádzkové, osobné, poistenie), </w:t>
            </w:r>
          </w:p>
          <w:p w14:paraId="50B1D009" w14:textId="77777777" w:rsidR="00B23F58" w:rsidRPr="009F4B75" w:rsidRDefault="00B23F58" w:rsidP="00B26DD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B.) </w:t>
            </w:r>
            <w:r w:rsidRPr="009F4B75">
              <w:rPr>
                <w:rFonts w:ascii="Times New Roman" w:hAnsi="Times New Roman" w:cs="Times New Roman"/>
                <w:sz w:val="24"/>
                <w:szCs w:val="24"/>
              </w:rPr>
              <w:t xml:space="preserve">vzdelávanie zamestnancov a členov MAS (školenia, konferencie, semináre, workshopy a pod., okrem školení pre predkladateľov projektov), ktorí sa podieľajú na príprave a vykonávaní stratégie CLLD. </w:t>
            </w:r>
          </w:p>
          <w:p w14:paraId="5086D16B" w14:textId="77777777" w:rsidR="00B23F58" w:rsidRPr="009F4B75" w:rsidRDefault="00B23F58" w:rsidP="00B26DD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C.) </w:t>
            </w:r>
            <w:r w:rsidRPr="009F4B75">
              <w:rPr>
                <w:rFonts w:ascii="Times New Roman" w:hAnsi="Times New Roman" w:cs="Times New Roman"/>
                <w:sz w:val="24"/>
                <w:szCs w:val="24"/>
              </w:rPr>
              <w:t xml:space="preserve">náklady na publicitu a sieťovanie: účasť zamestnancov a členov MAS na stretnutiach s inými MAS, vrátane zasadaní národných a európskych sietí, ako aj poplatky za členstvo v regionálnych, národných alebo európskych sieťach MAS, </w:t>
            </w:r>
          </w:p>
          <w:p w14:paraId="5F1CE224" w14:textId="77777777" w:rsidR="00B23F58" w:rsidRPr="009F4B75" w:rsidRDefault="00B23F58" w:rsidP="00B26DD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D.) </w:t>
            </w:r>
            <w:r w:rsidRPr="009F4B75">
              <w:rPr>
                <w:rFonts w:ascii="Times New Roman" w:hAnsi="Times New Roman" w:cs="Times New Roman"/>
                <w:sz w:val="24"/>
                <w:szCs w:val="24"/>
              </w:rPr>
              <w:t xml:space="preserve">finančné náklady (napr. bankové poplatky), </w:t>
            </w:r>
          </w:p>
          <w:p w14:paraId="721C6AF9" w14:textId="77777777" w:rsidR="00B23F58" w:rsidRPr="009F4B75" w:rsidRDefault="00B23F58" w:rsidP="00B26DD2">
            <w:pPr>
              <w:autoSpaceDE w:val="0"/>
              <w:autoSpaceDN w:val="0"/>
              <w:adjustRightInd w:val="0"/>
              <w:jc w:val="both"/>
              <w:rPr>
                <w:rFonts w:ascii="Times New Roman" w:hAnsi="Times New Roman" w:cs="Times New Roman"/>
                <w:sz w:val="24"/>
                <w:szCs w:val="24"/>
              </w:rPr>
            </w:pPr>
            <w:r w:rsidRPr="009F4B75">
              <w:rPr>
                <w:rFonts w:ascii="Times New Roman" w:hAnsi="Times New Roman" w:cs="Times New Roman"/>
                <w:b/>
                <w:bCs/>
                <w:sz w:val="24"/>
                <w:szCs w:val="24"/>
              </w:rPr>
              <w:t xml:space="preserve">E.) </w:t>
            </w:r>
            <w:r w:rsidRPr="009F4B75">
              <w:rPr>
                <w:rFonts w:ascii="Times New Roman" w:hAnsi="Times New Roman" w:cs="Times New Roman"/>
                <w:sz w:val="24"/>
                <w:szCs w:val="24"/>
              </w:rPr>
              <w:t xml:space="preserve">náklady vynaložené na monitorovanie, hodnotenie a aktualizáciu stratégií CLLD (na úrovni MAS), </w:t>
            </w:r>
          </w:p>
          <w:p w14:paraId="4740C1E0" w14:textId="77777777" w:rsidR="00B23F58" w:rsidRPr="009F4B75" w:rsidRDefault="00B23F58" w:rsidP="00C02D67">
            <w:pPr>
              <w:jc w:val="both"/>
              <w:rPr>
                <w:rFonts w:ascii="Times New Roman" w:hAnsi="Times New Roman" w:cs="Times New Roman"/>
                <w:i/>
              </w:rPr>
            </w:pPr>
            <w:r w:rsidRPr="009F4B75">
              <w:rPr>
                <w:rFonts w:ascii="Times New Roman" w:hAnsi="Times New Roman" w:cs="Times New Roman"/>
                <w:i/>
                <w:iCs/>
                <w:sz w:val="24"/>
                <w:szCs w:val="24"/>
              </w:rPr>
              <w:t>PRV</w:t>
            </w:r>
            <w:r w:rsidRPr="009F4B75">
              <w:rPr>
                <w:rFonts w:ascii="Times New Roman" w:hAnsi="Times New Roman" w:cs="Times New Roman"/>
                <w:iCs/>
                <w:sz w:val="24"/>
                <w:szCs w:val="24"/>
              </w:rPr>
              <w:t xml:space="preserve"> - Podpora v rámci operácie bude poskytovaná na prevádzkovú a administratívnu činnosť schválených MAS ako aj náklady v súvislosti s oživovaním stratégie miestneho rozvoja, t.j. propagácia stratégie a informovanosť o dotknutom území.</w:t>
            </w:r>
          </w:p>
        </w:tc>
      </w:tr>
      <w:tr w:rsidR="00B23F58" w:rsidRPr="009F4B75" w14:paraId="19322739" w14:textId="77777777" w:rsidTr="00FD1A57">
        <w:trPr>
          <w:trHeight w:val="624"/>
        </w:trPr>
        <w:tc>
          <w:tcPr>
            <w:tcW w:w="2127" w:type="dxa"/>
            <w:vAlign w:val="center"/>
          </w:tcPr>
          <w:p w14:paraId="1EBDF0EE"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Oprávnení prijímatelia</w:t>
            </w:r>
          </w:p>
        </w:tc>
        <w:tc>
          <w:tcPr>
            <w:tcW w:w="7393" w:type="dxa"/>
            <w:gridSpan w:val="9"/>
            <w:vAlign w:val="center"/>
          </w:tcPr>
          <w:p w14:paraId="77D09D5E" w14:textId="77777777" w:rsidR="00B23F58" w:rsidRPr="009F4B75" w:rsidRDefault="00B23F58" w:rsidP="00C02D67">
            <w:pPr>
              <w:jc w:val="both"/>
              <w:rPr>
                <w:rFonts w:ascii="Times New Roman" w:hAnsi="Times New Roman" w:cs="Times New Roman"/>
              </w:rPr>
            </w:pPr>
            <w:r w:rsidRPr="009F4B75">
              <w:rPr>
                <w:rFonts w:ascii="Times New Roman" w:hAnsi="Times New Roman" w:cs="Times New Roman"/>
                <w:i/>
              </w:rPr>
              <w:t>v súlade s PRV (resp. s nariadením EÚ (č. 1305/2013) / IROP</w:t>
            </w:r>
            <w:r w:rsidR="0004490E" w:rsidRPr="009F4B75">
              <w:rPr>
                <w:rFonts w:ascii="Times New Roman" w:hAnsi="Times New Roman" w:cs="Times New Roman"/>
                <w:i/>
              </w:rPr>
              <w:t>. Verejno-súkromné partnerstvá so štatútom miestnej akčnej skupiny.</w:t>
            </w:r>
          </w:p>
        </w:tc>
      </w:tr>
      <w:tr w:rsidR="00B23F58" w:rsidRPr="009F4B75" w14:paraId="66210DA5" w14:textId="77777777" w:rsidTr="00FD1A57">
        <w:trPr>
          <w:trHeight w:val="624"/>
        </w:trPr>
        <w:tc>
          <w:tcPr>
            <w:tcW w:w="2127" w:type="dxa"/>
            <w:vAlign w:val="center"/>
          </w:tcPr>
          <w:p w14:paraId="341763CA"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 xml:space="preserve">Intenzita pomoci </w:t>
            </w:r>
            <w:r w:rsidRPr="009F4B75">
              <w:rPr>
                <w:rStyle w:val="Odkaznapoznmkupodiarou"/>
                <w:rFonts w:ascii="Times New Roman" w:hAnsi="Times New Roman" w:cs="Times New Roman"/>
              </w:rPr>
              <w:footnoteReference w:id="62"/>
            </w:r>
          </w:p>
        </w:tc>
        <w:tc>
          <w:tcPr>
            <w:tcW w:w="7393" w:type="dxa"/>
            <w:gridSpan w:val="9"/>
            <w:vAlign w:val="center"/>
          </w:tcPr>
          <w:p w14:paraId="005C0B10" w14:textId="77777777" w:rsidR="00B23F58" w:rsidRPr="009F4B75" w:rsidRDefault="00B23F58" w:rsidP="00C02D67">
            <w:pPr>
              <w:jc w:val="both"/>
              <w:rPr>
                <w:rFonts w:ascii="Times New Roman" w:hAnsi="Times New Roman" w:cs="Times New Roman"/>
              </w:rPr>
            </w:pPr>
            <w:r w:rsidRPr="009F4B75">
              <w:rPr>
                <w:rFonts w:ascii="Times New Roman" w:hAnsi="Times New Roman" w:cs="Times New Roman"/>
                <w:i/>
              </w:rPr>
              <w:t>v súlade so Stratégiou financovania EŠIF pre programové obdobie 2014 – 2020</w:t>
            </w:r>
          </w:p>
        </w:tc>
      </w:tr>
      <w:tr w:rsidR="00B23F58" w:rsidRPr="009F4B75" w14:paraId="5A9DEF6C" w14:textId="77777777" w:rsidTr="00FD1A57">
        <w:trPr>
          <w:trHeight w:val="624"/>
        </w:trPr>
        <w:tc>
          <w:tcPr>
            <w:tcW w:w="2127" w:type="dxa"/>
            <w:vAlign w:val="center"/>
          </w:tcPr>
          <w:p w14:paraId="1D1572EC"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Oprávnené výdavky</w:t>
            </w:r>
          </w:p>
        </w:tc>
        <w:tc>
          <w:tcPr>
            <w:tcW w:w="7393" w:type="dxa"/>
            <w:gridSpan w:val="9"/>
            <w:vAlign w:val="center"/>
          </w:tcPr>
          <w:p w14:paraId="5AE692E3" w14:textId="77777777" w:rsidR="00B23F58" w:rsidRPr="009F4B75" w:rsidRDefault="00B23F58" w:rsidP="00C02D67">
            <w:pPr>
              <w:jc w:val="both"/>
              <w:rPr>
                <w:rFonts w:ascii="Times New Roman" w:hAnsi="Times New Roman" w:cs="Times New Roman"/>
              </w:rPr>
            </w:pPr>
            <w:r w:rsidRPr="009F4B75">
              <w:rPr>
                <w:rFonts w:ascii="Times New Roman" w:hAnsi="Times New Roman" w:cs="Times New Roman"/>
                <w:i/>
              </w:rPr>
              <w:t>v súlade s PRV (resp. s nariadením EÚ (č. 1305/2013) / IROP</w:t>
            </w:r>
          </w:p>
        </w:tc>
      </w:tr>
      <w:tr w:rsidR="00B23F58" w:rsidRPr="009F4B75" w14:paraId="491C2154" w14:textId="77777777" w:rsidTr="00FD1A57">
        <w:trPr>
          <w:trHeight w:val="624"/>
        </w:trPr>
        <w:tc>
          <w:tcPr>
            <w:tcW w:w="2127" w:type="dxa"/>
            <w:vAlign w:val="center"/>
          </w:tcPr>
          <w:p w14:paraId="77F6DDB8"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Výška príspevku (minimálna a maximálna)</w:t>
            </w:r>
          </w:p>
        </w:tc>
        <w:tc>
          <w:tcPr>
            <w:tcW w:w="7393" w:type="dxa"/>
            <w:gridSpan w:val="9"/>
            <w:vAlign w:val="center"/>
          </w:tcPr>
          <w:p w14:paraId="54A4D3BA" w14:textId="77777777" w:rsidR="00B23F58" w:rsidRPr="009F4B75" w:rsidRDefault="00B23F58" w:rsidP="00FD1A57">
            <w:pPr>
              <w:rPr>
                <w:rFonts w:ascii="Times New Roman" w:hAnsi="Times New Roman" w:cs="Times New Roman"/>
                <w:sz w:val="24"/>
                <w:szCs w:val="24"/>
              </w:rPr>
            </w:pPr>
            <w:r w:rsidRPr="009F4B75">
              <w:rPr>
                <w:rFonts w:ascii="Times New Roman" w:hAnsi="Times New Roman" w:cs="Times New Roman"/>
                <w:sz w:val="24"/>
                <w:szCs w:val="24"/>
              </w:rPr>
              <w:t>Prevádzkové náklady na chod MAS bez animácie – 244 106,34 Eur</w:t>
            </w:r>
          </w:p>
          <w:p w14:paraId="525B7863" w14:textId="77777777" w:rsidR="00B23F58" w:rsidRPr="009F4B75" w:rsidRDefault="00B23F58" w:rsidP="00FD1A57">
            <w:pPr>
              <w:rPr>
                <w:rFonts w:ascii="Times New Roman" w:hAnsi="Times New Roman" w:cs="Times New Roman"/>
                <w:sz w:val="24"/>
                <w:szCs w:val="24"/>
              </w:rPr>
            </w:pPr>
            <w:r w:rsidRPr="009F4B75">
              <w:rPr>
                <w:rFonts w:ascii="Times New Roman" w:hAnsi="Times New Roman" w:cs="Times New Roman"/>
                <w:sz w:val="24"/>
                <w:szCs w:val="24"/>
              </w:rPr>
              <w:t>Náklady na animáciu 43 100,00 Eur</w:t>
            </w:r>
          </w:p>
          <w:p w14:paraId="1A26446F" w14:textId="77777777" w:rsidR="00B23F58" w:rsidRPr="009F4B75" w:rsidRDefault="00B23F58" w:rsidP="00FD1A57">
            <w:pPr>
              <w:jc w:val="both"/>
              <w:rPr>
                <w:rFonts w:ascii="Times New Roman" w:hAnsi="Times New Roman" w:cs="Times New Roman"/>
              </w:rPr>
            </w:pPr>
            <w:r w:rsidRPr="009F4B75">
              <w:rPr>
                <w:rFonts w:ascii="Times New Roman" w:hAnsi="Times New Roman" w:cs="Times New Roman"/>
                <w:sz w:val="24"/>
                <w:szCs w:val="24"/>
              </w:rPr>
              <w:t xml:space="preserve">Celkové náklady na prevádzkové náklady a náklady na oživenie nesmú presiahnuť 20% celkových nákladov, ktoré vznikli v rámci implementácie </w:t>
            </w:r>
            <w:r w:rsidRPr="009F4B75">
              <w:rPr>
                <w:rFonts w:ascii="Times New Roman" w:hAnsi="Times New Roman" w:cs="Times New Roman"/>
                <w:sz w:val="24"/>
                <w:szCs w:val="24"/>
              </w:rPr>
              <w:lastRenderedPageBreak/>
              <w:t>stratégie miestneho rozvoja</w:t>
            </w:r>
          </w:p>
        </w:tc>
      </w:tr>
      <w:tr w:rsidR="00B23F58" w:rsidRPr="009F4B75" w14:paraId="2E28C2DF" w14:textId="77777777" w:rsidTr="00FD1A57">
        <w:trPr>
          <w:trHeight w:val="624"/>
        </w:trPr>
        <w:tc>
          <w:tcPr>
            <w:tcW w:w="2127" w:type="dxa"/>
            <w:vMerge w:val="restart"/>
            <w:vAlign w:val="center"/>
          </w:tcPr>
          <w:p w14:paraId="57376689"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03657981" w14:textId="77777777" w:rsidR="00B23F58" w:rsidRPr="009F4B75" w:rsidDel="00D14904" w:rsidRDefault="00B23F58" w:rsidP="00C02D67">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63"/>
            </w:r>
          </w:p>
        </w:tc>
        <w:tc>
          <w:tcPr>
            <w:tcW w:w="1417" w:type="dxa"/>
            <w:vAlign w:val="center"/>
          </w:tcPr>
          <w:p w14:paraId="66F2F445" w14:textId="77777777" w:rsidR="00B23F58" w:rsidRPr="009F4B75" w:rsidRDefault="00B23F58" w:rsidP="00C02D67">
            <w:pPr>
              <w:jc w:val="center"/>
              <w:rPr>
                <w:rFonts w:ascii="Times New Roman" w:hAnsi="Times New Roman" w:cs="Times New Roman"/>
              </w:rPr>
            </w:pPr>
            <w:r w:rsidRPr="009F4B75">
              <w:rPr>
                <w:rFonts w:ascii="Times New Roman" w:hAnsi="Times New Roman" w:cs="Times New Roman"/>
              </w:rPr>
              <w:t>Spolu</w:t>
            </w:r>
          </w:p>
        </w:tc>
        <w:tc>
          <w:tcPr>
            <w:tcW w:w="1276" w:type="dxa"/>
            <w:vAlign w:val="center"/>
          </w:tcPr>
          <w:p w14:paraId="1191F3EE" w14:textId="77777777" w:rsidR="00B23F58" w:rsidRPr="009F4B75" w:rsidRDefault="00B23F58" w:rsidP="00C02D67">
            <w:pPr>
              <w:jc w:val="center"/>
              <w:rPr>
                <w:rFonts w:ascii="Times New Roman" w:hAnsi="Times New Roman" w:cs="Times New Roman"/>
              </w:rPr>
            </w:pPr>
            <w:r w:rsidRPr="009F4B75">
              <w:rPr>
                <w:rFonts w:ascii="Times New Roman" w:hAnsi="Times New Roman" w:cs="Times New Roman"/>
              </w:rPr>
              <w:t>EÚ</w:t>
            </w:r>
          </w:p>
        </w:tc>
        <w:tc>
          <w:tcPr>
            <w:tcW w:w="1276" w:type="dxa"/>
            <w:gridSpan w:val="2"/>
            <w:vAlign w:val="center"/>
          </w:tcPr>
          <w:p w14:paraId="2747A46A" w14:textId="77777777" w:rsidR="00B23F58" w:rsidRPr="009F4B75" w:rsidRDefault="00B23F58" w:rsidP="00C02D67">
            <w:pPr>
              <w:jc w:val="center"/>
              <w:rPr>
                <w:rFonts w:ascii="Times New Roman" w:hAnsi="Times New Roman" w:cs="Times New Roman"/>
              </w:rPr>
            </w:pPr>
            <w:r w:rsidRPr="009F4B75">
              <w:rPr>
                <w:rFonts w:ascii="Times New Roman" w:hAnsi="Times New Roman" w:cs="Times New Roman"/>
              </w:rPr>
              <w:t>ŠR</w:t>
            </w:r>
          </w:p>
        </w:tc>
        <w:tc>
          <w:tcPr>
            <w:tcW w:w="1495" w:type="dxa"/>
            <w:gridSpan w:val="3"/>
            <w:vAlign w:val="center"/>
          </w:tcPr>
          <w:p w14:paraId="027B3DC5" w14:textId="77777777" w:rsidR="00B23F58" w:rsidRPr="009F4B75" w:rsidRDefault="00B23F58" w:rsidP="00C02D67">
            <w:pPr>
              <w:jc w:val="center"/>
              <w:rPr>
                <w:rFonts w:ascii="Times New Roman" w:hAnsi="Times New Roman" w:cs="Times New Roman"/>
              </w:rPr>
            </w:pPr>
            <w:r w:rsidRPr="009F4B75">
              <w:rPr>
                <w:rFonts w:ascii="Times New Roman" w:hAnsi="Times New Roman" w:cs="Times New Roman"/>
              </w:rPr>
              <w:t>VZ</w:t>
            </w:r>
          </w:p>
        </w:tc>
        <w:tc>
          <w:tcPr>
            <w:tcW w:w="937" w:type="dxa"/>
            <w:vAlign w:val="center"/>
          </w:tcPr>
          <w:p w14:paraId="4CFD5814" w14:textId="77777777" w:rsidR="00B23F58" w:rsidRPr="009F4B75" w:rsidRDefault="00B23F58" w:rsidP="00C02D67">
            <w:pPr>
              <w:jc w:val="center"/>
              <w:rPr>
                <w:rFonts w:ascii="Times New Roman" w:hAnsi="Times New Roman" w:cs="Times New Roman"/>
              </w:rPr>
            </w:pPr>
            <w:r w:rsidRPr="009F4B75">
              <w:rPr>
                <w:rFonts w:ascii="Times New Roman" w:hAnsi="Times New Roman" w:cs="Times New Roman"/>
              </w:rPr>
              <w:t>iné</w:t>
            </w:r>
          </w:p>
        </w:tc>
      </w:tr>
      <w:tr w:rsidR="00B23F58" w:rsidRPr="009F4B75" w14:paraId="405C1153" w14:textId="77777777" w:rsidTr="00FD1A57">
        <w:trPr>
          <w:trHeight w:val="624"/>
        </w:trPr>
        <w:tc>
          <w:tcPr>
            <w:tcW w:w="2127" w:type="dxa"/>
            <w:vMerge/>
            <w:vAlign w:val="center"/>
          </w:tcPr>
          <w:p w14:paraId="6CC8BA0E" w14:textId="77777777" w:rsidR="00B23F58" w:rsidRPr="009F4B75" w:rsidRDefault="00B23F58" w:rsidP="00C02D67">
            <w:pPr>
              <w:rPr>
                <w:rFonts w:ascii="Times New Roman" w:hAnsi="Times New Roman" w:cs="Times New Roman"/>
              </w:rPr>
            </w:pPr>
          </w:p>
        </w:tc>
        <w:tc>
          <w:tcPr>
            <w:tcW w:w="992" w:type="dxa"/>
            <w:vAlign w:val="center"/>
          </w:tcPr>
          <w:p w14:paraId="6B968B24" w14:textId="77777777" w:rsidR="00B23F58" w:rsidRPr="009F4B75" w:rsidDel="00D14904" w:rsidRDefault="00B23F58" w:rsidP="00C02D67">
            <w:pPr>
              <w:jc w:val="center"/>
              <w:rPr>
                <w:rFonts w:ascii="Times New Roman" w:hAnsi="Times New Roman" w:cs="Times New Roman"/>
              </w:rPr>
            </w:pPr>
            <w:r w:rsidRPr="009F4B75">
              <w:rPr>
                <w:rFonts w:ascii="Times New Roman" w:hAnsi="Times New Roman" w:cs="Times New Roman"/>
              </w:rPr>
              <w:t xml:space="preserve">MR </w:t>
            </w:r>
          </w:p>
        </w:tc>
        <w:tc>
          <w:tcPr>
            <w:tcW w:w="1417" w:type="dxa"/>
            <w:vAlign w:val="center"/>
          </w:tcPr>
          <w:p w14:paraId="0964DF30"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299 411,66</w:t>
            </w:r>
          </w:p>
        </w:tc>
        <w:tc>
          <w:tcPr>
            <w:tcW w:w="1276" w:type="dxa"/>
            <w:vAlign w:val="center"/>
          </w:tcPr>
          <w:p w14:paraId="7DD2F8B2"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276 431,34</w:t>
            </w:r>
          </w:p>
        </w:tc>
        <w:tc>
          <w:tcPr>
            <w:tcW w:w="1276" w:type="dxa"/>
            <w:gridSpan w:val="2"/>
            <w:vAlign w:val="center"/>
          </w:tcPr>
          <w:p w14:paraId="219BB0B6"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10 775,00</w:t>
            </w:r>
          </w:p>
        </w:tc>
        <w:tc>
          <w:tcPr>
            <w:tcW w:w="1495" w:type="dxa"/>
            <w:gridSpan w:val="3"/>
            <w:vAlign w:val="center"/>
          </w:tcPr>
          <w:p w14:paraId="6CD70D42"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12 205,32</w:t>
            </w:r>
          </w:p>
        </w:tc>
        <w:tc>
          <w:tcPr>
            <w:tcW w:w="937" w:type="dxa"/>
            <w:vAlign w:val="center"/>
          </w:tcPr>
          <w:p w14:paraId="11248056"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r>
      <w:tr w:rsidR="00B23F58" w:rsidRPr="009F4B75" w14:paraId="7243FCE6" w14:textId="77777777" w:rsidTr="00FD1A57">
        <w:trPr>
          <w:trHeight w:val="624"/>
        </w:trPr>
        <w:tc>
          <w:tcPr>
            <w:tcW w:w="2127" w:type="dxa"/>
            <w:vMerge/>
            <w:vAlign w:val="center"/>
          </w:tcPr>
          <w:p w14:paraId="27116BD4" w14:textId="77777777" w:rsidR="00B23F58" w:rsidRPr="009F4B75" w:rsidRDefault="00B23F58" w:rsidP="00C02D67">
            <w:pPr>
              <w:rPr>
                <w:rFonts w:ascii="Times New Roman" w:hAnsi="Times New Roman" w:cs="Times New Roman"/>
              </w:rPr>
            </w:pPr>
          </w:p>
        </w:tc>
        <w:tc>
          <w:tcPr>
            <w:tcW w:w="992" w:type="dxa"/>
            <w:vAlign w:val="center"/>
          </w:tcPr>
          <w:p w14:paraId="62627337" w14:textId="77777777" w:rsidR="00B23F58" w:rsidRPr="009F4B75" w:rsidDel="00D14904" w:rsidRDefault="00B23F58" w:rsidP="00C02D67">
            <w:pPr>
              <w:jc w:val="center"/>
              <w:rPr>
                <w:rFonts w:ascii="Times New Roman" w:hAnsi="Times New Roman" w:cs="Times New Roman"/>
              </w:rPr>
            </w:pPr>
            <w:r w:rsidRPr="009F4B75">
              <w:rPr>
                <w:rFonts w:ascii="Times New Roman" w:hAnsi="Times New Roman" w:cs="Times New Roman"/>
              </w:rPr>
              <w:t>VR</w:t>
            </w:r>
          </w:p>
        </w:tc>
        <w:tc>
          <w:tcPr>
            <w:tcW w:w="1417" w:type="dxa"/>
            <w:vAlign w:val="center"/>
          </w:tcPr>
          <w:p w14:paraId="75EADE97"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c>
          <w:tcPr>
            <w:tcW w:w="1276" w:type="dxa"/>
            <w:vAlign w:val="center"/>
          </w:tcPr>
          <w:p w14:paraId="4E6A5059"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c>
          <w:tcPr>
            <w:tcW w:w="1276" w:type="dxa"/>
            <w:gridSpan w:val="2"/>
            <w:vAlign w:val="center"/>
          </w:tcPr>
          <w:p w14:paraId="5F994C28"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c>
          <w:tcPr>
            <w:tcW w:w="1495" w:type="dxa"/>
            <w:gridSpan w:val="3"/>
            <w:vAlign w:val="center"/>
          </w:tcPr>
          <w:p w14:paraId="170B94F8"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c>
          <w:tcPr>
            <w:tcW w:w="937" w:type="dxa"/>
            <w:vAlign w:val="center"/>
          </w:tcPr>
          <w:p w14:paraId="325E99EE"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r>
      <w:tr w:rsidR="00B23F58" w:rsidRPr="009F4B75" w14:paraId="3257B326" w14:textId="77777777" w:rsidTr="00FD1A57">
        <w:trPr>
          <w:trHeight w:val="624"/>
        </w:trPr>
        <w:tc>
          <w:tcPr>
            <w:tcW w:w="2127" w:type="dxa"/>
            <w:vMerge/>
            <w:vAlign w:val="center"/>
          </w:tcPr>
          <w:p w14:paraId="354A01A9" w14:textId="77777777" w:rsidR="00B23F58" w:rsidRPr="009F4B75" w:rsidRDefault="00B23F58" w:rsidP="00C02D67">
            <w:pPr>
              <w:rPr>
                <w:rFonts w:ascii="Times New Roman" w:hAnsi="Times New Roman" w:cs="Times New Roman"/>
              </w:rPr>
            </w:pPr>
          </w:p>
        </w:tc>
        <w:tc>
          <w:tcPr>
            <w:tcW w:w="992" w:type="dxa"/>
            <w:vAlign w:val="center"/>
          </w:tcPr>
          <w:p w14:paraId="732E7ED7" w14:textId="77777777" w:rsidR="00B23F58" w:rsidRPr="009F4B75" w:rsidDel="00D14904" w:rsidRDefault="00B23F58" w:rsidP="00C02D67">
            <w:pPr>
              <w:jc w:val="center"/>
              <w:rPr>
                <w:rFonts w:ascii="Times New Roman" w:hAnsi="Times New Roman" w:cs="Times New Roman"/>
              </w:rPr>
            </w:pPr>
            <w:r w:rsidRPr="009F4B75">
              <w:rPr>
                <w:rFonts w:ascii="Times New Roman" w:hAnsi="Times New Roman" w:cs="Times New Roman"/>
              </w:rPr>
              <w:t>Spolu</w:t>
            </w:r>
          </w:p>
        </w:tc>
        <w:tc>
          <w:tcPr>
            <w:tcW w:w="1417" w:type="dxa"/>
            <w:vAlign w:val="center"/>
          </w:tcPr>
          <w:p w14:paraId="59C50520"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299 411,66</w:t>
            </w:r>
          </w:p>
        </w:tc>
        <w:tc>
          <w:tcPr>
            <w:tcW w:w="1276" w:type="dxa"/>
            <w:vAlign w:val="center"/>
          </w:tcPr>
          <w:p w14:paraId="766282C0"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276 431,34</w:t>
            </w:r>
          </w:p>
        </w:tc>
        <w:tc>
          <w:tcPr>
            <w:tcW w:w="1276" w:type="dxa"/>
            <w:gridSpan w:val="2"/>
            <w:vAlign w:val="center"/>
          </w:tcPr>
          <w:p w14:paraId="3C3EEFB2"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10 775,00</w:t>
            </w:r>
          </w:p>
        </w:tc>
        <w:tc>
          <w:tcPr>
            <w:tcW w:w="1495" w:type="dxa"/>
            <w:gridSpan w:val="3"/>
            <w:vAlign w:val="center"/>
          </w:tcPr>
          <w:p w14:paraId="557E4186"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12 205,32</w:t>
            </w:r>
          </w:p>
        </w:tc>
        <w:tc>
          <w:tcPr>
            <w:tcW w:w="937" w:type="dxa"/>
            <w:vAlign w:val="center"/>
          </w:tcPr>
          <w:p w14:paraId="67A4A4EB" w14:textId="77777777" w:rsidR="00B23F58" w:rsidRPr="009F4B75" w:rsidRDefault="00B23F58" w:rsidP="00C02D67">
            <w:pPr>
              <w:jc w:val="right"/>
              <w:rPr>
                <w:rFonts w:ascii="Times New Roman" w:hAnsi="Times New Roman" w:cs="Times New Roman"/>
              </w:rPr>
            </w:pPr>
            <w:r w:rsidRPr="009F4B75">
              <w:rPr>
                <w:rFonts w:ascii="Times New Roman" w:hAnsi="Times New Roman" w:cs="Times New Roman"/>
              </w:rPr>
              <w:t>-</w:t>
            </w:r>
          </w:p>
        </w:tc>
      </w:tr>
      <w:tr w:rsidR="00B23F58" w:rsidRPr="009F4B75" w14:paraId="70D44398" w14:textId="77777777" w:rsidTr="00FD1A57">
        <w:trPr>
          <w:trHeight w:val="624"/>
        </w:trPr>
        <w:tc>
          <w:tcPr>
            <w:tcW w:w="2127" w:type="dxa"/>
            <w:vAlign w:val="center"/>
          </w:tcPr>
          <w:p w14:paraId="6980823B"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Princípy pre stanovenie výberových a </w:t>
            </w:r>
          </w:p>
          <w:p w14:paraId="021111F1"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hodnotiacich kritérií/Hlavné zásady výberu operácií</w:t>
            </w:r>
            <w:r w:rsidRPr="009F4B75">
              <w:rPr>
                <w:rStyle w:val="Odkaznapoznmkupodiarou"/>
                <w:rFonts w:ascii="Times New Roman" w:hAnsi="Times New Roman" w:cs="Times New Roman"/>
              </w:rPr>
              <w:footnoteReference w:id="64"/>
            </w:r>
          </w:p>
        </w:tc>
        <w:tc>
          <w:tcPr>
            <w:tcW w:w="7393" w:type="dxa"/>
            <w:gridSpan w:val="9"/>
            <w:vAlign w:val="center"/>
          </w:tcPr>
          <w:p w14:paraId="63E9EB5E" w14:textId="77777777" w:rsidR="00B23F58" w:rsidRPr="009F4B75" w:rsidRDefault="00B23F58" w:rsidP="00FD1A57">
            <w:pPr>
              <w:rPr>
                <w:rFonts w:ascii="Times New Roman" w:hAnsi="Times New Roman" w:cs="Times New Roman"/>
                <w:sz w:val="24"/>
                <w:szCs w:val="24"/>
              </w:rPr>
            </w:pPr>
            <w:r w:rsidRPr="009F4B75">
              <w:rPr>
                <w:rFonts w:ascii="Times New Roman" w:hAnsi="Times New Roman" w:cs="Times New Roman"/>
                <w:sz w:val="24"/>
                <w:szCs w:val="24"/>
              </w:rPr>
              <w:t>Zásady výberu operácií – netýka sa</w:t>
            </w:r>
          </w:p>
          <w:p w14:paraId="1FF7646C" w14:textId="77777777" w:rsidR="00B23F58" w:rsidRPr="009F4B75" w:rsidRDefault="00B23F58" w:rsidP="00FD1A57">
            <w:pPr>
              <w:rPr>
                <w:rFonts w:ascii="Times New Roman" w:hAnsi="Times New Roman" w:cs="Times New Roman"/>
              </w:rPr>
            </w:pPr>
            <w:r w:rsidRPr="009F4B75">
              <w:rPr>
                <w:rFonts w:ascii="Times New Roman" w:hAnsi="Times New Roman" w:cs="Times New Roman"/>
                <w:sz w:val="24"/>
                <w:szCs w:val="24"/>
              </w:rPr>
              <w:t>Princípy pre stanovenie výberových a hodnotiacich kritérií – netýka sa</w:t>
            </w:r>
          </w:p>
        </w:tc>
      </w:tr>
      <w:tr w:rsidR="00B23F58" w:rsidRPr="009F4B75" w14:paraId="2C5E1FC6" w14:textId="77777777" w:rsidTr="00FD1A57">
        <w:trPr>
          <w:trHeight w:val="624"/>
        </w:trPr>
        <w:tc>
          <w:tcPr>
            <w:tcW w:w="2127" w:type="dxa"/>
            <w:vAlign w:val="center"/>
          </w:tcPr>
          <w:p w14:paraId="1A321F8C"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Povinné prílohy stanovené MAS</w:t>
            </w:r>
            <w:r w:rsidRPr="009F4B75">
              <w:rPr>
                <w:rStyle w:val="Odkaznapoznmkupodiarou"/>
                <w:rFonts w:ascii="Times New Roman" w:hAnsi="Times New Roman" w:cs="Times New Roman"/>
              </w:rPr>
              <w:footnoteReference w:id="65"/>
            </w:r>
          </w:p>
        </w:tc>
        <w:tc>
          <w:tcPr>
            <w:tcW w:w="7393" w:type="dxa"/>
            <w:gridSpan w:val="9"/>
            <w:vAlign w:val="center"/>
          </w:tcPr>
          <w:p w14:paraId="0FF1051F" w14:textId="77777777" w:rsidR="00B23F58" w:rsidRPr="009F4B75" w:rsidRDefault="00B23F58" w:rsidP="00C02D67">
            <w:pPr>
              <w:rPr>
                <w:rFonts w:ascii="Times New Roman" w:hAnsi="Times New Roman" w:cs="Times New Roman"/>
                <w:i/>
              </w:rPr>
            </w:pPr>
            <w:r w:rsidRPr="009F4B75">
              <w:rPr>
                <w:rFonts w:ascii="Times New Roman" w:hAnsi="Times New Roman" w:cs="Times New Roman"/>
                <w:i/>
              </w:rPr>
              <w:t>-</w:t>
            </w:r>
          </w:p>
        </w:tc>
      </w:tr>
      <w:tr w:rsidR="00B23F58" w:rsidRPr="009F4B75" w14:paraId="30E61623" w14:textId="77777777" w:rsidTr="00FD1A57">
        <w:trPr>
          <w:trHeight w:val="624"/>
        </w:trPr>
        <w:tc>
          <w:tcPr>
            <w:tcW w:w="2127" w:type="dxa"/>
            <w:vMerge w:val="restart"/>
            <w:vAlign w:val="center"/>
          </w:tcPr>
          <w:p w14:paraId="31F5BA89"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Merateľné ukazovatele projektu</w:t>
            </w:r>
          </w:p>
        </w:tc>
        <w:tc>
          <w:tcPr>
            <w:tcW w:w="992" w:type="dxa"/>
            <w:vAlign w:val="center"/>
          </w:tcPr>
          <w:p w14:paraId="3B01D7D0" w14:textId="77777777" w:rsidR="00B23F58" w:rsidRPr="009F4B75" w:rsidRDefault="00B23F58" w:rsidP="00C02D67">
            <w:pPr>
              <w:jc w:val="center"/>
              <w:rPr>
                <w:rFonts w:ascii="Times New Roman" w:hAnsi="Times New Roman" w:cs="Times New Roman"/>
                <w:i/>
              </w:rPr>
            </w:pPr>
            <w:r w:rsidRPr="009F4B75">
              <w:rPr>
                <w:rFonts w:ascii="Times New Roman" w:hAnsi="Times New Roman" w:cs="Times New Roman"/>
              </w:rPr>
              <w:t>Kód/ID</w:t>
            </w:r>
          </w:p>
        </w:tc>
        <w:tc>
          <w:tcPr>
            <w:tcW w:w="2855" w:type="dxa"/>
            <w:gridSpan w:val="3"/>
            <w:vAlign w:val="center"/>
          </w:tcPr>
          <w:p w14:paraId="50C10953" w14:textId="77777777" w:rsidR="00B23F58" w:rsidRPr="009F4B75" w:rsidRDefault="00B23F58" w:rsidP="00C02D67">
            <w:pPr>
              <w:jc w:val="center"/>
              <w:rPr>
                <w:rFonts w:ascii="Times New Roman" w:hAnsi="Times New Roman" w:cs="Times New Roman"/>
                <w:i/>
              </w:rPr>
            </w:pPr>
            <w:r w:rsidRPr="009F4B75">
              <w:rPr>
                <w:rFonts w:ascii="Times New Roman" w:hAnsi="Times New Roman" w:cs="Times New Roman"/>
              </w:rPr>
              <w:t>Názov/Ukazovateľ</w:t>
            </w:r>
          </w:p>
        </w:tc>
        <w:tc>
          <w:tcPr>
            <w:tcW w:w="1155" w:type="dxa"/>
            <w:gridSpan w:val="2"/>
            <w:vAlign w:val="center"/>
          </w:tcPr>
          <w:p w14:paraId="188F88ED" w14:textId="77777777" w:rsidR="00B23F58" w:rsidRPr="009F4B75" w:rsidRDefault="00B23F58" w:rsidP="00C02D67">
            <w:pPr>
              <w:jc w:val="center"/>
              <w:rPr>
                <w:rFonts w:ascii="Times New Roman" w:hAnsi="Times New Roman" w:cs="Times New Roman"/>
                <w:i/>
              </w:rPr>
            </w:pPr>
            <w:r w:rsidRPr="009F4B75">
              <w:rPr>
                <w:rFonts w:ascii="Times New Roman" w:hAnsi="Times New Roman" w:cs="Times New Roman"/>
              </w:rPr>
              <w:t>Merná jednotka</w:t>
            </w:r>
          </w:p>
        </w:tc>
        <w:tc>
          <w:tcPr>
            <w:tcW w:w="1262" w:type="dxa"/>
            <w:vAlign w:val="center"/>
          </w:tcPr>
          <w:p w14:paraId="5584A26B" w14:textId="77777777" w:rsidR="00B23F58" w:rsidRPr="009F4B75" w:rsidRDefault="00B23F58" w:rsidP="00C02D67">
            <w:pPr>
              <w:jc w:val="center"/>
              <w:rPr>
                <w:rFonts w:ascii="Times New Roman" w:hAnsi="Times New Roman" w:cs="Times New Roman"/>
                <w:i/>
              </w:rPr>
            </w:pPr>
            <w:r w:rsidRPr="009F4B75">
              <w:rPr>
                <w:rFonts w:ascii="Times New Roman" w:hAnsi="Times New Roman" w:cs="Times New Roman"/>
              </w:rPr>
              <w:t>Počiatočná hodnota</w:t>
            </w:r>
          </w:p>
        </w:tc>
        <w:tc>
          <w:tcPr>
            <w:tcW w:w="1129" w:type="dxa"/>
            <w:gridSpan w:val="2"/>
            <w:vAlign w:val="center"/>
          </w:tcPr>
          <w:p w14:paraId="5C57D729" w14:textId="77777777" w:rsidR="00B23F58" w:rsidRPr="009F4B75" w:rsidRDefault="00B23F58" w:rsidP="00C02D67">
            <w:pPr>
              <w:jc w:val="center"/>
              <w:rPr>
                <w:rFonts w:ascii="Times New Roman" w:hAnsi="Times New Roman" w:cs="Times New Roman"/>
                <w:i/>
              </w:rPr>
            </w:pPr>
            <w:r w:rsidRPr="009F4B75">
              <w:rPr>
                <w:rFonts w:ascii="Times New Roman" w:hAnsi="Times New Roman" w:cs="Times New Roman"/>
              </w:rPr>
              <w:t>Celková cieľová hodnota</w:t>
            </w:r>
          </w:p>
        </w:tc>
      </w:tr>
      <w:tr w:rsidR="00B23F58" w:rsidRPr="009F4B75" w14:paraId="34174B69" w14:textId="77777777" w:rsidTr="00FD1A57">
        <w:trPr>
          <w:trHeight w:val="624"/>
        </w:trPr>
        <w:tc>
          <w:tcPr>
            <w:tcW w:w="2127" w:type="dxa"/>
            <w:vMerge/>
            <w:vAlign w:val="center"/>
          </w:tcPr>
          <w:p w14:paraId="05EC192E" w14:textId="77777777" w:rsidR="00B23F58" w:rsidRPr="009F4B75" w:rsidRDefault="00B23F58" w:rsidP="00C02D67">
            <w:pPr>
              <w:spacing w:after="200" w:line="276" w:lineRule="auto"/>
              <w:rPr>
                <w:rFonts w:ascii="Times New Roman" w:hAnsi="Times New Roman" w:cs="Times New Roman"/>
              </w:rPr>
            </w:pPr>
          </w:p>
        </w:tc>
        <w:tc>
          <w:tcPr>
            <w:tcW w:w="992" w:type="dxa"/>
            <w:vAlign w:val="center"/>
          </w:tcPr>
          <w:p w14:paraId="4D8EB2BB" w14:textId="77777777" w:rsidR="00B23F58" w:rsidRPr="009F4B75" w:rsidRDefault="00B23F58" w:rsidP="00C02D67">
            <w:pPr>
              <w:spacing w:after="200" w:line="276" w:lineRule="auto"/>
              <w:jc w:val="right"/>
              <w:rPr>
                <w:rFonts w:ascii="Times New Roman" w:hAnsi="Times New Roman" w:cs="Times New Roman"/>
                <w:i/>
              </w:rPr>
            </w:pPr>
          </w:p>
        </w:tc>
        <w:tc>
          <w:tcPr>
            <w:tcW w:w="2855" w:type="dxa"/>
            <w:gridSpan w:val="3"/>
            <w:vAlign w:val="center"/>
          </w:tcPr>
          <w:p w14:paraId="766B9289" w14:textId="77777777" w:rsidR="00B23F58" w:rsidRPr="009F4B75" w:rsidRDefault="00B23F58" w:rsidP="00836918">
            <w:pPr>
              <w:spacing w:after="200" w:line="276" w:lineRule="auto"/>
              <w:rPr>
                <w:rFonts w:ascii="Times New Roman" w:hAnsi="Times New Roman" w:cs="Times New Roman"/>
                <w:i/>
              </w:rPr>
            </w:pPr>
            <w:r w:rsidRPr="009F4B75">
              <w:rPr>
                <w:rFonts w:ascii="Times New Roman" w:hAnsi="Times New Roman" w:cs="Times New Roman"/>
                <w:bCs/>
              </w:rPr>
              <w:t xml:space="preserve">Počet </w:t>
            </w:r>
            <w:r w:rsidR="00836918" w:rsidRPr="009F4B75">
              <w:rPr>
                <w:rFonts w:ascii="Times New Roman" w:hAnsi="Times New Roman" w:cs="Times New Roman"/>
                <w:bCs/>
              </w:rPr>
              <w:t>prijatých projektov</w:t>
            </w:r>
          </w:p>
        </w:tc>
        <w:tc>
          <w:tcPr>
            <w:tcW w:w="1155" w:type="dxa"/>
            <w:gridSpan w:val="2"/>
            <w:vAlign w:val="center"/>
          </w:tcPr>
          <w:p w14:paraId="17E19379" w14:textId="77777777" w:rsidR="00B23F58" w:rsidRPr="009F4B75" w:rsidRDefault="00B23F58" w:rsidP="00836918">
            <w:pPr>
              <w:spacing w:after="200" w:line="276" w:lineRule="auto"/>
              <w:rPr>
                <w:rFonts w:ascii="Times New Roman" w:hAnsi="Times New Roman" w:cs="Times New Roman"/>
              </w:rPr>
            </w:pPr>
            <w:r w:rsidRPr="009F4B75">
              <w:rPr>
                <w:rFonts w:ascii="Times New Roman" w:hAnsi="Times New Roman" w:cs="Times New Roman"/>
              </w:rPr>
              <w:t xml:space="preserve">Počet </w:t>
            </w:r>
            <w:r w:rsidR="00836918" w:rsidRPr="009F4B75">
              <w:rPr>
                <w:rFonts w:ascii="Times New Roman" w:hAnsi="Times New Roman" w:cs="Times New Roman"/>
              </w:rPr>
              <w:t>projektov</w:t>
            </w:r>
          </w:p>
        </w:tc>
        <w:tc>
          <w:tcPr>
            <w:tcW w:w="1262" w:type="dxa"/>
            <w:vAlign w:val="center"/>
          </w:tcPr>
          <w:p w14:paraId="43E34C9E" w14:textId="77777777" w:rsidR="00B23F58" w:rsidRPr="009F4B75" w:rsidRDefault="00B23F58" w:rsidP="00FD1A57">
            <w:pPr>
              <w:spacing w:after="200" w:line="276" w:lineRule="auto"/>
              <w:jc w:val="center"/>
              <w:rPr>
                <w:rFonts w:ascii="Times New Roman" w:hAnsi="Times New Roman" w:cs="Times New Roman"/>
              </w:rPr>
            </w:pPr>
            <w:r w:rsidRPr="009F4B75">
              <w:rPr>
                <w:rFonts w:ascii="Times New Roman" w:hAnsi="Times New Roman" w:cs="Times New Roman"/>
              </w:rPr>
              <w:t>0</w:t>
            </w:r>
          </w:p>
        </w:tc>
        <w:tc>
          <w:tcPr>
            <w:tcW w:w="1129" w:type="dxa"/>
            <w:gridSpan w:val="2"/>
            <w:vAlign w:val="center"/>
          </w:tcPr>
          <w:p w14:paraId="01FF2411" w14:textId="77777777" w:rsidR="00B23F58" w:rsidRPr="009F4B75" w:rsidRDefault="00836918" w:rsidP="00FD1A57">
            <w:pPr>
              <w:spacing w:after="200" w:line="276" w:lineRule="auto"/>
              <w:jc w:val="center"/>
              <w:rPr>
                <w:rFonts w:ascii="Times New Roman" w:hAnsi="Times New Roman" w:cs="Times New Roman"/>
              </w:rPr>
            </w:pPr>
            <w:r w:rsidRPr="009F4B75">
              <w:rPr>
                <w:rFonts w:ascii="Times New Roman" w:hAnsi="Times New Roman" w:cs="Times New Roman"/>
              </w:rPr>
              <w:t>39</w:t>
            </w:r>
          </w:p>
        </w:tc>
      </w:tr>
      <w:tr w:rsidR="00B23F58" w:rsidRPr="009F4B75" w14:paraId="73495800" w14:textId="77777777" w:rsidTr="00FD1A57">
        <w:trPr>
          <w:trHeight w:val="624"/>
        </w:trPr>
        <w:tc>
          <w:tcPr>
            <w:tcW w:w="2127" w:type="dxa"/>
            <w:vAlign w:val="center"/>
          </w:tcPr>
          <w:p w14:paraId="7CB4CD91" w14:textId="77777777" w:rsidR="00B23F58" w:rsidRPr="009F4B75" w:rsidRDefault="00B23F58" w:rsidP="00C02D67">
            <w:pPr>
              <w:rPr>
                <w:rFonts w:ascii="Times New Roman" w:hAnsi="Times New Roman" w:cs="Times New Roman"/>
              </w:rPr>
            </w:pPr>
            <w:r w:rsidRPr="009F4B75">
              <w:rPr>
                <w:rFonts w:ascii="Times New Roman" w:hAnsi="Times New Roman" w:cs="Times New Roman"/>
              </w:rPr>
              <w:t>Indikatívny harmonogram výziev</w:t>
            </w:r>
          </w:p>
        </w:tc>
        <w:tc>
          <w:tcPr>
            <w:tcW w:w="7393" w:type="dxa"/>
            <w:gridSpan w:val="9"/>
          </w:tcPr>
          <w:p w14:paraId="3F3F1D06" w14:textId="77777777" w:rsidR="00B23F58" w:rsidRPr="009F4B75" w:rsidRDefault="00B23F58" w:rsidP="00C02D67">
            <w:pPr>
              <w:jc w:val="both"/>
              <w:rPr>
                <w:rFonts w:ascii="Times New Roman" w:hAnsi="Times New Roman" w:cs="Times New Roman"/>
              </w:rPr>
            </w:pPr>
            <w:r w:rsidRPr="009F4B75">
              <w:rPr>
                <w:rFonts w:ascii="Times New Roman" w:hAnsi="Times New Roman" w:cs="Times New Roman"/>
              </w:rPr>
              <w:t>-</w:t>
            </w:r>
          </w:p>
        </w:tc>
      </w:tr>
    </w:tbl>
    <w:p w14:paraId="5FC1FC9F" w14:textId="77777777" w:rsidR="00C02D67" w:rsidRDefault="00C02D67" w:rsidP="00E90E26"/>
    <w:p w14:paraId="30054D15" w14:textId="77777777" w:rsidR="000414D6" w:rsidRDefault="000414D6" w:rsidP="00E90E26"/>
    <w:p w14:paraId="566AF8FE" w14:textId="77777777" w:rsidR="000414D6" w:rsidRDefault="000414D6" w:rsidP="00E90E26">
      <w:pPr>
        <w:rPr>
          <w:rFonts w:ascii="Times New Roman" w:hAnsi="Times New Roman" w:cs="Times New Roman"/>
          <w:b/>
          <w:sz w:val="24"/>
          <w:szCs w:val="24"/>
        </w:rPr>
      </w:pPr>
      <w:r w:rsidRPr="000414D6">
        <w:rPr>
          <w:rFonts w:ascii="Times New Roman" w:hAnsi="Times New Roman" w:cs="Times New Roman"/>
          <w:b/>
          <w:sz w:val="24"/>
          <w:szCs w:val="24"/>
        </w:rPr>
        <w:t>Časť B.) Akčný plán pre dodatočnú výkonnostnú alokáciu MAS</w:t>
      </w:r>
    </w:p>
    <w:p w14:paraId="60DF045C" w14:textId="77777777" w:rsidR="00E14125" w:rsidRPr="002C6C80" w:rsidRDefault="00E14125" w:rsidP="00E14125">
      <w:pPr>
        <w:spacing w:after="0" w:line="320" w:lineRule="exact"/>
        <w:rPr>
          <w:rFonts w:ascii="Times New Roman" w:hAnsi="Times New Roman" w:cs="Times New Roman"/>
          <w:sz w:val="24"/>
          <w:szCs w:val="24"/>
        </w:rPr>
      </w:pPr>
      <w:r w:rsidRPr="002C6C80">
        <w:rPr>
          <w:rFonts w:ascii="Times New Roman" w:hAnsi="Times New Roman" w:cs="Times New Roman"/>
          <w:b/>
        </w:rPr>
        <w:t xml:space="preserve">Tabuľka č. </w:t>
      </w:r>
      <w:r>
        <w:rPr>
          <w:rFonts w:ascii="Times New Roman" w:hAnsi="Times New Roman" w:cs="Times New Roman"/>
          <w:b/>
        </w:rPr>
        <w:t>5</w:t>
      </w:r>
      <w:r w:rsidRPr="002C6C80">
        <w:rPr>
          <w:rFonts w:ascii="Times New Roman" w:hAnsi="Times New Roman" w:cs="Times New Roman"/>
          <w:b/>
        </w:rPr>
        <w:t>.</w:t>
      </w:r>
      <w:r w:rsidR="008A5900">
        <w:rPr>
          <w:rFonts w:ascii="Times New Roman" w:hAnsi="Times New Roman" w:cs="Times New Roman"/>
          <w:b/>
        </w:rPr>
        <w:t>2.</w:t>
      </w:r>
      <w:r w:rsidR="002A0E09">
        <w:rPr>
          <w:rFonts w:ascii="Times New Roman" w:hAnsi="Times New Roman" w:cs="Times New Roman"/>
          <w:b/>
        </w:rPr>
        <w:t>N</w:t>
      </w:r>
      <w:r w:rsidRPr="002C6C80">
        <w:rPr>
          <w:rFonts w:ascii="Times New Roman" w:hAnsi="Times New Roman" w:cs="Times New Roman"/>
          <w:b/>
        </w:rPr>
        <w:t xml:space="preserve">: Opatrenie PRV -   akčný plán  pre  dodatočnú výkonnostnú alokáciu </w:t>
      </w:r>
    </w:p>
    <w:tbl>
      <w:tblPr>
        <w:tblStyle w:val="Mriekatabuky"/>
        <w:tblW w:w="9520" w:type="dxa"/>
        <w:tblInd w:w="108" w:type="dxa"/>
        <w:tblLayout w:type="fixed"/>
        <w:tblLook w:val="04A0" w:firstRow="1" w:lastRow="0" w:firstColumn="1" w:lastColumn="0" w:noHBand="0" w:noVBand="1"/>
      </w:tblPr>
      <w:tblGrid>
        <w:gridCol w:w="2127"/>
        <w:gridCol w:w="992"/>
        <w:gridCol w:w="1984"/>
        <w:gridCol w:w="2127"/>
        <w:gridCol w:w="2290"/>
      </w:tblGrid>
      <w:tr w:rsidR="00596F31" w:rsidRPr="009F4B75" w14:paraId="7107543F" w14:textId="77777777" w:rsidTr="00E14125">
        <w:trPr>
          <w:trHeight w:val="624"/>
        </w:trPr>
        <w:tc>
          <w:tcPr>
            <w:tcW w:w="2127" w:type="dxa"/>
            <w:vAlign w:val="center"/>
          </w:tcPr>
          <w:p w14:paraId="66B72053" w14:textId="77777777" w:rsidR="00596F31" w:rsidRPr="009F4B75" w:rsidRDefault="00596F31" w:rsidP="000414D6">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1A60075E" w14:textId="77777777" w:rsidR="00596F31" w:rsidRPr="009F4B75" w:rsidRDefault="00596F31" w:rsidP="000414D6">
            <w:pPr>
              <w:rPr>
                <w:rFonts w:ascii="Times New Roman" w:hAnsi="Times New Roman" w:cs="Times New Roman"/>
              </w:rPr>
            </w:pPr>
            <w:r w:rsidRPr="009F4B75">
              <w:rPr>
                <w:rFonts w:ascii="Times New Roman" w:hAnsi="Times New Roman" w:cs="Times New Roman"/>
                <w:b/>
                <w:sz w:val="24"/>
                <w:szCs w:val="24"/>
              </w:rPr>
              <w:t>1.1 Podpora na investície do vytvárania, zlepšovania alebo rozširovania miestnych základných služieb pre vidiecke obyvateľstvo vrátane voľného času a kultúry a súvisiacej infraštruktúry</w:t>
            </w:r>
          </w:p>
        </w:tc>
      </w:tr>
      <w:tr w:rsidR="0069716C" w:rsidRPr="009F4B75" w14:paraId="0B7EFA5F" w14:textId="77777777" w:rsidTr="00E14125">
        <w:trPr>
          <w:trHeight w:val="624"/>
        </w:trPr>
        <w:tc>
          <w:tcPr>
            <w:tcW w:w="2127" w:type="dxa"/>
            <w:vAlign w:val="center"/>
          </w:tcPr>
          <w:p w14:paraId="4137F072" w14:textId="77777777" w:rsidR="0069716C" w:rsidRPr="009F4B75" w:rsidRDefault="0069716C" w:rsidP="000414D6">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1A100D20" w14:textId="77777777" w:rsidR="0069716C" w:rsidRPr="009F4B75" w:rsidRDefault="0069716C" w:rsidP="00E06ADA">
            <w:pPr>
              <w:spacing w:after="60"/>
              <w:rPr>
                <w:rFonts w:ascii="Times New Roman" w:hAnsi="Times New Roman" w:cs="Times New Roman"/>
                <w:i/>
                <w:sz w:val="24"/>
                <w:szCs w:val="24"/>
              </w:rPr>
            </w:pPr>
            <w:r w:rsidRPr="009F4B75">
              <w:rPr>
                <w:rFonts w:ascii="Times New Roman" w:hAnsi="Times New Roman" w:cs="Times New Roman"/>
                <w:i/>
                <w:sz w:val="24"/>
                <w:szCs w:val="24"/>
              </w:rPr>
              <w:t>6B Podpora miestneho rozvoja vo vidieckych oblastiach</w:t>
            </w:r>
          </w:p>
          <w:p w14:paraId="74D43194" w14:textId="77777777" w:rsidR="0069716C" w:rsidRPr="009F4B75" w:rsidRDefault="0069716C" w:rsidP="000414D6">
            <w:pPr>
              <w:rPr>
                <w:rFonts w:ascii="Times New Roman" w:hAnsi="Times New Roman" w:cs="Times New Roman"/>
              </w:rPr>
            </w:pPr>
            <w:r w:rsidRPr="009F4B75">
              <w:rPr>
                <w:rFonts w:ascii="Times New Roman" w:hAnsi="Times New Roman" w:cs="Times New Roman"/>
                <w:i/>
                <w:sz w:val="24"/>
                <w:szCs w:val="24"/>
              </w:rPr>
              <w:t>5C Uľahčenie dodávok a využívania obnoviteľných zdrojov energie, vedľajších produktov, odpadov, zvyškov a iných nepotravinových surovín na účely bioekonomiky</w:t>
            </w:r>
          </w:p>
        </w:tc>
      </w:tr>
      <w:tr w:rsidR="0069716C" w:rsidRPr="009F4B75" w14:paraId="69BB4C23" w14:textId="77777777" w:rsidTr="00E14125">
        <w:trPr>
          <w:trHeight w:val="624"/>
        </w:trPr>
        <w:tc>
          <w:tcPr>
            <w:tcW w:w="2127" w:type="dxa"/>
            <w:vAlign w:val="center"/>
          </w:tcPr>
          <w:p w14:paraId="2157CEE1" w14:textId="77777777" w:rsidR="0069716C" w:rsidRPr="009F4B75" w:rsidRDefault="0069716C" w:rsidP="000414D6">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40A84257" w14:textId="77777777" w:rsidR="007F6102" w:rsidRPr="009F4B75" w:rsidRDefault="007F6102" w:rsidP="007F6102">
            <w:pPr>
              <w:jc w:val="both"/>
              <w:rPr>
                <w:rFonts w:ascii="Times New Roman" w:hAnsi="Times New Roman" w:cs="Times New Roman"/>
                <w:i/>
              </w:rPr>
            </w:pPr>
            <w:r w:rsidRPr="009F4B75">
              <w:rPr>
                <w:rFonts w:ascii="Times New Roman" w:hAnsi="Times New Roman" w:cs="Times New Roman"/>
                <w:i/>
              </w:rPr>
              <w:t>Podporované budú nasledovné aktivity:</w:t>
            </w:r>
          </w:p>
          <w:p w14:paraId="1205CAB7" w14:textId="77777777" w:rsidR="007F6102" w:rsidRPr="009F4B75" w:rsidRDefault="007F6102" w:rsidP="007F6102">
            <w:pPr>
              <w:jc w:val="both"/>
              <w:rPr>
                <w:rFonts w:ascii="Times New Roman" w:hAnsi="Times New Roman" w:cs="Times New Roman"/>
                <w:i/>
              </w:rPr>
            </w:pPr>
            <w:r w:rsidRPr="009F4B75">
              <w:rPr>
                <w:rFonts w:ascii="Times New Roman" w:hAnsi="Times New Roman" w:cs="Times New Roman"/>
                <w:i/>
              </w:rPr>
              <w:t xml:space="preserve">•  investície súvisiace s vytváraním podmienok pre trávenie voľného času vrátane príslušnej infraštruktúry – napr. výstavba/rekonštrukcia/modernizácia športovísk a detských ihrísk, amfiteátrov, investície do rekonštrukcie nevyužívaných </w:t>
            </w:r>
            <w:r w:rsidRPr="009F4B75">
              <w:rPr>
                <w:rFonts w:ascii="Times New Roman" w:hAnsi="Times New Roman" w:cs="Times New Roman"/>
                <w:i/>
              </w:rPr>
              <w:lastRenderedPageBreak/>
              <w:t>objektov v obci pre komunitnú/spolkovú činnosť vrátane rekonštrukcie existujúcich kultúrnych domov;</w:t>
            </w:r>
          </w:p>
          <w:p w14:paraId="033E906C" w14:textId="77777777" w:rsidR="007F6102" w:rsidRPr="009F4B75" w:rsidRDefault="007F6102" w:rsidP="007F6102">
            <w:pPr>
              <w:jc w:val="both"/>
              <w:rPr>
                <w:rFonts w:ascii="Times New Roman" w:hAnsi="Times New Roman" w:cs="Times New Roman"/>
                <w:i/>
              </w:rPr>
            </w:pPr>
            <w:r w:rsidRPr="009F4B75">
              <w:rPr>
                <w:rFonts w:ascii="Times New Roman" w:hAnsi="Times New Roman" w:cs="Times New Roman"/>
                <w:i/>
              </w:rPr>
              <w:t xml:space="preserve">•  investície súvisiace s vytváraním podmienok pre rozvoj podnikania – rekonštrukcie nevyužívaných objektov v obci pre podnikateľskú činnosť, výstavba/rekonštrukcia tržníc pre podporu predaja miestnych produktov a pod. </w:t>
            </w:r>
          </w:p>
          <w:p w14:paraId="12372CB8" w14:textId="77777777" w:rsidR="0069716C" w:rsidRPr="009F4B75" w:rsidRDefault="007F6102" w:rsidP="007F6102">
            <w:pPr>
              <w:jc w:val="both"/>
              <w:rPr>
                <w:rFonts w:ascii="Times New Roman" w:hAnsi="Times New Roman" w:cs="Times New Roman"/>
                <w:i/>
              </w:rPr>
            </w:pPr>
            <w:r w:rsidRPr="009F4B75">
              <w:rPr>
                <w:rFonts w:ascii="Times New Roman" w:hAnsi="Times New Roman" w:cs="Times New Roman"/>
                <w:i/>
              </w:rPr>
              <w:t>•  investície do využívania OZE vrátane investícií spojenými s úsporou energie – len ako súčasť investícií do miestnych služieb.</w:t>
            </w:r>
          </w:p>
        </w:tc>
      </w:tr>
      <w:tr w:rsidR="0069716C" w:rsidRPr="009F4B75" w14:paraId="3FD9B2C4" w14:textId="77777777" w:rsidTr="00E14125">
        <w:trPr>
          <w:trHeight w:val="624"/>
        </w:trPr>
        <w:tc>
          <w:tcPr>
            <w:tcW w:w="2127" w:type="dxa"/>
            <w:vMerge w:val="restart"/>
            <w:vAlign w:val="center"/>
          </w:tcPr>
          <w:p w14:paraId="5164BB85" w14:textId="77777777" w:rsidR="0069716C" w:rsidRPr="009F4B75" w:rsidRDefault="0069716C" w:rsidP="000414D6">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207AD13C" w14:textId="77777777" w:rsidR="0069716C" w:rsidRPr="009F4B75" w:rsidDel="00D14904" w:rsidRDefault="0069716C" w:rsidP="000414D6">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66"/>
            </w:r>
          </w:p>
        </w:tc>
        <w:tc>
          <w:tcPr>
            <w:tcW w:w="1984" w:type="dxa"/>
            <w:vAlign w:val="center"/>
          </w:tcPr>
          <w:p w14:paraId="22B99E33" w14:textId="77777777" w:rsidR="0069716C" w:rsidRPr="009F4B75" w:rsidRDefault="0069716C" w:rsidP="000414D6">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45F6D53B" w14:textId="77777777" w:rsidR="0069716C" w:rsidRPr="009F4B75" w:rsidRDefault="0069716C" w:rsidP="000414D6">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295F15F2" w14:textId="77777777" w:rsidR="0069716C" w:rsidRPr="009F4B75" w:rsidRDefault="0069716C" w:rsidP="000414D6">
            <w:pPr>
              <w:jc w:val="center"/>
              <w:rPr>
                <w:rFonts w:ascii="Times New Roman" w:hAnsi="Times New Roman" w:cs="Times New Roman"/>
              </w:rPr>
            </w:pPr>
            <w:r w:rsidRPr="009F4B75">
              <w:rPr>
                <w:rFonts w:ascii="Times New Roman" w:hAnsi="Times New Roman" w:cs="Times New Roman"/>
              </w:rPr>
              <w:t>VZ</w:t>
            </w:r>
          </w:p>
        </w:tc>
      </w:tr>
      <w:tr w:rsidR="0069716C" w:rsidRPr="009F4B75" w14:paraId="4C606061" w14:textId="77777777" w:rsidTr="00E14125">
        <w:trPr>
          <w:trHeight w:val="624"/>
        </w:trPr>
        <w:tc>
          <w:tcPr>
            <w:tcW w:w="2127" w:type="dxa"/>
            <w:vMerge/>
            <w:vAlign w:val="center"/>
          </w:tcPr>
          <w:p w14:paraId="1DABD87B" w14:textId="77777777" w:rsidR="0069716C" w:rsidRPr="009F4B75" w:rsidRDefault="0069716C" w:rsidP="000414D6">
            <w:pPr>
              <w:spacing w:after="200" w:line="276" w:lineRule="auto"/>
              <w:rPr>
                <w:rFonts w:ascii="Times New Roman" w:hAnsi="Times New Roman" w:cs="Times New Roman"/>
              </w:rPr>
            </w:pPr>
          </w:p>
        </w:tc>
        <w:tc>
          <w:tcPr>
            <w:tcW w:w="992" w:type="dxa"/>
            <w:vAlign w:val="center"/>
          </w:tcPr>
          <w:p w14:paraId="649CA0E7" w14:textId="77777777" w:rsidR="0069716C" w:rsidRPr="009F4B75" w:rsidDel="00D14904" w:rsidRDefault="0069716C" w:rsidP="000414D6">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67D59CED"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144 208,42</w:t>
            </w:r>
          </w:p>
        </w:tc>
        <w:tc>
          <w:tcPr>
            <w:tcW w:w="2127" w:type="dxa"/>
            <w:vAlign w:val="center"/>
          </w:tcPr>
          <w:p w14:paraId="08F2163B"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136 998,00</w:t>
            </w:r>
          </w:p>
        </w:tc>
        <w:tc>
          <w:tcPr>
            <w:tcW w:w="2290" w:type="dxa"/>
            <w:vAlign w:val="center"/>
          </w:tcPr>
          <w:p w14:paraId="4A4B78A6"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7 210,42</w:t>
            </w:r>
          </w:p>
        </w:tc>
      </w:tr>
      <w:tr w:rsidR="0069716C" w:rsidRPr="009F4B75" w14:paraId="669B9B26" w14:textId="77777777" w:rsidTr="00E14125">
        <w:trPr>
          <w:trHeight w:val="624"/>
        </w:trPr>
        <w:tc>
          <w:tcPr>
            <w:tcW w:w="2127" w:type="dxa"/>
            <w:vMerge/>
            <w:vAlign w:val="center"/>
          </w:tcPr>
          <w:p w14:paraId="285E4E8B" w14:textId="77777777" w:rsidR="0069716C" w:rsidRPr="009F4B75" w:rsidRDefault="0069716C" w:rsidP="000414D6">
            <w:pPr>
              <w:spacing w:after="200" w:line="276" w:lineRule="auto"/>
              <w:rPr>
                <w:rFonts w:ascii="Times New Roman" w:hAnsi="Times New Roman" w:cs="Times New Roman"/>
              </w:rPr>
            </w:pPr>
          </w:p>
        </w:tc>
        <w:tc>
          <w:tcPr>
            <w:tcW w:w="992" w:type="dxa"/>
            <w:vAlign w:val="center"/>
          </w:tcPr>
          <w:p w14:paraId="44F7F427" w14:textId="77777777" w:rsidR="0069716C" w:rsidRPr="009F4B75" w:rsidDel="00D14904" w:rsidRDefault="0069716C" w:rsidP="000414D6">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775E44D8"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76841A03"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44E6D58F" w14:textId="77777777" w:rsidR="0069716C" w:rsidRPr="009F4B75" w:rsidRDefault="0069716C" w:rsidP="000414D6">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55A85810" w14:textId="77777777" w:rsidTr="00E14125">
        <w:trPr>
          <w:trHeight w:val="624"/>
        </w:trPr>
        <w:tc>
          <w:tcPr>
            <w:tcW w:w="2127" w:type="dxa"/>
            <w:vMerge/>
            <w:vAlign w:val="center"/>
          </w:tcPr>
          <w:p w14:paraId="7A9BF697" w14:textId="77777777" w:rsidR="0069716C" w:rsidRPr="009F4B75" w:rsidRDefault="0069716C" w:rsidP="000414D6">
            <w:pPr>
              <w:spacing w:after="200" w:line="276" w:lineRule="auto"/>
              <w:rPr>
                <w:rFonts w:ascii="Times New Roman" w:hAnsi="Times New Roman" w:cs="Times New Roman"/>
              </w:rPr>
            </w:pPr>
          </w:p>
        </w:tc>
        <w:tc>
          <w:tcPr>
            <w:tcW w:w="992" w:type="dxa"/>
            <w:vAlign w:val="center"/>
          </w:tcPr>
          <w:p w14:paraId="4C4FED60" w14:textId="77777777" w:rsidR="0069716C" w:rsidRPr="009F4B75" w:rsidDel="00D14904" w:rsidRDefault="0069716C" w:rsidP="000414D6">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315252B8" w14:textId="77777777" w:rsidR="0069716C" w:rsidRPr="009F4B75" w:rsidRDefault="0069716C" w:rsidP="000414D6">
            <w:pPr>
              <w:jc w:val="right"/>
              <w:rPr>
                <w:rFonts w:ascii="Times New Roman" w:hAnsi="Times New Roman" w:cs="Times New Roman"/>
              </w:rPr>
            </w:pPr>
            <w:r w:rsidRPr="009F4B75">
              <w:rPr>
                <w:rFonts w:ascii="Times New Roman" w:hAnsi="Times New Roman" w:cs="Times New Roman"/>
              </w:rPr>
              <w:t>144 208,42</w:t>
            </w:r>
          </w:p>
        </w:tc>
        <w:tc>
          <w:tcPr>
            <w:tcW w:w="2127" w:type="dxa"/>
            <w:vAlign w:val="center"/>
          </w:tcPr>
          <w:p w14:paraId="3E3C2453" w14:textId="77777777" w:rsidR="0069716C" w:rsidRPr="009F4B75" w:rsidRDefault="0069716C" w:rsidP="000414D6">
            <w:pPr>
              <w:jc w:val="right"/>
              <w:rPr>
                <w:rFonts w:ascii="Times New Roman" w:hAnsi="Times New Roman" w:cs="Times New Roman"/>
              </w:rPr>
            </w:pPr>
            <w:r w:rsidRPr="009F4B75">
              <w:rPr>
                <w:rFonts w:ascii="Times New Roman" w:hAnsi="Times New Roman" w:cs="Times New Roman"/>
              </w:rPr>
              <w:t>136 998,00</w:t>
            </w:r>
          </w:p>
        </w:tc>
        <w:tc>
          <w:tcPr>
            <w:tcW w:w="2290" w:type="dxa"/>
            <w:vAlign w:val="center"/>
          </w:tcPr>
          <w:p w14:paraId="244A68EF" w14:textId="77777777" w:rsidR="0069716C" w:rsidRPr="009F4B75" w:rsidRDefault="0069716C" w:rsidP="000414D6">
            <w:pPr>
              <w:jc w:val="right"/>
              <w:rPr>
                <w:rFonts w:ascii="Times New Roman" w:hAnsi="Times New Roman" w:cs="Times New Roman"/>
              </w:rPr>
            </w:pPr>
            <w:r w:rsidRPr="009F4B75">
              <w:rPr>
                <w:rFonts w:ascii="Times New Roman" w:hAnsi="Times New Roman" w:cs="Times New Roman"/>
              </w:rPr>
              <w:t>7 210,42</w:t>
            </w:r>
          </w:p>
        </w:tc>
      </w:tr>
      <w:tr w:rsidR="00E06ADA" w:rsidRPr="009F4B75" w14:paraId="035710F1" w14:textId="77777777" w:rsidTr="00E06ADA">
        <w:trPr>
          <w:trHeight w:val="624"/>
        </w:trPr>
        <w:tc>
          <w:tcPr>
            <w:tcW w:w="2127" w:type="dxa"/>
            <w:vAlign w:val="center"/>
          </w:tcPr>
          <w:p w14:paraId="36474357" w14:textId="77777777" w:rsidR="00E06ADA" w:rsidRPr="009F4B75" w:rsidRDefault="00E06ADA" w:rsidP="00E06ADA">
            <w:pPr>
              <w:rPr>
                <w:rFonts w:ascii="Times New Roman" w:hAnsi="Times New Roman" w:cs="Times New Roman"/>
              </w:rPr>
            </w:pPr>
          </w:p>
        </w:tc>
        <w:tc>
          <w:tcPr>
            <w:tcW w:w="7393" w:type="dxa"/>
            <w:gridSpan w:val="4"/>
          </w:tcPr>
          <w:p w14:paraId="66EF3F2A" w14:textId="77777777" w:rsidR="00E06ADA" w:rsidRPr="009F4B75" w:rsidRDefault="00E06ADA" w:rsidP="00E06ADA">
            <w:pPr>
              <w:rPr>
                <w:rFonts w:ascii="Times New Roman" w:hAnsi="Times New Roman" w:cs="Times New Roman"/>
                <w:b/>
                <w:sz w:val="24"/>
                <w:szCs w:val="24"/>
              </w:rPr>
            </w:pPr>
          </w:p>
        </w:tc>
      </w:tr>
      <w:tr w:rsidR="0069716C" w:rsidRPr="009F4B75" w14:paraId="42FBE404" w14:textId="77777777" w:rsidTr="00E06ADA">
        <w:trPr>
          <w:trHeight w:val="624"/>
        </w:trPr>
        <w:tc>
          <w:tcPr>
            <w:tcW w:w="2127" w:type="dxa"/>
            <w:vAlign w:val="center"/>
          </w:tcPr>
          <w:p w14:paraId="3E31A97E"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12402C9B" w14:textId="77777777" w:rsidR="0069716C" w:rsidRPr="009F4B75" w:rsidRDefault="0069716C" w:rsidP="00E06ADA">
            <w:pPr>
              <w:rPr>
                <w:rFonts w:ascii="Times New Roman" w:hAnsi="Times New Roman" w:cs="Times New Roman"/>
              </w:rPr>
            </w:pPr>
            <w:r w:rsidRPr="009F4B75">
              <w:rPr>
                <w:rFonts w:ascii="Times New Roman" w:hAnsi="Times New Roman" w:cs="Times New Roman"/>
                <w:b/>
                <w:sz w:val="24"/>
                <w:szCs w:val="24"/>
              </w:rPr>
              <w:t>1.4 Podpora na investície do vytvárania, zlepšovania alebo rozširovania infraštruktúr malých rozmerov</w:t>
            </w:r>
            <w:r w:rsidRPr="009F4B75">
              <w:rPr>
                <w:rFonts w:ascii="Times New Roman" w:hAnsi="Times New Roman" w:cs="Times New Roman"/>
                <w:sz w:val="24"/>
                <w:szCs w:val="24"/>
              </w:rPr>
              <w:t xml:space="preserve"> </w:t>
            </w:r>
          </w:p>
        </w:tc>
      </w:tr>
      <w:tr w:rsidR="0069716C" w:rsidRPr="009F4B75" w14:paraId="1274B4EA" w14:textId="77777777" w:rsidTr="00E06ADA">
        <w:trPr>
          <w:trHeight w:val="624"/>
        </w:trPr>
        <w:tc>
          <w:tcPr>
            <w:tcW w:w="2127" w:type="dxa"/>
            <w:vAlign w:val="center"/>
          </w:tcPr>
          <w:p w14:paraId="54673FA6"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1801A71D"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6B Podpora miestneho rozvoja vo vidieckych oblastiach</w:t>
            </w:r>
          </w:p>
        </w:tc>
      </w:tr>
      <w:tr w:rsidR="00B23F58" w:rsidRPr="009F4B75" w14:paraId="008F60FC" w14:textId="77777777" w:rsidTr="00E06ADA">
        <w:trPr>
          <w:trHeight w:val="624"/>
        </w:trPr>
        <w:tc>
          <w:tcPr>
            <w:tcW w:w="2127" w:type="dxa"/>
            <w:vAlign w:val="center"/>
          </w:tcPr>
          <w:p w14:paraId="224D4363" w14:textId="77777777" w:rsidR="00B23F58" w:rsidRPr="009F4B75" w:rsidRDefault="00B23F58"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091EE04B" w14:textId="77777777" w:rsidR="00B23F58" w:rsidRPr="009F4B75" w:rsidRDefault="00B23F58" w:rsidP="00E06ADA">
            <w:pPr>
              <w:jc w:val="both"/>
              <w:rPr>
                <w:rFonts w:ascii="Times New Roman" w:hAnsi="Times New Roman" w:cs="Times New Roman"/>
                <w:i/>
              </w:rPr>
            </w:pPr>
            <w:r w:rsidRPr="009F4B75">
              <w:rPr>
                <w:rFonts w:ascii="Times New Roman" w:hAnsi="Times New Roman" w:cs="Times New Roman"/>
                <w:i/>
                <w:sz w:val="24"/>
                <w:szCs w:val="24"/>
              </w:rPr>
              <w:t>Zlepšenie vzhľadu obcí – úprava a tvorba verejných priestranstiev, námestí, parkov a pod.</w:t>
            </w:r>
          </w:p>
        </w:tc>
      </w:tr>
      <w:tr w:rsidR="0069716C" w:rsidRPr="009F4B75" w14:paraId="4D8167E6" w14:textId="77777777" w:rsidTr="00E06ADA">
        <w:trPr>
          <w:trHeight w:val="624"/>
        </w:trPr>
        <w:tc>
          <w:tcPr>
            <w:tcW w:w="2127" w:type="dxa"/>
            <w:vMerge w:val="restart"/>
            <w:vAlign w:val="center"/>
          </w:tcPr>
          <w:p w14:paraId="17885ED1"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65AA4567"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67"/>
            </w:r>
          </w:p>
        </w:tc>
        <w:tc>
          <w:tcPr>
            <w:tcW w:w="1984" w:type="dxa"/>
            <w:vAlign w:val="center"/>
          </w:tcPr>
          <w:p w14:paraId="50355EB7"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2A7F6FFE"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75F8311F"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0347F60D" w14:textId="77777777" w:rsidTr="00E06ADA">
        <w:trPr>
          <w:trHeight w:val="624"/>
        </w:trPr>
        <w:tc>
          <w:tcPr>
            <w:tcW w:w="2127" w:type="dxa"/>
            <w:vMerge/>
            <w:vAlign w:val="center"/>
          </w:tcPr>
          <w:p w14:paraId="787BC349"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3EFFB477"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72BB1743"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72 104,21</w:t>
            </w:r>
          </w:p>
        </w:tc>
        <w:tc>
          <w:tcPr>
            <w:tcW w:w="2127" w:type="dxa"/>
            <w:vAlign w:val="center"/>
          </w:tcPr>
          <w:p w14:paraId="0E7863F9"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68 499,00</w:t>
            </w:r>
          </w:p>
        </w:tc>
        <w:tc>
          <w:tcPr>
            <w:tcW w:w="2290" w:type="dxa"/>
            <w:vAlign w:val="center"/>
          </w:tcPr>
          <w:p w14:paraId="3B9FFA09"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3 605,21</w:t>
            </w:r>
          </w:p>
        </w:tc>
      </w:tr>
      <w:tr w:rsidR="0069716C" w:rsidRPr="009F4B75" w14:paraId="4E13E763" w14:textId="77777777" w:rsidTr="00E06ADA">
        <w:trPr>
          <w:trHeight w:val="624"/>
        </w:trPr>
        <w:tc>
          <w:tcPr>
            <w:tcW w:w="2127" w:type="dxa"/>
            <w:vMerge/>
            <w:vAlign w:val="center"/>
          </w:tcPr>
          <w:p w14:paraId="7AB70ED6"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BC117D6"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19BC5379"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68DAFD8E"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343E1E0F"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4C62459B" w14:textId="77777777" w:rsidTr="00E06ADA">
        <w:trPr>
          <w:trHeight w:val="624"/>
        </w:trPr>
        <w:tc>
          <w:tcPr>
            <w:tcW w:w="2127" w:type="dxa"/>
            <w:vMerge/>
            <w:vAlign w:val="center"/>
          </w:tcPr>
          <w:p w14:paraId="6CA094CF"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6779ACDA"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41E91783"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72 104,21</w:t>
            </w:r>
          </w:p>
        </w:tc>
        <w:tc>
          <w:tcPr>
            <w:tcW w:w="2127" w:type="dxa"/>
            <w:vAlign w:val="center"/>
          </w:tcPr>
          <w:p w14:paraId="2637E125"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68 499,00</w:t>
            </w:r>
          </w:p>
        </w:tc>
        <w:tc>
          <w:tcPr>
            <w:tcW w:w="2290" w:type="dxa"/>
            <w:vAlign w:val="center"/>
          </w:tcPr>
          <w:p w14:paraId="48C51924"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3 605,21</w:t>
            </w:r>
          </w:p>
        </w:tc>
      </w:tr>
      <w:tr w:rsidR="00E06ADA" w:rsidRPr="009F4B75" w14:paraId="5E69A09C" w14:textId="77777777" w:rsidTr="00E06ADA">
        <w:trPr>
          <w:trHeight w:val="624"/>
        </w:trPr>
        <w:tc>
          <w:tcPr>
            <w:tcW w:w="2127" w:type="dxa"/>
            <w:vAlign w:val="center"/>
          </w:tcPr>
          <w:p w14:paraId="711528BE" w14:textId="77777777" w:rsidR="00E06ADA" w:rsidRPr="009F4B75" w:rsidRDefault="00E06ADA" w:rsidP="00E06ADA">
            <w:pPr>
              <w:rPr>
                <w:rFonts w:ascii="Times New Roman" w:hAnsi="Times New Roman" w:cs="Times New Roman"/>
              </w:rPr>
            </w:pPr>
          </w:p>
        </w:tc>
        <w:tc>
          <w:tcPr>
            <w:tcW w:w="7393" w:type="dxa"/>
            <w:gridSpan w:val="4"/>
          </w:tcPr>
          <w:p w14:paraId="53C8EE45" w14:textId="77777777" w:rsidR="00E06ADA" w:rsidRPr="009F4B75" w:rsidRDefault="00E06ADA" w:rsidP="00E06ADA">
            <w:pPr>
              <w:rPr>
                <w:rFonts w:ascii="Times New Roman" w:hAnsi="Times New Roman" w:cs="Times New Roman"/>
                <w:b/>
                <w:sz w:val="24"/>
                <w:szCs w:val="24"/>
              </w:rPr>
            </w:pPr>
          </w:p>
        </w:tc>
      </w:tr>
      <w:tr w:rsidR="0069716C" w:rsidRPr="009F4B75" w14:paraId="14D06D1A" w14:textId="77777777" w:rsidTr="00E06ADA">
        <w:trPr>
          <w:trHeight w:val="624"/>
        </w:trPr>
        <w:tc>
          <w:tcPr>
            <w:tcW w:w="2127" w:type="dxa"/>
            <w:vAlign w:val="center"/>
          </w:tcPr>
          <w:p w14:paraId="15436ED2"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56FF2237" w14:textId="77777777" w:rsidR="0069716C" w:rsidRPr="009F4B75" w:rsidRDefault="0069716C" w:rsidP="00E06ADA">
            <w:pPr>
              <w:rPr>
                <w:rFonts w:ascii="Times New Roman" w:hAnsi="Times New Roman" w:cs="Times New Roman"/>
              </w:rPr>
            </w:pPr>
            <w:r w:rsidRPr="009F4B75">
              <w:rPr>
                <w:rFonts w:ascii="Times New Roman" w:hAnsi="Times New Roman" w:cs="Times New Roman"/>
                <w:b/>
                <w:sz w:val="24"/>
                <w:szCs w:val="24"/>
              </w:rPr>
              <w:t>2.1 Podpora na investície do rekreačnej infraštruktúry, turistických informácií a do turistickej infraštruktúry malých rozmerov na verejné využitie</w:t>
            </w:r>
          </w:p>
        </w:tc>
      </w:tr>
      <w:tr w:rsidR="0069716C" w:rsidRPr="009F4B75" w14:paraId="6F79C7ED" w14:textId="77777777" w:rsidTr="00E06ADA">
        <w:trPr>
          <w:trHeight w:val="624"/>
        </w:trPr>
        <w:tc>
          <w:tcPr>
            <w:tcW w:w="2127" w:type="dxa"/>
            <w:vAlign w:val="center"/>
          </w:tcPr>
          <w:p w14:paraId="1AF63F1C"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73DFE5A4"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6B Podpora miestneho rozvoja vo vidieckych oblastiach</w:t>
            </w:r>
          </w:p>
        </w:tc>
      </w:tr>
      <w:tr w:rsidR="007F6102" w:rsidRPr="009F4B75" w14:paraId="1AF0608B" w14:textId="77777777" w:rsidTr="00E06ADA">
        <w:trPr>
          <w:trHeight w:val="624"/>
        </w:trPr>
        <w:tc>
          <w:tcPr>
            <w:tcW w:w="2127" w:type="dxa"/>
            <w:vAlign w:val="center"/>
          </w:tcPr>
          <w:p w14:paraId="2DF7B8F9" w14:textId="77777777" w:rsidR="007F6102" w:rsidRPr="009F4B75" w:rsidRDefault="007F6102"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137FF543"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Podporované budú nasledovné aktivity:</w:t>
            </w:r>
          </w:p>
          <w:p w14:paraId="2EF0C5C9"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  investície, ktoré súvisia s vytvorením, udržiavaním, obnovou a skvalitňovaním turisticky zaujímavých objektov, bodov a miest vrátane príslušnej infraštruktúry – miestne kultúrne, historické, prírodné a iné objekty a zaujímavosti, zriadenie múzejných a galerijných zariadení a </w:t>
            </w:r>
            <w:r w:rsidRPr="009F4B75">
              <w:rPr>
                <w:rFonts w:ascii="Times New Roman" w:hAnsi="Times New Roman" w:cs="Times New Roman"/>
                <w:i/>
                <w:sz w:val="24"/>
                <w:szCs w:val="24"/>
              </w:rPr>
              <w:lastRenderedPageBreak/>
              <w:t xml:space="preserve">pod.; </w:t>
            </w:r>
          </w:p>
          <w:p w14:paraId="65E07D91"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  investície do rekreačnej infraštruktúry, turistických informácií a informačných tabúľ v turistických lokalitách na verejné využitie, budovanie drobných obslužných zariadení pre turistov, informačné body, smerové tabule, KIOSKy a pod.; </w:t>
            </w:r>
          </w:p>
          <w:p w14:paraId="703E23CD" w14:textId="77777777" w:rsidR="007F6102" w:rsidRPr="009F4B75" w:rsidRDefault="007F6102" w:rsidP="00E06ADA">
            <w:pPr>
              <w:jc w:val="both"/>
              <w:rPr>
                <w:rFonts w:ascii="Times New Roman" w:hAnsi="Times New Roman" w:cs="Times New Roman"/>
                <w:i/>
              </w:rPr>
            </w:pPr>
            <w:r w:rsidRPr="009F4B75">
              <w:rPr>
                <w:rFonts w:ascii="Times New Roman" w:hAnsi="Times New Roman" w:cs="Times New Roman"/>
                <w:i/>
                <w:sz w:val="24"/>
                <w:szCs w:val="24"/>
              </w:rPr>
              <w:t>•  budovanie, rekonštrukcia náučných chodníkov, cykloturistických chodníkov, ich napojenie na náučné chodníky, budovanie doplnkovej infraštruktúry (odpočinkové miesta, prístrešky, stojany na bicykle a pod.), výstavba vyhliadkových veží, budovanie, údržba obnova cykloturistického značenia na existujúcich cykloturistických trasách a pod.</w:t>
            </w:r>
          </w:p>
        </w:tc>
      </w:tr>
      <w:tr w:rsidR="0069716C" w:rsidRPr="009F4B75" w14:paraId="32F223D9" w14:textId="77777777" w:rsidTr="00E06ADA">
        <w:trPr>
          <w:trHeight w:val="624"/>
        </w:trPr>
        <w:tc>
          <w:tcPr>
            <w:tcW w:w="2127" w:type="dxa"/>
            <w:vMerge w:val="restart"/>
            <w:vAlign w:val="center"/>
          </w:tcPr>
          <w:p w14:paraId="12B46BB9"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2E9546AA"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68"/>
            </w:r>
          </w:p>
        </w:tc>
        <w:tc>
          <w:tcPr>
            <w:tcW w:w="1984" w:type="dxa"/>
            <w:vAlign w:val="center"/>
          </w:tcPr>
          <w:p w14:paraId="2FC4B2EA"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2810759B"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1A7C706F"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752E2733" w14:textId="77777777" w:rsidTr="00E06ADA">
        <w:trPr>
          <w:trHeight w:val="624"/>
        </w:trPr>
        <w:tc>
          <w:tcPr>
            <w:tcW w:w="2127" w:type="dxa"/>
            <w:vMerge/>
            <w:vAlign w:val="center"/>
          </w:tcPr>
          <w:p w14:paraId="0E56074A"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156251FD"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77F021E9"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144 208,42</w:t>
            </w:r>
          </w:p>
        </w:tc>
        <w:tc>
          <w:tcPr>
            <w:tcW w:w="2127" w:type="dxa"/>
            <w:vAlign w:val="center"/>
          </w:tcPr>
          <w:p w14:paraId="5251E107"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136 998,00</w:t>
            </w:r>
          </w:p>
        </w:tc>
        <w:tc>
          <w:tcPr>
            <w:tcW w:w="2290" w:type="dxa"/>
            <w:vAlign w:val="center"/>
          </w:tcPr>
          <w:p w14:paraId="2A32AD46"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7 210,42</w:t>
            </w:r>
          </w:p>
        </w:tc>
      </w:tr>
      <w:tr w:rsidR="0069716C" w:rsidRPr="009F4B75" w14:paraId="0E38D3AB" w14:textId="77777777" w:rsidTr="00E06ADA">
        <w:trPr>
          <w:trHeight w:val="624"/>
        </w:trPr>
        <w:tc>
          <w:tcPr>
            <w:tcW w:w="2127" w:type="dxa"/>
            <w:vMerge/>
            <w:vAlign w:val="center"/>
          </w:tcPr>
          <w:p w14:paraId="06A2C864"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2DEE575B"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2B9A0C49"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4FD61845"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636E0168"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69D9C24A" w14:textId="77777777" w:rsidTr="00E06ADA">
        <w:trPr>
          <w:trHeight w:val="624"/>
        </w:trPr>
        <w:tc>
          <w:tcPr>
            <w:tcW w:w="2127" w:type="dxa"/>
            <w:vMerge/>
            <w:vAlign w:val="center"/>
          </w:tcPr>
          <w:p w14:paraId="351CF547"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32FA7A70"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4E37E5C4"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144 208,42</w:t>
            </w:r>
          </w:p>
        </w:tc>
        <w:tc>
          <w:tcPr>
            <w:tcW w:w="2127" w:type="dxa"/>
            <w:vAlign w:val="center"/>
          </w:tcPr>
          <w:p w14:paraId="51766A31"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136 998,00</w:t>
            </w:r>
          </w:p>
        </w:tc>
        <w:tc>
          <w:tcPr>
            <w:tcW w:w="2290" w:type="dxa"/>
            <w:vAlign w:val="center"/>
          </w:tcPr>
          <w:p w14:paraId="46D4B969"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7 210,42</w:t>
            </w:r>
          </w:p>
        </w:tc>
      </w:tr>
      <w:tr w:rsidR="00E06ADA" w:rsidRPr="009F4B75" w14:paraId="2D22BB01" w14:textId="77777777" w:rsidTr="00E06ADA">
        <w:trPr>
          <w:trHeight w:val="624"/>
        </w:trPr>
        <w:tc>
          <w:tcPr>
            <w:tcW w:w="2127" w:type="dxa"/>
            <w:vAlign w:val="center"/>
          </w:tcPr>
          <w:p w14:paraId="61FF8638" w14:textId="77777777" w:rsidR="00E06ADA" w:rsidRPr="009F4B75" w:rsidRDefault="00E06ADA" w:rsidP="00E06ADA">
            <w:pPr>
              <w:rPr>
                <w:rFonts w:ascii="Times New Roman" w:hAnsi="Times New Roman" w:cs="Times New Roman"/>
              </w:rPr>
            </w:pPr>
          </w:p>
        </w:tc>
        <w:tc>
          <w:tcPr>
            <w:tcW w:w="7393" w:type="dxa"/>
            <w:gridSpan w:val="4"/>
          </w:tcPr>
          <w:p w14:paraId="22CCFD6B" w14:textId="77777777" w:rsidR="00E06ADA" w:rsidRPr="009F4B75" w:rsidRDefault="00E06ADA" w:rsidP="00E06ADA">
            <w:pPr>
              <w:rPr>
                <w:rFonts w:ascii="Times New Roman" w:hAnsi="Times New Roman" w:cs="Times New Roman"/>
                <w:b/>
                <w:sz w:val="24"/>
                <w:szCs w:val="24"/>
              </w:rPr>
            </w:pPr>
          </w:p>
        </w:tc>
      </w:tr>
      <w:tr w:rsidR="0069716C" w:rsidRPr="009F4B75" w14:paraId="768988EF" w14:textId="77777777" w:rsidTr="00E06ADA">
        <w:trPr>
          <w:trHeight w:val="624"/>
        </w:trPr>
        <w:tc>
          <w:tcPr>
            <w:tcW w:w="2127" w:type="dxa"/>
            <w:vAlign w:val="center"/>
          </w:tcPr>
          <w:p w14:paraId="286CD3A1"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71FF9F27" w14:textId="77777777" w:rsidR="0069716C" w:rsidRPr="009F4B75" w:rsidRDefault="0069716C" w:rsidP="00E06ADA">
            <w:pPr>
              <w:rPr>
                <w:rFonts w:ascii="Times New Roman" w:hAnsi="Times New Roman" w:cs="Times New Roman"/>
              </w:rPr>
            </w:pPr>
            <w:r w:rsidRPr="009F4B75">
              <w:rPr>
                <w:rFonts w:ascii="Times New Roman" w:hAnsi="Times New Roman" w:cs="Times New Roman"/>
                <w:b/>
                <w:sz w:val="24"/>
                <w:szCs w:val="24"/>
              </w:rPr>
              <w:t>2.2 Podpora na investície do zlepšenia environmentálnej hodnoty lesných ekosystémov</w:t>
            </w:r>
          </w:p>
        </w:tc>
      </w:tr>
      <w:tr w:rsidR="0069716C" w:rsidRPr="009F4B75" w14:paraId="6E80B455" w14:textId="77777777" w:rsidTr="00E06ADA">
        <w:trPr>
          <w:trHeight w:val="624"/>
        </w:trPr>
        <w:tc>
          <w:tcPr>
            <w:tcW w:w="2127" w:type="dxa"/>
            <w:vAlign w:val="center"/>
          </w:tcPr>
          <w:p w14:paraId="15573D13"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4ECECC4E"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4A Obnova, zachovanie a zvýšenie biologickej diverzity vrátane na územiach sústavy Natura 2000 a v oblastiach s prírodnými alebo inými špecifickými obmedzeniami a v poľnohospodárskej činnosti s vysokou prírodnou hodnotou a obnova, zachovanie, ako aj zlepšenie stavu krajinných oblastí Európy</w:t>
            </w:r>
          </w:p>
        </w:tc>
      </w:tr>
      <w:tr w:rsidR="00B23F58" w:rsidRPr="009F4B75" w14:paraId="015D7F12" w14:textId="77777777" w:rsidTr="00E06ADA">
        <w:trPr>
          <w:trHeight w:val="624"/>
        </w:trPr>
        <w:tc>
          <w:tcPr>
            <w:tcW w:w="2127" w:type="dxa"/>
            <w:vAlign w:val="center"/>
          </w:tcPr>
          <w:p w14:paraId="5A932593" w14:textId="77777777" w:rsidR="00B23F58" w:rsidRPr="009F4B75" w:rsidRDefault="00B23F58"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5A156C9D"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Podporovaná bude:</w:t>
            </w:r>
          </w:p>
          <w:p w14:paraId="02F4B8AD" w14:textId="77777777" w:rsidR="00B23F58" w:rsidRPr="009F4B75" w:rsidRDefault="00B23F58" w:rsidP="00E06ADA">
            <w:pPr>
              <w:jc w:val="both"/>
              <w:rPr>
                <w:rFonts w:ascii="Times New Roman" w:hAnsi="Times New Roman" w:cs="Times New Roman"/>
                <w:i/>
              </w:rPr>
            </w:pPr>
            <w:r w:rsidRPr="009F4B75">
              <w:rPr>
                <w:rFonts w:ascii="Times New Roman" w:hAnsi="Times New Roman" w:cs="Times New Roman"/>
                <w:i/>
                <w:sz w:val="24"/>
                <w:szCs w:val="24"/>
              </w:rPr>
              <w:t>Činnosť 2: budovanie a obnova občianskej a poznávacej infraštruktúry v lesných ekosystémoch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tc>
      </w:tr>
      <w:tr w:rsidR="0069716C" w:rsidRPr="009F4B75" w14:paraId="40AC1137" w14:textId="77777777" w:rsidTr="00E06ADA">
        <w:trPr>
          <w:trHeight w:val="624"/>
        </w:trPr>
        <w:tc>
          <w:tcPr>
            <w:tcW w:w="2127" w:type="dxa"/>
            <w:vMerge w:val="restart"/>
            <w:vAlign w:val="center"/>
          </w:tcPr>
          <w:p w14:paraId="7AE08E2F"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13BB9E34"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69"/>
            </w:r>
          </w:p>
        </w:tc>
        <w:tc>
          <w:tcPr>
            <w:tcW w:w="1984" w:type="dxa"/>
            <w:vAlign w:val="center"/>
          </w:tcPr>
          <w:p w14:paraId="1FB0DE60"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5F4FC62A"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1272296E"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7EEFC08A" w14:textId="77777777" w:rsidTr="00E06ADA">
        <w:trPr>
          <w:trHeight w:val="624"/>
        </w:trPr>
        <w:tc>
          <w:tcPr>
            <w:tcW w:w="2127" w:type="dxa"/>
            <w:vMerge/>
            <w:vAlign w:val="center"/>
          </w:tcPr>
          <w:p w14:paraId="241D43EC"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11C37F84"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13FFA912"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90 129,47</w:t>
            </w:r>
          </w:p>
        </w:tc>
        <w:tc>
          <w:tcPr>
            <w:tcW w:w="2127" w:type="dxa"/>
            <w:vAlign w:val="center"/>
          </w:tcPr>
          <w:p w14:paraId="5205E145"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85 623,00</w:t>
            </w:r>
          </w:p>
        </w:tc>
        <w:tc>
          <w:tcPr>
            <w:tcW w:w="2290" w:type="dxa"/>
            <w:vAlign w:val="center"/>
          </w:tcPr>
          <w:p w14:paraId="469FE3B7"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4 506,47</w:t>
            </w:r>
          </w:p>
        </w:tc>
      </w:tr>
      <w:tr w:rsidR="0069716C" w:rsidRPr="009F4B75" w14:paraId="41C64344" w14:textId="77777777" w:rsidTr="00E06ADA">
        <w:trPr>
          <w:trHeight w:val="624"/>
        </w:trPr>
        <w:tc>
          <w:tcPr>
            <w:tcW w:w="2127" w:type="dxa"/>
            <w:vMerge/>
            <w:vAlign w:val="center"/>
          </w:tcPr>
          <w:p w14:paraId="4EBA5EE6"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ED785A1"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0D2E56CB"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45C47367"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1C8BFF1A"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7BB881A1" w14:textId="77777777" w:rsidTr="00E06ADA">
        <w:trPr>
          <w:trHeight w:val="624"/>
        </w:trPr>
        <w:tc>
          <w:tcPr>
            <w:tcW w:w="2127" w:type="dxa"/>
            <w:vMerge/>
            <w:vAlign w:val="center"/>
          </w:tcPr>
          <w:p w14:paraId="6E0F51BB"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CBF5E74"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34977B28"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90 129,47</w:t>
            </w:r>
          </w:p>
        </w:tc>
        <w:tc>
          <w:tcPr>
            <w:tcW w:w="2127" w:type="dxa"/>
            <w:vAlign w:val="center"/>
          </w:tcPr>
          <w:p w14:paraId="325C8067"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85 623,00</w:t>
            </w:r>
          </w:p>
        </w:tc>
        <w:tc>
          <w:tcPr>
            <w:tcW w:w="2290" w:type="dxa"/>
            <w:vAlign w:val="center"/>
          </w:tcPr>
          <w:p w14:paraId="21B6C537" w14:textId="77777777" w:rsidR="0069716C" w:rsidRPr="009F4B75" w:rsidRDefault="0069716C" w:rsidP="00E06ADA">
            <w:pPr>
              <w:jc w:val="right"/>
              <w:rPr>
                <w:rFonts w:ascii="Times New Roman" w:hAnsi="Times New Roman" w:cs="Times New Roman"/>
              </w:rPr>
            </w:pPr>
            <w:r w:rsidRPr="009F4B75">
              <w:rPr>
                <w:rFonts w:ascii="Times New Roman" w:hAnsi="Times New Roman" w:cs="Times New Roman"/>
              </w:rPr>
              <w:t>4 506,47</w:t>
            </w:r>
          </w:p>
        </w:tc>
      </w:tr>
      <w:tr w:rsidR="00E06ADA" w:rsidRPr="009F4B75" w14:paraId="44DD9D9A" w14:textId="77777777" w:rsidTr="00E06ADA">
        <w:trPr>
          <w:trHeight w:val="624"/>
        </w:trPr>
        <w:tc>
          <w:tcPr>
            <w:tcW w:w="2127" w:type="dxa"/>
            <w:vAlign w:val="center"/>
          </w:tcPr>
          <w:p w14:paraId="7051F599" w14:textId="77777777" w:rsidR="00E06ADA" w:rsidRPr="009F4B75" w:rsidRDefault="00E06ADA" w:rsidP="00E06ADA">
            <w:pPr>
              <w:rPr>
                <w:rFonts w:ascii="Times New Roman" w:hAnsi="Times New Roman" w:cs="Times New Roman"/>
              </w:rPr>
            </w:pPr>
          </w:p>
        </w:tc>
        <w:tc>
          <w:tcPr>
            <w:tcW w:w="7393" w:type="dxa"/>
            <w:gridSpan w:val="4"/>
          </w:tcPr>
          <w:p w14:paraId="1347CF05" w14:textId="77777777" w:rsidR="00E06ADA" w:rsidRPr="009F4B75" w:rsidRDefault="00E06ADA" w:rsidP="00E06ADA">
            <w:pPr>
              <w:rPr>
                <w:rFonts w:ascii="Times New Roman" w:hAnsi="Times New Roman" w:cs="Times New Roman"/>
                <w:b/>
                <w:sz w:val="24"/>
                <w:szCs w:val="24"/>
              </w:rPr>
            </w:pPr>
          </w:p>
        </w:tc>
      </w:tr>
      <w:tr w:rsidR="0069716C" w:rsidRPr="009F4B75" w14:paraId="6DA8BB8B" w14:textId="77777777" w:rsidTr="00E06ADA">
        <w:trPr>
          <w:trHeight w:val="624"/>
        </w:trPr>
        <w:tc>
          <w:tcPr>
            <w:tcW w:w="2127" w:type="dxa"/>
            <w:vAlign w:val="center"/>
          </w:tcPr>
          <w:p w14:paraId="04F3EBEC"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1CAE8172" w14:textId="77777777" w:rsidR="0069716C" w:rsidRPr="009F4B75" w:rsidRDefault="0069716C" w:rsidP="00E06ADA">
            <w:pPr>
              <w:rPr>
                <w:rFonts w:ascii="Times New Roman" w:hAnsi="Times New Roman" w:cs="Times New Roman"/>
              </w:rPr>
            </w:pPr>
            <w:r w:rsidRPr="009F4B75">
              <w:rPr>
                <w:rFonts w:ascii="Times New Roman" w:hAnsi="Times New Roman" w:cs="Times New Roman"/>
                <w:b/>
                <w:sz w:val="24"/>
                <w:szCs w:val="24"/>
              </w:rPr>
              <w:t>2.3 Podpora na investície do rozvoja vidieckeho cestovného ruchu a agroturistiky</w:t>
            </w:r>
          </w:p>
        </w:tc>
      </w:tr>
      <w:tr w:rsidR="0069716C" w:rsidRPr="009F4B75" w14:paraId="60280399" w14:textId="77777777" w:rsidTr="00E06ADA">
        <w:trPr>
          <w:trHeight w:val="624"/>
        </w:trPr>
        <w:tc>
          <w:tcPr>
            <w:tcW w:w="2127" w:type="dxa"/>
            <w:vAlign w:val="center"/>
          </w:tcPr>
          <w:p w14:paraId="7D2FA81F"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2851AB5E"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6A Uľahčenie diverzifikácie, zakladania a rozvoja malých podnikov ako aj vytvárania pracovných miest</w:t>
            </w:r>
          </w:p>
        </w:tc>
      </w:tr>
      <w:tr w:rsidR="007F6102" w:rsidRPr="009F4B75" w14:paraId="2BF85157" w14:textId="77777777" w:rsidTr="00E06ADA">
        <w:trPr>
          <w:trHeight w:val="624"/>
        </w:trPr>
        <w:tc>
          <w:tcPr>
            <w:tcW w:w="2127" w:type="dxa"/>
            <w:vAlign w:val="center"/>
          </w:tcPr>
          <w:p w14:paraId="7A1EE53C" w14:textId="77777777" w:rsidR="007F6102" w:rsidRPr="009F4B75" w:rsidRDefault="007F6102"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0E4D3B24"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Činnosť 1: činnosti spojené s vidieckym cestovným ruchom a agroturistikou zamerané na vytváranie podmienok pre rekreačné a relaxačné činnosti, vrátane vytvárania podmienok na poskytovanie vzdelávania a vytvorenie konferenčných priestorov.</w:t>
            </w:r>
          </w:p>
          <w:p w14:paraId="43E28FCC"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Oprávnená je výstavba ubytovacích zariadení, rekonštrukcia a modernizácia existujúcich ubytovacích zariadení, ako aj nevyužívaných objektov na ubytovacie zariadenie a to s kapacitou od 5 do 30 lôžok, v nadväznosti na vytvorenie alebo modernizáciu areálu na rozvoj rekreačných a relaxačných činností</w:t>
            </w:r>
          </w:p>
          <w:p w14:paraId="65B35608" w14:textId="77777777" w:rsidR="007F6102" w:rsidRPr="009F4B75" w:rsidRDefault="007F6102" w:rsidP="00E06ADA">
            <w:pPr>
              <w:jc w:val="both"/>
              <w:rPr>
                <w:rFonts w:ascii="Times New Roman" w:hAnsi="Times New Roman" w:cs="Times New Roman"/>
                <w:i/>
              </w:rPr>
            </w:pPr>
            <w:r w:rsidRPr="009F4B75">
              <w:rPr>
                <w:rFonts w:ascii="Times New Roman" w:hAnsi="Times New Roman" w:cs="Times New Roman"/>
                <w:i/>
                <w:sz w:val="24"/>
                <w:szCs w:val="24"/>
              </w:rPr>
              <w:t>Činnosť 2: činnosti spojené s poskytovaním služieb pre cieľovú skupinu: deti, seniori a občania so zníženou schopnosťou pohybu. V rámci danej oblasti je možné sa zamerať aj na terapie (hipoterapia, animoterapia), lesnú pedagogiku a pod., ktoré prispievajú k rekonvalescencii, lepšiemu začleneniu do spoločenského života, zvýšeniu motoriky cieľovej skupiny.</w:t>
            </w:r>
          </w:p>
        </w:tc>
      </w:tr>
      <w:tr w:rsidR="0069716C" w:rsidRPr="009F4B75" w14:paraId="0F76E2B2" w14:textId="77777777" w:rsidTr="00E06ADA">
        <w:trPr>
          <w:trHeight w:val="624"/>
        </w:trPr>
        <w:tc>
          <w:tcPr>
            <w:tcW w:w="2127" w:type="dxa"/>
            <w:vMerge w:val="restart"/>
            <w:vAlign w:val="center"/>
          </w:tcPr>
          <w:p w14:paraId="705547AD"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12ABA638"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0"/>
            </w:r>
          </w:p>
        </w:tc>
        <w:tc>
          <w:tcPr>
            <w:tcW w:w="1984" w:type="dxa"/>
            <w:vAlign w:val="center"/>
          </w:tcPr>
          <w:p w14:paraId="5E147B3F"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52C915F9"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075CD57D"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499D2C2F" w14:textId="77777777" w:rsidTr="00E06ADA">
        <w:trPr>
          <w:trHeight w:val="624"/>
        </w:trPr>
        <w:tc>
          <w:tcPr>
            <w:tcW w:w="2127" w:type="dxa"/>
            <w:vMerge/>
            <w:vAlign w:val="center"/>
          </w:tcPr>
          <w:p w14:paraId="5EE388AD"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9FF2FA9"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2DD445EE"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285 413,33</w:t>
            </w:r>
          </w:p>
        </w:tc>
        <w:tc>
          <w:tcPr>
            <w:tcW w:w="2127" w:type="dxa"/>
            <w:vAlign w:val="center"/>
          </w:tcPr>
          <w:p w14:paraId="438B85A4"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128 436,00</w:t>
            </w:r>
          </w:p>
        </w:tc>
        <w:tc>
          <w:tcPr>
            <w:tcW w:w="2290" w:type="dxa"/>
            <w:vAlign w:val="center"/>
          </w:tcPr>
          <w:p w14:paraId="5A92B7AC"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159 977,33</w:t>
            </w:r>
          </w:p>
        </w:tc>
      </w:tr>
      <w:tr w:rsidR="0069716C" w:rsidRPr="009F4B75" w14:paraId="05BA061C" w14:textId="77777777" w:rsidTr="00E06ADA">
        <w:trPr>
          <w:trHeight w:val="624"/>
        </w:trPr>
        <w:tc>
          <w:tcPr>
            <w:tcW w:w="2127" w:type="dxa"/>
            <w:vMerge/>
            <w:vAlign w:val="center"/>
          </w:tcPr>
          <w:p w14:paraId="2DB4D3BA"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0D2B5972"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531319D8"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1ED34C7C"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2B2A02CC"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7FA22B54" w14:textId="77777777" w:rsidTr="00E06ADA">
        <w:trPr>
          <w:trHeight w:val="624"/>
        </w:trPr>
        <w:tc>
          <w:tcPr>
            <w:tcW w:w="2127" w:type="dxa"/>
            <w:vMerge/>
            <w:vAlign w:val="center"/>
          </w:tcPr>
          <w:p w14:paraId="4C8903EA"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3F67F423"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120DAB2C"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285 413,33</w:t>
            </w:r>
          </w:p>
        </w:tc>
        <w:tc>
          <w:tcPr>
            <w:tcW w:w="2127" w:type="dxa"/>
            <w:vAlign w:val="center"/>
          </w:tcPr>
          <w:p w14:paraId="316C8343"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128 436,00</w:t>
            </w:r>
          </w:p>
        </w:tc>
        <w:tc>
          <w:tcPr>
            <w:tcW w:w="2290" w:type="dxa"/>
            <w:vAlign w:val="center"/>
          </w:tcPr>
          <w:p w14:paraId="2AF477BC"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159 977,33</w:t>
            </w:r>
          </w:p>
        </w:tc>
      </w:tr>
      <w:tr w:rsidR="00E06ADA" w:rsidRPr="009F4B75" w14:paraId="2B588E27" w14:textId="77777777" w:rsidTr="00E06ADA">
        <w:trPr>
          <w:trHeight w:val="624"/>
        </w:trPr>
        <w:tc>
          <w:tcPr>
            <w:tcW w:w="2127" w:type="dxa"/>
            <w:vAlign w:val="center"/>
          </w:tcPr>
          <w:p w14:paraId="0B653306" w14:textId="77777777" w:rsidR="00E06ADA" w:rsidRPr="009F4B75" w:rsidRDefault="00E06ADA" w:rsidP="00E06ADA">
            <w:pPr>
              <w:rPr>
                <w:rFonts w:ascii="Times New Roman" w:hAnsi="Times New Roman" w:cs="Times New Roman"/>
              </w:rPr>
            </w:pPr>
          </w:p>
        </w:tc>
        <w:tc>
          <w:tcPr>
            <w:tcW w:w="7393" w:type="dxa"/>
            <w:gridSpan w:val="4"/>
          </w:tcPr>
          <w:p w14:paraId="44632A3F" w14:textId="77777777" w:rsidR="00E06ADA" w:rsidRPr="009F4B75" w:rsidRDefault="00E06ADA" w:rsidP="00E06ADA">
            <w:pPr>
              <w:rPr>
                <w:rFonts w:ascii="Times New Roman" w:hAnsi="Times New Roman" w:cs="Times New Roman"/>
                <w:b/>
                <w:sz w:val="24"/>
                <w:szCs w:val="24"/>
              </w:rPr>
            </w:pPr>
          </w:p>
        </w:tc>
      </w:tr>
      <w:tr w:rsidR="0069716C" w:rsidRPr="009F4B75" w14:paraId="50D13F16" w14:textId="77777777" w:rsidTr="00E06ADA">
        <w:trPr>
          <w:trHeight w:val="624"/>
        </w:trPr>
        <w:tc>
          <w:tcPr>
            <w:tcW w:w="2127" w:type="dxa"/>
            <w:vAlign w:val="center"/>
          </w:tcPr>
          <w:p w14:paraId="7F522AC8"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0E4038D7" w14:textId="77777777" w:rsidR="0069716C" w:rsidRPr="009F4B75" w:rsidRDefault="0069716C" w:rsidP="00E06ADA">
            <w:pPr>
              <w:rPr>
                <w:rFonts w:ascii="Times New Roman" w:hAnsi="Times New Roman" w:cs="Times New Roman"/>
              </w:rPr>
            </w:pPr>
            <w:r w:rsidRPr="009F4B75">
              <w:rPr>
                <w:rFonts w:ascii="Times New Roman" w:hAnsi="Times New Roman" w:cs="Times New Roman"/>
                <w:b/>
                <w:sz w:val="24"/>
                <w:szCs w:val="24"/>
              </w:rPr>
              <w:t>3.1 Podpora pre investície na spracovanie/uvádzanie na trh a/alebo vývoj poľnohospodárskych výrobkov</w:t>
            </w:r>
          </w:p>
        </w:tc>
      </w:tr>
      <w:tr w:rsidR="0069716C" w:rsidRPr="009F4B75" w14:paraId="74CAF433" w14:textId="77777777" w:rsidTr="00E06ADA">
        <w:trPr>
          <w:trHeight w:val="624"/>
        </w:trPr>
        <w:tc>
          <w:tcPr>
            <w:tcW w:w="2127" w:type="dxa"/>
            <w:vAlign w:val="center"/>
          </w:tcPr>
          <w:p w14:paraId="066E0490"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45B1CC6C" w14:textId="77777777" w:rsidR="0069716C" w:rsidRPr="009F4B75" w:rsidRDefault="0069716C" w:rsidP="00E06ADA">
            <w:pPr>
              <w:spacing w:after="60"/>
              <w:rPr>
                <w:rFonts w:ascii="Times New Roman" w:hAnsi="Times New Roman" w:cs="Times New Roman"/>
                <w:sz w:val="24"/>
                <w:szCs w:val="24"/>
              </w:rPr>
            </w:pPr>
            <w:r w:rsidRPr="009F4B75">
              <w:rPr>
                <w:rFonts w:ascii="Times New Roman" w:hAnsi="Times New Roman" w:cs="Times New Roman"/>
                <w:sz w:val="24"/>
                <w:szCs w:val="24"/>
              </w:rPr>
              <w:t xml:space="preserve">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 </w:t>
            </w:r>
          </w:p>
          <w:p w14:paraId="50FC2958"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Operácia prispieva sekundárne k fokusovej oblasti 6AUľahčenie diverzifikácie, zakladania a rozvoja malých podnikov ako aj vytvárania pracovných miest</w:t>
            </w:r>
          </w:p>
        </w:tc>
      </w:tr>
      <w:tr w:rsidR="007F6102" w:rsidRPr="009F4B75" w14:paraId="5424BD06" w14:textId="77777777" w:rsidTr="00E06ADA">
        <w:trPr>
          <w:trHeight w:val="624"/>
        </w:trPr>
        <w:tc>
          <w:tcPr>
            <w:tcW w:w="2127" w:type="dxa"/>
            <w:vAlign w:val="center"/>
          </w:tcPr>
          <w:p w14:paraId="29074390" w14:textId="77777777" w:rsidR="007F6102" w:rsidRPr="009F4B75" w:rsidRDefault="007F6102"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16B7A8AE"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Podporované budú tieto aktivity:</w:t>
            </w:r>
          </w:p>
          <w:p w14:paraId="1ECEEBFC"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1.  výstavba vrátane prípravy staveniska, rekonštrukcia a modernizácia objektov súvisiacich so spracovaním, skladovaním, uvádzaním na trh a/alebo vývojom poľnohospodárskych a potravinárskych výrobkov, </w:t>
            </w:r>
            <w:r w:rsidRPr="009F4B75">
              <w:rPr>
                <w:rFonts w:ascii="Times New Roman" w:hAnsi="Times New Roman" w:cs="Times New Roman"/>
                <w:i/>
                <w:sz w:val="24"/>
                <w:szCs w:val="24"/>
              </w:rPr>
              <w:lastRenderedPageBreak/>
              <w:t xml:space="preserve">vrátane kancelárií (sklady obalových materiálov, čistiacich a dezinfekčných prostriedkov a pomôcok); </w:t>
            </w:r>
          </w:p>
          <w:p w14:paraId="033FF50C"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2.  obstaranie, rekonštrukcia a modernizácia zariadení, strojov, prístrojov a technológií, spracovateľských a výrobných kapacít, vrátane laboratórneho vybavenia a detektorov kovov v rámci procesu spracovania, skladovania, uvádzania na trh produktov a /alebo vývoja poľnohospodárskych a potravinárskych výrobkov, vrátane produktov s chráneným označením pôvodu, chráneným zemepisným označením a zaručených tradičných špecialít podľa osobitného predpisu (nariadenie EÚ č. 1151/2012 , nariadenie (EÚ) č. 1308/2013); </w:t>
            </w:r>
          </w:p>
          <w:p w14:paraId="47A8804F"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3.  stavebné alebo technologické investície na vytvorenie alebo modernizáciu miestnej zbernej siete - príjem, skladovanie, úprava, triedenie a balenie; </w:t>
            </w:r>
          </w:p>
          <w:p w14:paraId="264F4453"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4.  nákup chladiarenských, mraziarenských alebo termoizolačných nákladných, osobných alebo špeciálnych automobilov, prívesov a návesov, nákladných automobilov a prívesov (návesov) špecializovaných na prepravu zvierat (aj nad 3,5 t), manipulačných vozíkov v súvislosti so spracovaním, resp. uvádzaním na trh </w:t>
            </w:r>
          </w:p>
          <w:p w14:paraId="49FCE4AA"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 xml:space="preserve">5.  zavedenie technológií a postupov s cieľom vytvoriť nové alebo kvalitnejšie výrobky a otvorenie nových trhov, najmä v súvislosti s krátkym dodávateľským reťazcom vrátane podpory uvádzania výrobkov na trh alebo vypracovania programov správnej výrobnej praxe; </w:t>
            </w:r>
          </w:p>
          <w:p w14:paraId="05DD36A9"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8.  investície na vybudovanie a zariadenie vlastných podnikových predajní;</w:t>
            </w:r>
          </w:p>
          <w:p w14:paraId="1286B043" w14:textId="77777777" w:rsidR="007F6102" w:rsidRPr="009F4B75" w:rsidRDefault="007F6102" w:rsidP="00E06ADA">
            <w:pPr>
              <w:jc w:val="both"/>
              <w:rPr>
                <w:rFonts w:ascii="Times New Roman" w:hAnsi="Times New Roman" w:cs="Times New Roman"/>
                <w:i/>
              </w:rPr>
            </w:pPr>
            <w:r w:rsidRPr="009F4B75">
              <w:rPr>
                <w:rFonts w:ascii="Times New Roman" w:hAnsi="Times New Roman" w:cs="Times New Roman"/>
                <w:i/>
                <w:sz w:val="24"/>
                <w:szCs w:val="24"/>
              </w:rPr>
              <w:t>9.  investície do zlepšenia pracovného prostredia pre zamestnancov (hygienickézariadenia, jedálne, odpočivárne, klimatizácia).</w:t>
            </w:r>
          </w:p>
        </w:tc>
      </w:tr>
      <w:tr w:rsidR="0069716C" w:rsidRPr="009F4B75" w14:paraId="23AB3103" w14:textId="77777777" w:rsidTr="00E06ADA">
        <w:trPr>
          <w:trHeight w:val="624"/>
        </w:trPr>
        <w:tc>
          <w:tcPr>
            <w:tcW w:w="2127" w:type="dxa"/>
            <w:vMerge w:val="restart"/>
            <w:vAlign w:val="center"/>
          </w:tcPr>
          <w:p w14:paraId="20748259"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30B94AC7"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1"/>
            </w:r>
          </w:p>
        </w:tc>
        <w:tc>
          <w:tcPr>
            <w:tcW w:w="1984" w:type="dxa"/>
            <w:vAlign w:val="center"/>
          </w:tcPr>
          <w:p w14:paraId="4F7681D8"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1060153C"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511B6980"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34258DB7" w14:textId="77777777" w:rsidTr="00E06ADA">
        <w:trPr>
          <w:trHeight w:val="624"/>
        </w:trPr>
        <w:tc>
          <w:tcPr>
            <w:tcW w:w="2127" w:type="dxa"/>
            <w:vMerge/>
            <w:vAlign w:val="center"/>
          </w:tcPr>
          <w:p w14:paraId="79840DF0"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A17A5D3"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58417062"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256 872,00</w:t>
            </w:r>
          </w:p>
        </w:tc>
        <w:tc>
          <w:tcPr>
            <w:tcW w:w="2127" w:type="dxa"/>
            <w:vAlign w:val="center"/>
          </w:tcPr>
          <w:p w14:paraId="61814C8C"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128 436,00</w:t>
            </w:r>
          </w:p>
        </w:tc>
        <w:tc>
          <w:tcPr>
            <w:tcW w:w="2290" w:type="dxa"/>
            <w:vAlign w:val="center"/>
          </w:tcPr>
          <w:p w14:paraId="386274BF" w14:textId="77777777" w:rsidR="0069716C" w:rsidRPr="009F4B75" w:rsidRDefault="007F6102" w:rsidP="00E06ADA">
            <w:pPr>
              <w:spacing w:after="200" w:line="276" w:lineRule="auto"/>
              <w:jc w:val="right"/>
              <w:rPr>
                <w:rFonts w:ascii="Times New Roman" w:hAnsi="Times New Roman" w:cs="Times New Roman"/>
              </w:rPr>
            </w:pPr>
            <w:r w:rsidRPr="009F4B75">
              <w:rPr>
                <w:rFonts w:ascii="Times New Roman" w:hAnsi="Times New Roman" w:cs="Times New Roman"/>
              </w:rPr>
              <w:t>128 436,00</w:t>
            </w:r>
          </w:p>
        </w:tc>
      </w:tr>
      <w:tr w:rsidR="0069716C" w:rsidRPr="009F4B75" w14:paraId="349922F0" w14:textId="77777777" w:rsidTr="00E06ADA">
        <w:trPr>
          <w:trHeight w:val="624"/>
        </w:trPr>
        <w:tc>
          <w:tcPr>
            <w:tcW w:w="2127" w:type="dxa"/>
            <w:vMerge/>
            <w:vAlign w:val="center"/>
          </w:tcPr>
          <w:p w14:paraId="1FBA8684"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51C7320B"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61D7C3C2"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2D7DDBAB"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50610211" w14:textId="77777777" w:rsidR="0069716C" w:rsidRPr="009F4B75" w:rsidRDefault="0069716C"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394E188D" w14:textId="77777777" w:rsidTr="00E06ADA">
        <w:trPr>
          <w:trHeight w:val="624"/>
        </w:trPr>
        <w:tc>
          <w:tcPr>
            <w:tcW w:w="2127" w:type="dxa"/>
            <w:vMerge/>
            <w:vAlign w:val="center"/>
          </w:tcPr>
          <w:p w14:paraId="71DE2614"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7267C5BF"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121A3397"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256 872,00</w:t>
            </w:r>
          </w:p>
        </w:tc>
        <w:tc>
          <w:tcPr>
            <w:tcW w:w="2127" w:type="dxa"/>
            <w:vAlign w:val="center"/>
          </w:tcPr>
          <w:p w14:paraId="1239DD6F"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128 436,00</w:t>
            </w:r>
          </w:p>
        </w:tc>
        <w:tc>
          <w:tcPr>
            <w:tcW w:w="2290" w:type="dxa"/>
            <w:vAlign w:val="center"/>
          </w:tcPr>
          <w:p w14:paraId="50F099EE" w14:textId="77777777" w:rsidR="0069716C" w:rsidRPr="009F4B75" w:rsidRDefault="007F6102" w:rsidP="00E06ADA">
            <w:pPr>
              <w:jc w:val="right"/>
              <w:rPr>
                <w:rFonts w:ascii="Times New Roman" w:hAnsi="Times New Roman" w:cs="Times New Roman"/>
              </w:rPr>
            </w:pPr>
            <w:r w:rsidRPr="009F4B75">
              <w:rPr>
                <w:rFonts w:ascii="Times New Roman" w:hAnsi="Times New Roman" w:cs="Times New Roman"/>
              </w:rPr>
              <w:t>128 436,00</w:t>
            </w:r>
          </w:p>
        </w:tc>
      </w:tr>
      <w:tr w:rsidR="00E06ADA" w:rsidRPr="009F4B75" w14:paraId="4DF3C013" w14:textId="77777777" w:rsidTr="00E06ADA">
        <w:trPr>
          <w:trHeight w:val="624"/>
        </w:trPr>
        <w:tc>
          <w:tcPr>
            <w:tcW w:w="2127" w:type="dxa"/>
            <w:vAlign w:val="center"/>
          </w:tcPr>
          <w:p w14:paraId="0410B1F1" w14:textId="77777777" w:rsidR="00E06ADA" w:rsidRPr="009F4B75" w:rsidRDefault="00E06ADA" w:rsidP="00E06ADA">
            <w:pPr>
              <w:rPr>
                <w:rFonts w:ascii="Times New Roman" w:hAnsi="Times New Roman" w:cs="Times New Roman"/>
              </w:rPr>
            </w:pPr>
          </w:p>
        </w:tc>
        <w:tc>
          <w:tcPr>
            <w:tcW w:w="7393" w:type="dxa"/>
            <w:gridSpan w:val="4"/>
          </w:tcPr>
          <w:p w14:paraId="0F87206D" w14:textId="77777777" w:rsidR="00E06ADA" w:rsidRPr="009F4B75" w:rsidRDefault="00E06ADA" w:rsidP="00E06ADA">
            <w:pPr>
              <w:rPr>
                <w:rFonts w:ascii="Times New Roman" w:hAnsi="Times New Roman" w:cs="Times New Roman"/>
                <w:b/>
                <w:sz w:val="24"/>
                <w:szCs w:val="24"/>
              </w:rPr>
            </w:pPr>
          </w:p>
        </w:tc>
      </w:tr>
      <w:tr w:rsidR="0069716C" w:rsidRPr="009F4B75" w14:paraId="6B338F38" w14:textId="77777777" w:rsidTr="00E06ADA">
        <w:trPr>
          <w:trHeight w:val="624"/>
        </w:trPr>
        <w:tc>
          <w:tcPr>
            <w:tcW w:w="2127" w:type="dxa"/>
            <w:vAlign w:val="center"/>
          </w:tcPr>
          <w:p w14:paraId="1B1C87E0"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3095503A" w14:textId="77777777" w:rsidR="0069716C" w:rsidRPr="009F4B75" w:rsidRDefault="0069716C" w:rsidP="00CD6FE8">
            <w:pPr>
              <w:rPr>
                <w:rFonts w:ascii="Times New Roman" w:hAnsi="Times New Roman" w:cs="Times New Roman"/>
              </w:rPr>
            </w:pPr>
            <w:r w:rsidRPr="009F4B75">
              <w:rPr>
                <w:rFonts w:ascii="Times New Roman" w:hAnsi="Times New Roman" w:cs="Times New Roman"/>
                <w:b/>
                <w:sz w:val="24"/>
                <w:szCs w:val="24"/>
              </w:rPr>
              <w:t xml:space="preserve">4.1 </w:t>
            </w:r>
            <w:r w:rsidR="00CD6FE8">
              <w:rPr>
                <w:rFonts w:ascii="Times New Roman" w:hAnsi="Times New Roman" w:cs="Times New Roman"/>
                <w:b/>
                <w:sz w:val="24"/>
                <w:szCs w:val="24"/>
              </w:rPr>
              <w:t>Chod MAS a animácie (a</w:t>
            </w:r>
            <w:r w:rsidR="00817F6A" w:rsidRPr="009F4B75">
              <w:rPr>
                <w:rFonts w:ascii="Times New Roman" w:hAnsi="Times New Roman" w:cs="Times New Roman"/>
                <w:b/>
                <w:sz w:val="24"/>
                <w:szCs w:val="24"/>
              </w:rPr>
              <w:t>nimácie</w:t>
            </w:r>
            <w:r w:rsidR="00CD6FE8">
              <w:rPr>
                <w:rFonts w:ascii="Times New Roman" w:hAnsi="Times New Roman" w:cs="Times New Roman"/>
                <w:b/>
                <w:sz w:val="24"/>
                <w:szCs w:val="24"/>
              </w:rPr>
              <w:t>)</w:t>
            </w:r>
          </w:p>
        </w:tc>
      </w:tr>
      <w:tr w:rsidR="0069716C" w:rsidRPr="009F4B75" w14:paraId="56C52A42" w14:textId="77777777" w:rsidTr="00E06ADA">
        <w:trPr>
          <w:trHeight w:val="624"/>
        </w:trPr>
        <w:tc>
          <w:tcPr>
            <w:tcW w:w="2127" w:type="dxa"/>
            <w:vAlign w:val="center"/>
          </w:tcPr>
          <w:p w14:paraId="340A427E"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t>Priradenie k  k fokusovej oblasti PRV</w:t>
            </w:r>
          </w:p>
        </w:tc>
        <w:tc>
          <w:tcPr>
            <w:tcW w:w="7393" w:type="dxa"/>
            <w:gridSpan w:val="4"/>
          </w:tcPr>
          <w:p w14:paraId="08A5AC06" w14:textId="77777777" w:rsidR="0069716C" w:rsidRPr="009F4B75" w:rsidRDefault="0069716C" w:rsidP="00E06ADA">
            <w:pPr>
              <w:rPr>
                <w:rFonts w:ascii="Times New Roman" w:hAnsi="Times New Roman" w:cs="Times New Roman"/>
              </w:rPr>
            </w:pPr>
            <w:r w:rsidRPr="009F4B75">
              <w:rPr>
                <w:rFonts w:ascii="Times New Roman" w:hAnsi="Times New Roman" w:cs="Times New Roman"/>
                <w:sz w:val="24"/>
                <w:szCs w:val="24"/>
              </w:rPr>
              <w:t>6B Podpora miestneho rozvoja vo vidieckych oblastiach</w:t>
            </w:r>
          </w:p>
        </w:tc>
      </w:tr>
      <w:tr w:rsidR="007F6102" w:rsidRPr="009F4B75" w14:paraId="45640FA4" w14:textId="77777777" w:rsidTr="00E06ADA">
        <w:trPr>
          <w:trHeight w:val="624"/>
        </w:trPr>
        <w:tc>
          <w:tcPr>
            <w:tcW w:w="2127" w:type="dxa"/>
            <w:vAlign w:val="center"/>
          </w:tcPr>
          <w:p w14:paraId="64F31C23" w14:textId="77777777" w:rsidR="007F6102" w:rsidRPr="009F4B75" w:rsidRDefault="007F6102"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5D8B55B6" w14:textId="77777777" w:rsidR="007F6102" w:rsidRPr="009F4B75" w:rsidRDefault="007F6102" w:rsidP="00E06ADA">
            <w:pPr>
              <w:jc w:val="both"/>
              <w:rPr>
                <w:rFonts w:ascii="Times New Roman" w:hAnsi="Times New Roman" w:cs="Times New Roman"/>
                <w:i/>
              </w:rPr>
            </w:pPr>
            <w:r w:rsidRPr="009F4B75">
              <w:rPr>
                <w:rFonts w:ascii="Times New Roman" w:hAnsi="Times New Roman" w:cs="Times New Roman"/>
                <w:iCs/>
                <w:sz w:val="24"/>
                <w:szCs w:val="24"/>
              </w:rPr>
              <w:t>Podpora v rámci operácie bude poskytovaná na prevádzkovú a administratívnu činnosť schválených MAS ako aj náklady v súvislosti s oživovaním stratégie miestneho rozvoja, t.j. propagácia stratégie a informovanosť o dotknutom území.</w:t>
            </w:r>
          </w:p>
        </w:tc>
      </w:tr>
      <w:tr w:rsidR="0069716C" w:rsidRPr="009F4B75" w14:paraId="2A8A4E72" w14:textId="77777777" w:rsidTr="00E06ADA">
        <w:trPr>
          <w:trHeight w:val="624"/>
        </w:trPr>
        <w:tc>
          <w:tcPr>
            <w:tcW w:w="2127" w:type="dxa"/>
            <w:vMerge w:val="restart"/>
            <w:vAlign w:val="center"/>
          </w:tcPr>
          <w:p w14:paraId="2AB8EF54" w14:textId="77777777" w:rsidR="0069716C" w:rsidRPr="009F4B75" w:rsidRDefault="0069716C" w:rsidP="00E06ADA">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13C240CF"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2"/>
            </w:r>
          </w:p>
        </w:tc>
        <w:tc>
          <w:tcPr>
            <w:tcW w:w="1984" w:type="dxa"/>
            <w:vAlign w:val="center"/>
          </w:tcPr>
          <w:p w14:paraId="1E3D1021"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27A08E0B"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5575FD7C" w14:textId="77777777" w:rsidR="0069716C" w:rsidRPr="009F4B75" w:rsidRDefault="0069716C" w:rsidP="00E06ADA">
            <w:pPr>
              <w:jc w:val="center"/>
              <w:rPr>
                <w:rFonts w:ascii="Times New Roman" w:hAnsi="Times New Roman" w:cs="Times New Roman"/>
              </w:rPr>
            </w:pPr>
            <w:r w:rsidRPr="009F4B75">
              <w:rPr>
                <w:rFonts w:ascii="Times New Roman" w:hAnsi="Times New Roman" w:cs="Times New Roman"/>
              </w:rPr>
              <w:t>VZ</w:t>
            </w:r>
          </w:p>
        </w:tc>
      </w:tr>
      <w:tr w:rsidR="0069716C" w:rsidRPr="009F4B75" w14:paraId="337679F4" w14:textId="77777777" w:rsidTr="00E06ADA">
        <w:trPr>
          <w:trHeight w:val="624"/>
        </w:trPr>
        <w:tc>
          <w:tcPr>
            <w:tcW w:w="2127" w:type="dxa"/>
            <w:vMerge/>
            <w:vAlign w:val="center"/>
          </w:tcPr>
          <w:p w14:paraId="16F0416F"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1A0B06E2"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3413D17C" w14:textId="77777777" w:rsidR="0069716C"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37 500,00</w:t>
            </w:r>
          </w:p>
        </w:tc>
        <w:tc>
          <w:tcPr>
            <w:tcW w:w="2127" w:type="dxa"/>
            <w:vAlign w:val="center"/>
          </w:tcPr>
          <w:p w14:paraId="77586387" w14:textId="77777777" w:rsidR="0069716C"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37 500,00</w:t>
            </w:r>
          </w:p>
        </w:tc>
        <w:tc>
          <w:tcPr>
            <w:tcW w:w="2290" w:type="dxa"/>
            <w:vAlign w:val="center"/>
          </w:tcPr>
          <w:p w14:paraId="14EF17F3" w14:textId="77777777" w:rsidR="0069716C"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2E12A591" w14:textId="77777777" w:rsidTr="00E06ADA">
        <w:trPr>
          <w:trHeight w:val="624"/>
        </w:trPr>
        <w:tc>
          <w:tcPr>
            <w:tcW w:w="2127" w:type="dxa"/>
            <w:vMerge/>
            <w:vAlign w:val="center"/>
          </w:tcPr>
          <w:p w14:paraId="633153B7"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766577A8" w14:textId="77777777" w:rsidR="0069716C" w:rsidRPr="009F4B75" w:rsidDel="00D14904" w:rsidRDefault="0069716C"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2DAC629E" w14:textId="77777777" w:rsidR="0069716C"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4950012B" w14:textId="77777777" w:rsidR="0069716C"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1D49AA30" w14:textId="77777777" w:rsidR="0069716C"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69716C" w:rsidRPr="009F4B75" w14:paraId="5B5FF251" w14:textId="77777777" w:rsidTr="00E06ADA">
        <w:trPr>
          <w:trHeight w:val="624"/>
        </w:trPr>
        <w:tc>
          <w:tcPr>
            <w:tcW w:w="2127" w:type="dxa"/>
            <w:vMerge/>
            <w:vAlign w:val="center"/>
          </w:tcPr>
          <w:p w14:paraId="1C667303" w14:textId="77777777" w:rsidR="0069716C" w:rsidRPr="009F4B75" w:rsidRDefault="0069716C" w:rsidP="00E06ADA">
            <w:pPr>
              <w:spacing w:after="200" w:line="276" w:lineRule="auto"/>
              <w:rPr>
                <w:rFonts w:ascii="Times New Roman" w:hAnsi="Times New Roman" w:cs="Times New Roman"/>
              </w:rPr>
            </w:pPr>
          </w:p>
        </w:tc>
        <w:tc>
          <w:tcPr>
            <w:tcW w:w="992" w:type="dxa"/>
            <w:vAlign w:val="center"/>
          </w:tcPr>
          <w:p w14:paraId="2156EA92" w14:textId="77777777" w:rsidR="0069716C" w:rsidRPr="009F4B75" w:rsidDel="00D14904" w:rsidRDefault="0069716C"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1E71AA86" w14:textId="77777777" w:rsidR="0069716C" w:rsidRPr="009F4B75" w:rsidRDefault="00817F6A" w:rsidP="00E06ADA">
            <w:pPr>
              <w:jc w:val="right"/>
              <w:rPr>
                <w:rFonts w:ascii="Times New Roman" w:hAnsi="Times New Roman" w:cs="Times New Roman"/>
              </w:rPr>
            </w:pPr>
            <w:r w:rsidRPr="009F4B75">
              <w:rPr>
                <w:rFonts w:ascii="Times New Roman" w:hAnsi="Times New Roman" w:cs="Times New Roman"/>
              </w:rPr>
              <w:t>37 500,00</w:t>
            </w:r>
          </w:p>
        </w:tc>
        <w:tc>
          <w:tcPr>
            <w:tcW w:w="2127" w:type="dxa"/>
            <w:vAlign w:val="center"/>
          </w:tcPr>
          <w:p w14:paraId="09A79519" w14:textId="77777777" w:rsidR="0069716C" w:rsidRPr="009F4B75" w:rsidRDefault="00817F6A" w:rsidP="00E06ADA">
            <w:pPr>
              <w:jc w:val="right"/>
              <w:rPr>
                <w:rFonts w:ascii="Times New Roman" w:hAnsi="Times New Roman" w:cs="Times New Roman"/>
              </w:rPr>
            </w:pPr>
            <w:r w:rsidRPr="009F4B75">
              <w:rPr>
                <w:rFonts w:ascii="Times New Roman" w:hAnsi="Times New Roman" w:cs="Times New Roman"/>
              </w:rPr>
              <w:t>37 500,00</w:t>
            </w:r>
          </w:p>
        </w:tc>
        <w:tc>
          <w:tcPr>
            <w:tcW w:w="2290" w:type="dxa"/>
            <w:vAlign w:val="center"/>
          </w:tcPr>
          <w:p w14:paraId="7D0F9F51" w14:textId="77777777" w:rsidR="0069716C" w:rsidRPr="009F4B75" w:rsidRDefault="00817F6A" w:rsidP="00E06ADA">
            <w:pPr>
              <w:jc w:val="right"/>
              <w:rPr>
                <w:rFonts w:ascii="Times New Roman" w:hAnsi="Times New Roman" w:cs="Times New Roman"/>
              </w:rPr>
            </w:pPr>
            <w:r w:rsidRPr="009F4B75">
              <w:rPr>
                <w:rFonts w:ascii="Times New Roman" w:hAnsi="Times New Roman" w:cs="Times New Roman"/>
              </w:rPr>
              <w:t>-</w:t>
            </w:r>
          </w:p>
        </w:tc>
      </w:tr>
    </w:tbl>
    <w:p w14:paraId="0ADFEC10" w14:textId="77777777" w:rsidR="00E14125" w:rsidRDefault="00E14125" w:rsidP="00E14125">
      <w:pPr>
        <w:spacing w:after="0" w:line="320" w:lineRule="exact"/>
        <w:rPr>
          <w:rFonts w:ascii="Times New Roman" w:hAnsi="Times New Roman" w:cs="Times New Roman"/>
          <w:b/>
        </w:rPr>
      </w:pPr>
    </w:p>
    <w:p w14:paraId="4B6FE519" w14:textId="77777777" w:rsidR="00E14125" w:rsidRPr="002C6C80" w:rsidRDefault="00E14125" w:rsidP="00E14125">
      <w:pPr>
        <w:spacing w:after="0" w:line="320" w:lineRule="exact"/>
        <w:rPr>
          <w:rFonts w:ascii="Times New Roman" w:hAnsi="Times New Roman" w:cs="Times New Roman"/>
          <w:b/>
        </w:rPr>
      </w:pPr>
      <w:r w:rsidRPr="002C6C80">
        <w:rPr>
          <w:rFonts w:ascii="Times New Roman" w:hAnsi="Times New Roman" w:cs="Times New Roman"/>
          <w:b/>
        </w:rPr>
        <w:t xml:space="preserve">Tabuľka č. </w:t>
      </w:r>
      <w:r>
        <w:rPr>
          <w:rFonts w:ascii="Times New Roman" w:hAnsi="Times New Roman" w:cs="Times New Roman"/>
          <w:b/>
        </w:rPr>
        <w:t>5</w:t>
      </w:r>
      <w:r w:rsidRPr="002C6C80">
        <w:rPr>
          <w:rFonts w:ascii="Times New Roman" w:hAnsi="Times New Roman" w:cs="Times New Roman"/>
          <w:b/>
        </w:rPr>
        <w:t>.</w:t>
      </w:r>
      <w:r w:rsidR="00F000D1">
        <w:rPr>
          <w:rFonts w:ascii="Times New Roman" w:hAnsi="Times New Roman" w:cs="Times New Roman"/>
          <w:b/>
        </w:rPr>
        <w:t>2.</w:t>
      </w:r>
      <w:r w:rsidR="002A0E09">
        <w:rPr>
          <w:rFonts w:ascii="Times New Roman" w:hAnsi="Times New Roman" w:cs="Times New Roman"/>
          <w:b/>
        </w:rPr>
        <w:t>O</w:t>
      </w:r>
      <w:r w:rsidRPr="002C6C80">
        <w:rPr>
          <w:rFonts w:ascii="Times New Roman" w:hAnsi="Times New Roman" w:cs="Times New Roman"/>
          <w:b/>
        </w:rPr>
        <w:t>: Opatreni</w:t>
      </w:r>
      <w:r>
        <w:rPr>
          <w:rFonts w:ascii="Times New Roman" w:hAnsi="Times New Roman" w:cs="Times New Roman"/>
          <w:b/>
        </w:rPr>
        <w:t>a</w:t>
      </w:r>
      <w:r w:rsidRPr="002C6C80">
        <w:rPr>
          <w:rFonts w:ascii="Times New Roman" w:hAnsi="Times New Roman" w:cs="Times New Roman"/>
          <w:b/>
        </w:rPr>
        <w:t xml:space="preserve"> IROP -   akčný plán  pre  dodatočnú výkonnostnú alokáciu </w:t>
      </w:r>
    </w:p>
    <w:tbl>
      <w:tblPr>
        <w:tblStyle w:val="Mriekatabuky"/>
        <w:tblW w:w="9520" w:type="dxa"/>
        <w:tblInd w:w="108" w:type="dxa"/>
        <w:tblLayout w:type="fixed"/>
        <w:tblLook w:val="04A0" w:firstRow="1" w:lastRow="0" w:firstColumn="1" w:lastColumn="0" w:noHBand="0" w:noVBand="1"/>
      </w:tblPr>
      <w:tblGrid>
        <w:gridCol w:w="2127"/>
        <w:gridCol w:w="992"/>
        <w:gridCol w:w="1984"/>
        <w:gridCol w:w="2127"/>
        <w:gridCol w:w="2290"/>
      </w:tblGrid>
      <w:tr w:rsidR="00E06ADA" w:rsidRPr="009F4B75" w14:paraId="29E250D5" w14:textId="77777777" w:rsidTr="00E14125">
        <w:trPr>
          <w:trHeight w:val="624"/>
        </w:trPr>
        <w:tc>
          <w:tcPr>
            <w:tcW w:w="2127" w:type="dxa"/>
            <w:vAlign w:val="center"/>
          </w:tcPr>
          <w:p w14:paraId="1EB4CE45" w14:textId="77777777" w:rsidR="00E06ADA" w:rsidRPr="009F4B75" w:rsidRDefault="00E06ADA" w:rsidP="00AE0CC7">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1959ECE8" w14:textId="77777777" w:rsidR="00E06ADA" w:rsidRPr="009F4B75" w:rsidRDefault="00E06ADA" w:rsidP="00AE0CC7">
            <w:pPr>
              <w:rPr>
                <w:rFonts w:ascii="Times New Roman" w:hAnsi="Times New Roman" w:cs="Times New Roman"/>
              </w:rPr>
            </w:pPr>
            <w:r w:rsidRPr="009F4B75">
              <w:rPr>
                <w:rFonts w:ascii="Times New Roman" w:hAnsi="Times New Roman" w:cs="Times New Roman"/>
                <w:b/>
                <w:sz w:val="24"/>
                <w:szCs w:val="24"/>
              </w:rPr>
              <w:t xml:space="preserve">1.2 Rozvoj základnej infraštruktúry v mestách a obciach </w:t>
            </w:r>
          </w:p>
        </w:tc>
      </w:tr>
      <w:tr w:rsidR="00E06ADA" w:rsidRPr="009F4B75" w14:paraId="20975D11" w14:textId="77777777" w:rsidTr="00E14125">
        <w:trPr>
          <w:trHeight w:val="624"/>
        </w:trPr>
        <w:tc>
          <w:tcPr>
            <w:tcW w:w="2127" w:type="dxa"/>
            <w:vAlign w:val="center"/>
          </w:tcPr>
          <w:p w14:paraId="6A43B8F8" w14:textId="77777777" w:rsidR="00E06ADA" w:rsidRPr="009F4B75" w:rsidRDefault="00E06ADA" w:rsidP="00AE0CC7">
            <w:pPr>
              <w:rPr>
                <w:rFonts w:ascii="Times New Roman" w:hAnsi="Times New Roman" w:cs="Times New Roman"/>
              </w:rPr>
            </w:pPr>
            <w:r w:rsidRPr="009F4B75">
              <w:rPr>
                <w:rFonts w:ascii="Times New Roman" w:hAnsi="Times New Roman" w:cs="Times New Roman"/>
              </w:rPr>
              <w:t>Priradenie k  ŠC IROP</w:t>
            </w:r>
          </w:p>
        </w:tc>
        <w:tc>
          <w:tcPr>
            <w:tcW w:w="7393" w:type="dxa"/>
            <w:gridSpan w:val="4"/>
          </w:tcPr>
          <w:p w14:paraId="431BE7C6" w14:textId="77777777" w:rsidR="00E06ADA" w:rsidRPr="009F4B75" w:rsidRDefault="00E06ADA" w:rsidP="00AE0CC7">
            <w:pPr>
              <w:rPr>
                <w:rFonts w:ascii="Times New Roman" w:hAnsi="Times New Roman" w:cs="Times New Roman"/>
              </w:rPr>
            </w:pPr>
            <w:r w:rsidRPr="009F4B75">
              <w:rPr>
                <w:rFonts w:ascii="Times New Roman" w:hAnsi="Times New Roman" w:cs="Times New Roman"/>
                <w:sz w:val="24"/>
                <w:szCs w:val="24"/>
              </w:rPr>
              <w:t>5.1.2 Zlepšenie udržateľných vzťahov medzi vidieckymi rozvojovými centrami a ich zázemím vo verejných službách a vo verejných infraštruktúrach</w:t>
            </w:r>
          </w:p>
        </w:tc>
      </w:tr>
      <w:tr w:rsidR="007F6102" w:rsidRPr="009F4B75" w14:paraId="31178DFD" w14:textId="77777777" w:rsidTr="00E14125">
        <w:trPr>
          <w:trHeight w:val="624"/>
        </w:trPr>
        <w:tc>
          <w:tcPr>
            <w:tcW w:w="2127" w:type="dxa"/>
            <w:vAlign w:val="center"/>
          </w:tcPr>
          <w:p w14:paraId="69DA0940" w14:textId="77777777" w:rsidR="007F6102" w:rsidRPr="009F4B75" w:rsidRDefault="007F6102" w:rsidP="00AE0CC7">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6CA1BF4E" w14:textId="77777777" w:rsidR="007F6102" w:rsidRPr="009F4B75" w:rsidRDefault="007F610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Podporované budú nasledovné aktivity:</w:t>
            </w:r>
          </w:p>
          <w:p w14:paraId="1434F220" w14:textId="77777777" w:rsidR="007F6102" w:rsidRPr="009F4B75" w:rsidRDefault="007F6102" w:rsidP="0040366F">
            <w:pPr>
              <w:spacing w:after="20"/>
              <w:rPr>
                <w:rFonts w:ascii="Times New Roman" w:hAnsi="Times New Roman" w:cs="Times New Roman"/>
                <w:b/>
                <w:i/>
                <w:sz w:val="24"/>
                <w:szCs w:val="24"/>
              </w:rPr>
            </w:pPr>
            <w:r w:rsidRPr="009F4B75">
              <w:rPr>
                <w:rFonts w:ascii="Times New Roman" w:hAnsi="Times New Roman" w:cs="Times New Roman"/>
                <w:b/>
                <w:i/>
                <w:sz w:val="24"/>
                <w:szCs w:val="24"/>
              </w:rPr>
              <w:t>1. Dopravné prepojenie a dostupnosť sídiel:</w:t>
            </w:r>
          </w:p>
          <w:p w14:paraId="4E39608F"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výstavba, modernizácia, rekonštrukcia  zastávok, staníc, parkovísk, na linkách prepájajúcich obec s mestom</w:t>
            </w:r>
          </w:p>
          <w:p w14:paraId="0A3A2ADD"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budovanie prvkov a podpora opatrení na zvyšovanie bezpečnosti dopravy v mestách</w:t>
            </w:r>
          </w:p>
          <w:p w14:paraId="748B1CC0"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nákup vozidiel pre účely zabezpečenia spoločnej dopravy osôb vrátane vozidiel prispôsobených osobám s obmedzenou možnosťou pohybu a orientácie</w:t>
            </w:r>
          </w:p>
          <w:p w14:paraId="17DAE1FF"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431CAB02" w14:textId="77777777" w:rsidR="007F6102" w:rsidRPr="009F4B75" w:rsidRDefault="007F6102" w:rsidP="0040366F">
            <w:pPr>
              <w:spacing w:after="20"/>
              <w:rPr>
                <w:rFonts w:ascii="Times New Roman" w:hAnsi="Times New Roman" w:cs="Times New Roman"/>
                <w:i/>
                <w:sz w:val="24"/>
                <w:szCs w:val="24"/>
              </w:rPr>
            </w:pPr>
          </w:p>
          <w:p w14:paraId="3DD94E7C" w14:textId="77777777" w:rsidR="007F6102" w:rsidRPr="009F4B75" w:rsidRDefault="007F6102" w:rsidP="0040366F">
            <w:pPr>
              <w:spacing w:after="20"/>
              <w:rPr>
                <w:rFonts w:ascii="Times New Roman" w:hAnsi="Times New Roman" w:cs="Times New Roman"/>
                <w:b/>
                <w:i/>
                <w:sz w:val="24"/>
                <w:szCs w:val="24"/>
              </w:rPr>
            </w:pPr>
            <w:r w:rsidRPr="009F4B75">
              <w:rPr>
                <w:rFonts w:ascii="Times New Roman" w:hAnsi="Times New Roman" w:cs="Times New Roman"/>
                <w:b/>
                <w:i/>
                <w:sz w:val="24"/>
                <w:szCs w:val="24"/>
              </w:rPr>
              <w:t>3. Infraštruktúra vzdelávania</w:t>
            </w:r>
          </w:p>
          <w:p w14:paraId="54A4ADF5"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vybudovanie, modernizácia odborných učební, laboratórií, jazykových učební ZŠ</w:t>
            </w:r>
          </w:p>
          <w:p w14:paraId="4CB271B6" w14:textId="77777777" w:rsidR="007F6102" w:rsidRPr="009F4B75" w:rsidRDefault="007F6102" w:rsidP="0040366F">
            <w:pPr>
              <w:spacing w:after="20"/>
              <w:rPr>
                <w:rFonts w:ascii="Times New Roman" w:hAnsi="Times New Roman" w:cs="Times New Roman"/>
                <w:i/>
                <w:sz w:val="24"/>
                <w:szCs w:val="24"/>
              </w:rPr>
            </w:pPr>
            <w:r w:rsidRPr="009F4B75">
              <w:rPr>
                <w:rFonts w:ascii="Times New Roman" w:hAnsi="Times New Roman" w:cs="Times New Roman"/>
                <w:i/>
                <w:sz w:val="24"/>
                <w:szCs w:val="24"/>
              </w:rPr>
              <w:t>- skvalitnenie a rozšírenie kapacít predškolských zariadení</w:t>
            </w:r>
          </w:p>
          <w:p w14:paraId="74C1278F" w14:textId="77777777" w:rsidR="007F6102" w:rsidRPr="009F4B75" w:rsidRDefault="007F6102" w:rsidP="00AE0CC7">
            <w:pPr>
              <w:jc w:val="both"/>
              <w:rPr>
                <w:rFonts w:ascii="Times New Roman" w:hAnsi="Times New Roman" w:cs="Times New Roman"/>
                <w:i/>
              </w:rPr>
            </w:pPr>
            <w:r w:rsidRPr="009F4B75">
              <w:rPr>
                <w:rFonts w:ascii="Times New Roman" w:hAnsi="Times New Roman" w:cs="Times New Roman"/>
                <w:i/>
                <w:sz w:val="24"/>
                <w:szCs w:val="24"/>
              </w:rPr>
              <w:t>Konkrétny cieľ je zameraný na sprístupnenie služieb infraštruktúry materských škôl s cieľom zvýšenia zaškolenosti žiakov materských škôl a zabezpečiť primerané podmienky pre rozvoj kľúčových kompetencií žiakom v súlade s požiadavkami ich budúcej profesijnej orientácie a potrebami trhu práce.</w:t>
            </w:r>
          </w:p>
        </w:tc>
      </w:tr>
      <w:tr w:rsidR="00E14125" w:rsidRPr="009F4B75" w14:paraId="3D24FC42" w14:textId="77777777" w:rsidTr="00E14125">
        <w:trPr>
          <w:trHeight w:val="624"/>
        </w:trPr>
        <w:tc>
          <w:tcPr>
            <w:tcW w:w="2127" w:type="dxa"/>
            <w:vMerge w:val="restart"/>
            <w:vAlign w:val="center"/>
          </w:tcPr>
          <w:p w14:paraId="6FAEF242" w14:textId="77777777" w:rsidR="00E14125" w:rsidRPr="009F4B75" w:rsidRDefault="00E14125" w:rsidP="00AE0CC7">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2590B588" w14:textId="77777777" w:rsidR="00E14125" w:rsidRPr="009F4B75" w:rsidDel="00D14904" w:rsidRDefault="00E14125" w:rsidP="00AE0CC7">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3"/>
            </w:r>
          </w:p>
        </w:tc>
        <w:tc>
          <w:tcPr>
            <w:tcW w:w="1984" w:type="dxa"/>
            <w:vAlign w:val="center"/>
          </w:tcPr>
          <w:p w14:paraId="3B90D715"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3E980EB4"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6A78F391"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VZ</w:t>
            </w:r>
          </w:p>
        </w:tc>
      </w:tr>
      <w:tr w:rsidR="00E14125" w:rsidRPr="009F4B75" w14:paraId="6CC7BBA2" w14:textId="77777777" w:rsidTr="00E14125">
        <w:trPr>
          <w:trHeight w:val="624"/>
        </w:trPr>
        <w:tc>
          <w:tcPr>
            <w:tcW w:w="2127" w:type="dxa"/>
            <w:vMerge/>
            <w:vAlign w:val="center"/>
          </w:tcPr>
          <w:p w14:paraId="4EEE501C"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27841DBC" w14:textId="77777777" w:rsidR="00E14125" w:rsidRPr="009F4B75" w:rsidDel="00D14904" w:rsidRDefault="00E14125" w:rsidP="00AE0CC7">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12758DCA"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319 706,32</w:t>
            </w:r>
          </w:p>
        </w:tc>
        <w:tc>
          <w:tcPr>
            <w:tcW w:w="2127" w:type="dxa"/>
            <w:vAlign w:val="center"/>
          </w:tcPr>
          <w:p w14:paraId="42CD45B7"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303 721,00</w:t>
            </w:r>
          </w:p>
        </w:tc>
        <w:tc>
          <w:tcPr>
            <w:tcW w:w="2290" w:type="dxa"/>
            <w:vAlign w:val="center"/>
          </w:tcPr>
          <w:p w14:paraId="57F85452"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15 985,32</w:t>
            </w:r>
          </w:p>
        </w:tc>
      </w:tr>
      <w:tr w:rsidR="00E14125" w:rsidRPr="009F4B75" w14:paraId="4B6F77BA" w14:textId="77777777" w:rsidTr="00E14125">
        <w:trPr>
          <w:trHeight w:val="624"/>
        </w:trPr>
        <w:tc>
          <w:tcPr>
            <w:tcW w:w="2127" w:type="dxa"/>
            <w:vMerge/>
            <w:vAlign w:val="center"/>
          </w:tcPr>
          <w:p w14:paraId="45761AA1"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5EE8782A" w14:textId="77777777" w:rsidR="00E14125" w:rsidRPr="009F4B75" w:rsidDel="00D14904" w:rsidRDefault="00E14125" w:rsidP="00AE0CC7">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1756CFC2"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786CF98C"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07AE7948"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E14125" w:rsidRPr="009F4B75" w14:paraId="6E85E491" w14:textId="77777777" w:rsidTr="00E14125">
        <w:trPr>
          <w:trHeight w:val="624"/>
        </w:trPr>
        <w:tc>
          <w:tcPr>
            <w:tcW w:w="2127" w:type="dxa"/>
            <w:vMerge/>
            <w:vAlign w:val="center"/>
          </w:tcPr>
          <w:p w14:paraId="0E50F9BC"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538948A2" w14:textId="77777777" w:rsidR="00E14125" w:rsidRPr="009F4B75" w:rsidDel="00D14904" w:rsidRDefault="00E14125" w:rsidP="00AE0CC7">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54B4568D"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319 706,32</w:t>
            </w:r>
          </w:p>
        </w:tc>
        <w:tc>
          <w:tcPr>
            <w:tcW w:w="2127" w:type="dxa"/>
            <w:vAlign w:val="center"/>
          </w:tcPr>
          <w:p w14:paraId="2569480D"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303 721,00</w:t>
            </w:r>
          </w:p>
        </w:tc>
        <w:tc>
          <w:tcPr>
            <w:tcW w:w="2290" w:type="dxa"/>
            <w:vAlign w:val="center"/>
          </w:tcPr>
          <w:p w14:paraId="52FDD29E"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15 985,32</w:t>
            </w:r>
          </w:p>
        </w:tc>
      </w:tr>
      <w:tr w:rsidR="00E14125" w:rsidRPr="009F4B75" w14:paraId="58D9968F" w14:textId="77777777" w:rsidTr="00E14125">
        <w:trPr>
          <w:trHeight w:val="624"/>
        </w:trPr>
        <w:tc>
          <w:tcPr>
            <w:tcW w:w="9520" w:type="dxa"/>
            <w:gridSpan w:val="5"/>
            <w:vAlign w:val="center"/>
          </w:tcPr>
          <w:p w14:paraId="219E8178" w14:textId="77777777" w:rsidR="00E14125" w:rsidRPr="009F4B75" w:rsidRDefault="00E14125" w:rsidP="00AE0CC7">
            <w:pPr>
              <w:rPr>
                <w:rFonts w:ascii="Times New Roman" w:hAnsi="Times New Roman" w:cs="Times New Roman"/>
              </w:rPr>
            </w:pPr>
          </w:p>
        </w:tc>
      </w:tr>
      <w:tr w:rsidR="00E06ADA" w:rsidRPr="009F4B75" w14:paraId="206CE457" w14:textId="77777777" w:rsidTr="00E14125">
        <w:trPr>
          <w:trHeight w:val="624"/>
        </w:trPr>
        <w:tc>
          <w:tcPr>
            <w:tcW w:w="2127" w:type="dxa"/>
            <w:vAlign w:val="center"/>
          </w:tcPr>
          <w:p w14:paraId="2E71CE1B" w14:textId="77777777" w:rsidR="00E06ADA" w:rsidRPr="009F4B75" w:rsidRDefault="00E06ADA" w:rsidP="00AE0CC7">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5EFCB9B3" w14:textId="77777777" w:rsidR="00E06ADA" w:rsidRPr="009F4B75" w:rsidRDefault="00E06ADA" w:rsidP="00AE0CC7">
            <w:pPr>
              <w:rPr>
                <w:rFonts w:ascii="Times New Roman" w:hAnsi="Times New Roman" w:cs="Times New Roman"/>
              </w:rPr>
            </w:pPr>
            <w:r w:rsidRPr="009F4B75">
              <w:rPr>
                <w:rFonts w:ascii="Times New Roman" w:hAnsi="Times New Roman" w:cs="Times New Roman"/>
                <w:b/>
                <w:sz w:val="24"/>
                <w:szCs w:val="24"/>
              </w:rPr>
              <w:t>1.3 Podpora sociálnych a komunitných služieb</w:t>
            </w:r>
          </w:p>
        </w:tc>
      </w:tr>
      <w:tr w:rsidR="00E06ADA" w:rsidRPr="009F4B75" w14:paraId="07936BA2" w14:textId="77777777" w:rsidTr="00E14125">
        <w:trPr>
          <w:trHeight w:val="624"/>
        </w:trPr>
        <w:tc>
          <w:tcPr>
            <w:tcW w:w="2127" w:type="dxa"/>
            <w:vAlign w:val="center"/>
          </w:tcPr>
          <w:p w14:paraId="0C80AF0E" w14:textId="77777777" w:rsidR="00E06ADA" w:rsidRPr="009F4B75" w:rsidRDefault="00E06ADA" w:rsidP="00AE0CC7">
            <w:pPr>
              <w:rPr>
                <w:rFonts w:ascii="Times New Roman" w:hAnsi="Times New Roman" w:cs="Times New Roman"/>
              </w:rPr>
            </w:pPr>
            <w:r w:rsidRPr="009F4B75">
              <w:rPr>
                <w:rFonts w:ascii="Times New Roman" w:hAnsi="Times New Roman" w:cs="Times New Roman"/>
              </w:rPr>
              <w:t>Priradenie k  ŠC IROP</w:t>
            </w:r>
          </w:p>
        </w:tc>
        <w:tc>
          <w:tcPr>
            <w:tcW w:w="7393" w:type="dxa"/>
            <w:gridSpan w:val="4"/>
          </w:tcPr>
          <w:p w14:paraId="3FC87092" w14:textId="77777777" w:rsidR="00E06ADA" w:rsidRPr="009F4B75" w:rsidRDefault="00E06ADA" w:rsidP="00AE0CC7">
            <w:pPr>
              <w:rPr>
                <w:rFonts w:ascii="Times New Roman" w:hAnsi="Times New Roman" w:cs="Times New Roman"/>
              </w:rPr>
            </w:pPr>
            <w:r w:rsidRPr="009F4B75">
              <w:rPr>
                <w:rFonts w:ascii="Times New Roman" w:hAnsi="Times New Roman" w:cs="Times New Roman"/>
                <w:sz w:val="24"/>
                <w:szCs w:val="24"/>
              </w:rPr>
              <w:t>5.1.2 Zlepšenie udržateľných vzťahov medzi vidieckymi rozvojovými centrami a ich zázemím vo verejných službách a vo verejných infraštruktúrach</w:t>
            </w:r>
          </w:p>
        </w:tc>
      </w:tr>
      <w:tr w:rsidR="00B23F58" w:rsidRPr="009F4B75" w14:paraId="4D668BFC" w14:textId="77777777" w:rsidTr="00E14125">
        <w:trPr>
          <w:trHeight w:val="624"/>
        </w:trPr>
        <w:tc>
          <w:tcPr>
            <w:tcW w:w="2127" w:type="dxa"/>
            <w:vAlign w:val="center"/>
          </w:tcPr>
          <w:p w14:paraId="3D94CA1E" w14:textId="77777777" w:rsidR="00B23F58" w:rsidRPr="009F4B75" w:rsidRDefault="00B23F58" w:rsidP="00AE0CC7">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101AB772"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Cieľom tohto opatrenia bude investične podporovať vytváranie vhodných priestorových podmienok (vhodného fyzického prostredia) pre poskytovanie sociálnych služieb a zabezpečovanie výkonu náhradnej starostlivosti, ktoré sú v súlade so zásadami starostlivosti na komunitnej báze, t. j. v prirodzenom sociálnom prostredí alebo v prirodzených spoločenstvách organizačne a kultúrne čo najviac podobných bežnej rodine,</w:t>
            </w:r>
            <w:r w:rsidRPr="009F4B75">
              <w:rPr>
                <w:rFonts w:ascii="Arial" w:eastAsia="Times New Roman" w:hAnsi="Arial" w:cs="Arial"/>
              </w:rPr>
              <w:t xml:space="preserve"> </w:t>
            </w:r>
            <w:r w:rsidRPr="009F4B75">
              <w:rPr>
                <w:rFonts w:ascii="Times New Roman" w:hAnsi="Times New Roman" w:cs="Times New Roman"/>
                <w:i/>
                <w:sz w:val="24"/>
                <w:szCs w:val="24"/>
              </w:rPr>
              <w:t>vrátane inovatívnych služieb komunitnej starostlivosti.</w:t>
            </w:r>
          </w:p>
          <w:p w14:paraId="6BFC3C05"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 zriaďovanie nových alebo rekonštrukcia a modernizácia existujúcich zariadení pre poskytovanie komunitných sociálnych služieb vrátane materiálno-technického vybavenia</w:t>
            </w:r>
          </w:p>
          <w:p w14:paraId="46978114"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 zvyšovanie kvality a kapacity komunitných sociálnych služieb</w:t>
            </w:r>
          </w:p>
          <w:p w14:paraId="3D3FC072" w14:textId="77777777" w:rsidR="00B23F58" w:rsidRPr="009F4B75" w:rsidRDefault="00B23F58" w:rsidP="00B26DD2">
            <w:pPr>
              <w:spacing w:after="60"/>
              <w:rPr>
                <w:rFonts w:ascii="Times New Roman" w:hAnsi="Times New Roman" w:cs="Times New Roman"/>
                <w:i/>
                <w:sz w:val="24"/>
                <w:szCs w:val="24"/>
              </w:rPr>
            </w:pPr>
            <w:r w:rsidRPr="009F4B75">
              <w:rPr>
                <w:rFonts w:ascii="Times New Roman" w:hAnsi="Times New Roman" w:cs="Times New Roman"/>
                <w:i/>
                <w:sz w:val="24"/>
                <w:szCs w:val="24"/>
              </w:rPr>
              <w:t>- rozvoj terénnych a ambulantných sociálnych služieb</w:t>
            </w:r>
          </w:p>
          <w:p w14:paraId="51C6A9A2" w14:textId="77777777" w:rsidR="00B23F58" w:rsidRPr="009F4B75" w:rsidRDefault="00B23F58" w:rsidP="00AE0CC7">
            <w:pPr>
              <w:jc w:val="both"/>
              <w:rPr>
                <w:rFonts w:ascii="Times New Roman" w:hAnsi="Times New Roman" w:cs="Times New Roman"/>
                <w:i/>
              </w:rPr>
            </w:pPr>
            <w:r w:rsidRPr="009F4B75">
              <w:rPr>
                <w:rFonts w:ascii="Times New Roman" w:hAnsi="Times New Roman" w:cs="Times New Roman"/>
                <w:i/>
                <w:sz w:val="24"/>
                <w:szCs w:val="24"/>
              </w:rPr>
              <w:t>- infraštruktúra komunitných centier</w:t>
            </w:r>
          </w:p>
        </w:tc>
      </w:tr>
      <w:tr w:rsidR="00E14125" w:rsidRPr="009F4B75" w14:paraId="6E8643B5" w14:textId="77777777" w:rsidTr="00E14125">
        <w:trPr>
          <w:trHeight w:val="624"/>
        </w:trPr>
        <w:tc>
          <w:tcPr>
            <w:tcW w:w="2127" w:type="dxa"/>
            <w:vMerge w:val="restart"/>
            <w:vAlign w:val="center"/>
          </w:tcPr>
          <w:p w14:paraId="72151E1B" w14:textId="77777777" w:rsidR="00E14125" w:rsidRPr="009F4B75" w:rsidRDefault="00E14125" w:rsidP="00AE0CC7">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2F30F0AA" w14:textId="77777777" w:rsidR="00E14125" w:rsidRPr="009F4B75" w:rsidDel="00D14904" w:rsidRDefault="00E14125" w:rsidP="00AE0CC7">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4"/>
            </w:r>
          </w:p>
        </w:tc>
        <w:tc>
          <w:tcPr>
            <w:tcW w:w="1984" w:type="dxa"/>
            <w:vAlign w:val="center"/>
          </w:tcPr>
          <w:p w14:paraId="038D712B"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643B3611"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4E9613E6" w14:textId="77777777" w:rsidR="00E14125" w:rsidRPr="009F4B75" w:rsidRDefault="00E14125" w:rsidP="00AE0CC7">
            <w:pPr>
              <w:jc w:val="center"/>
              <w:rPr>
                <w:rFonts w:ascii="Times New Roman" w:hAnsi="Times New Roman" w:cs="Times New Roman"/>
              </w:rPr>
            </w:pPr>
            <w:r w:rsidRPr="009F4B75">
              <w:rPr>
                <w:rFonts w:ascii="Times New Roman" w:hAnsi="Times New Roman" w:cs="Times New Roman"/>
              </w:rPr>
              <w:t>VZ</w:t>
            </w:r>
          </w:p>
        </w:tc>
      </w:tr>
      <w:tr w:rsidR="00E14125" w:rsidRPr="009F4B75" w14:paraId="6D17C8F3" w14:textId="77777777" w:rsidTr="00E14125">
        <w:trPr>
          <w:trHeight w:val="624"/>
        </w:trPr>
        <w:tc>
          <w:tcPr>
            <w:tcW w:w="2127" w:type="dxa"/>
            <w:vMerge/>
            <w:vAlign w:val="center"/>
          </w:tcPr>
          <w:p w14:paraId="2FE058D6"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4CBCDABD" w14:textId="77777777" w:rsidR="00E14125" w:rsidRPr="009F4B75" w:rsidDel="00D14904" w:rsidRDefault="00E14125" w:rsidP="00AE0CC7">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04206C11"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127 874,75</w:t>
            </w:r>
          </w:p>
        </w:tc>
        <w:tc>
          <w:tcPr>
            <w:tcW w:w="2127" w:type="dxa"/>
            <w:vAlign w:val="center"/>
          </w:tcPr>
          <w:p w14:paraId="6ADE6EC3"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121 481,00</w:t>
            </w:r>
          </w:p>
        </w:tc>
        <w:tc>
          <w:tcPr>
            <w:tcW w:w="2290" w:type="dxa"/>
            <w:vAlign w:val="center"/>
          </w:tcPr>
          <w:p w14:paraId="724C1D95"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6 393,75</w:t>
            </w:r>
          </w:p>
        </w:tc>
      </w:tr>
      <w:tr w:rsidR="00E14125" w:rsidRPr="009F4B75" w14:paraId="792385C0" w14:textId="77777777" w:rsidTr="00E14125">
        <w:trPr>
          <w:trHeight w:val="624"/>
        </w:trPr>
        <w:tc>
          <w:tcPr>
            <w:tcW w:w="2127" w:type="dxa"/>
            <w:vMerge/>
            <w:vAlign w:val="center"/>
          </w:tcPr>
          <w:p w14:paraId="4484FACD"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3C96734C" w14:textId="77777777" w:rsidR="00E14125" w:rsidRPr="009F4B75" w:rsidDel="00D14904" w:rsidRDefault="00E14125" w:rsidP="00AE0CC7">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72D208DE"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7EAB19D1"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050A59CB" w14:textId="77777777" w:rsidR="00E14125" w:rsidRPr="009F4B75" w:rsidRDefault="00E06ADA" w:rsidP="00AE0CC7">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E14125" w:rsidRPr="009F4B75" w14:paraId="1D4C55F5" w14:textId="77777777" w:rsidTr="00E14125">
        <w:trPr>
          <w:trHeight w:val="624"/>
        </w:trPr>
        <w:tc>
          <w:tcPr>
            <w:tcW w:w="2127" w:type="dxa"/>
            <w:vMerge/>
            <w:vAlign w:val="center"/>
          </w:tcPr>
          <w:p w14:paraId="62CF221D" w14:textId="77777777" w:rsidR="00E14125" w:rsidRPr="009F4B75" w:rsidRDefault="00E14125" w:rsidP="00AE0CC7">
            <w:pPr>
              <w:spacing w:after="200" w:line="276" w:lineRule="auto"/>
              <w:rPr>
                <w:rFonts w:ascii="Times New Roman" w:hAnsi="Times New Roman" w:cs="Times New Roman"/>
              </w:rPr>
            </w:pPr>
          </w:p>
        </w:tc>
        <w:tc>
          <w:tcPr>
            <w:tcW w:w="992" w:type="dxa"/>
            <w:vAlign w:val="center"/>
          </w:tcPr>
          <w:p w14:paraId="3F5CAD0B" w14:textId="77777777" w:rsidR="00E14125" w:rsidRPr="009F4B75" w:rsidDel="00D14904" w:rsidRDefault="00E14125" w:rsidP="00AE0CC7">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61675829"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127 874,75</w:t>
            </w:r>
          </w:p>
        </w:tc>
        <w:tc>
          <w:tcPr>
            <w:tcW w:w="2127" w:type="dxa"/>
            <w:vAlign w:val="center"/>
          </w:tcPr>
          <w:p w14:paraId="54ADFC94"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121 481,00</w:t>
            </w:r>
          </w:p>
        </w:tc>
        <w:tc>
          <w:tcPr>
            <w:tcW w:w="2290" w:type="dxa"/>
            <w:vAlign w:val="center"/>
          </w:tcPr>
          <w:p w14:paraId="31BF91E2" w14:textId="77777777" w:rsidR="00E14125" w:rsidRPr="009F4B75" w:rsidRDefault="00E06ADA" w:rsidP="00AE0CC7">
            <w:pPr>
              <w:jc w:val="right"/>
              <w:rPr>
                <w:rFonts w:ascii="Times New Roman" w:hAnsi="Times New Roman" w:cs="Times New Roman"/>
              </w:rPr>
            </w:pPr>
            <w:r w:rsidRPr="009F4B75">
              <w:rPr>
                <w:rFonts w:ascii="Times New Roman" w:hAnsi="Times New Roman" w:cs="Times New Roman"/>
              </w:rPr>
              <w:t>6 393,75</w:t>
            </w:r>
          </w:p>
        </w:tc>
      </w:tr>
      <w:tr w:rsidR="00E06ADA" w:rsidRPr="009F4B75" w14:paraId="028BD3C2" w14:textId="77777777" w:rsidTr="00E06ADA">
        <w:trPr>
          <w:trHeight w:val="624"/>
        </w:trPr>
        <w:tc>
          <w:tcPr>
            <w:tcW w:w="2127" w:type="dxa"/>
            <w:vAlign w:val="center"/>
          </w:tcPr>
          <w:p w14:paraId="148A5D17" w14:textId="77777777" w:rsidR="00E06ADA" w:rsidRPr="009F4B75" w:rsidRDefault="00E06ADA" w:rsidP="00E06ADA">
            <w:pPr>
              <w:rPr>
                <w:rFonts w:ascii="Times New Roman" w:hAnsi="Times New Roman" w:cs="Times New Roman"/>
              </w:rPr>
            </w:pPr>
          </w:p>
        </w:tc>
        <w:tc>
          <w:tcPr>
            <w:tcW w:w="7393" w:type="dxa"/>
            <w:gridSpan w:val="4"/>
          </w:tcPr>
          <w:p w14:paraId="1B2200F7" w14:textId="77777777" w:rsidR="00E06ADA" w:rsidRPr="009F4B75" w:rsidRDefault="00E06ADA" w:rsidP="00E06ADA">
            <w:pPr>
              <w:rPr>
                <w:rFonts w:ascii="Times New Roman" w:hAnsi="Times New Roman" w:cs="Times New Roman"/>
                <w:b/>
                <w:sz w:val="24"/>
                <w:szCs w:val="24"/>
              </w:rPr>
            </w:pPr>
          </w:p>
        </w:tc>
      </w:tr>
      <w:tr w:rsidR="00E06ADA" w:rsidRPr="009F4B75" w14:paraId="6F4BABE4" w14:textId="77777777" w:rsidTr="00E06ADA">
        <w:trPr>
          <w:trHeight w:val="624"/>
        </w:trPr>
        <w:tc>
          <w:tcPr>
            <w:tcW w:w="2127" w:type="dxa"/>
            <w:vAlign w:val="center"/>
          </w:tcPr>
          <w:p w14:paraId="49476CA7"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54201ED5" w14:textId="77777777" w:rsidR="00E06ADA" w:rsidRPr="009F4B75" w:rsidRDefault="00E06ADA" w:rsidP="00E06ADA">
            <w:pPr>
              <w:rPr>
                <w:rFonts w:ascii="Times New Roman" w:hAnsi="Times New Roman" w:cs="Times New Roman"/>
              </w:rPr>
            </w:pPr>
            <w:r w:rsidRPr="009F4B75">
              <w:rPr>
                <w:rFonts w:ascii="Times New Roman" w:hAnsi="Times New Roman" w:cs="Times New Roman"/>
                <w:b/>
                <w:sz w:val="24"/>
                <w:szCs w:val="24"/>
              </w:rPr>
              <w:t xml:space="preserve">3.3 Vznik nových a rozširovanie existujúcich podnikov v oblasti remeselnej a priemyselnej výroby </w:t>
            </w:r>
          </w:p>
        </w:tc>
      </w:tr>
      <w:tr w:rsidR="00E06ADA" w:rsidRPr="009F4B75" w14:paraId="7D450563" w14:textId="77777777" w:rsidTr="00E06ADA">
        <w:trPr>
          <w:trHeight w:val="624"/>
        </w:trPr>
        <w:tc>
          <w:tcPr>
            <w:tcW w:w="2127" w:type="dxa"/>
            <w:vAlign w:val="center"/>
          </w:tcPr>
          <w:p w14:paraId="450E33DA"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Priradenie k  ŠC IROP</w:t>
            </w:r>
          </w:p>
        </w:tc>
        <w:tc>
          <w:tcPr>
            <w:tcW w:w="7393" w:type="dxa"/>
            <w:gridSpan w:val="4"/>
          </w:tcPr>
          <w:p w14:paraId="4CE80CEF" w14:textId="77777777" w:rsidR="00E06ADA" w:rsidRPr="009F4B75" w:rsidRDefault="00E06ADA" w:rsidP="00E06ADA">
            <w:pPr>
              <w:rPr>
                <w:rFonts w:ascii="Times New Roman" w:hAnsi="Times New Roman" w:cs="Times New Roman"/>
              </w:rPr>
            </w:pPr>
            <w:r w:rsidRPr="009F4B75">
              <w:rPr>
                <w:rFonts w:ascii="Times New Roman" w:hAnsi="Times New Roman" w:cs="Times New Roman"/>
                <w:i/>
                <w:sz w:val="24"/>
                <w:szCs w:val="24"/>
              </w:rPr>
              <w:t>5.1.1 Zvýšenie zamestnanosti na miestnej úrovni podporou podnikania a inovácií</w:t>
            </w:r>
          </w:p>
        </w:tc>
      </w:tr>
      <w:tr w:rsidR="00E06ADA" w:rsidRPr="009F4B75" w14:paraId="6D35D741" w14:textId="77777777" w:rsidTr="00E06ADA">
        <w:trPr>
          <w:trHeight w:val="624"/>
        </w:trPr>
        <w:tc>
          <w:tcPr>
            <w:tcW w:w="2127" w:type="dxa"/>
            <w:vAlign w:val="center"/>
          </w:tcPr>
          <w:p w14:paraId="5BEC9BA0"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1F1B4249" w14:textId="77777777" w:rsidR="007F6102" w:rsidRPr="009F4B75" w:rsidRDefault="007F6102" w:rsidP="007F6102">
            <w:pPr>
              <w:spacing w:after="60"/>
              <w:rPr>
                <w:rFonts w:ascii="Times New Roman" w:hAnsi="Times New Roman" w:cs="Times New Roman"/>
                <w:i/>
                <w:sz w:val="24"/>
                <w:szCs w:val="24"/>
              </w:rPr>
            </w:pPr>
            <w:r w:rsidRPr="009F4B75">
              <w:rPr>
                <w:rFonts w:ascii="Times New Roman" w:hAnsi="Times New Roman" w:cs="Times New Roman"/>
                <w:i/>
                <w:sz w:val="24"/>
                <w:szCs w:val="24"/>
              </w:rPr>
              <w:t>Zakladanie nových a podpora existujúcich mikro a malých podnikov, samostatne zárobkovo činných osôb, družstiev:</w:t>
            </w:r>
          </w:p>
          <w:p w14:paraId="73CAB957" w14:textId="77777777" w:rsidR="007F6102" w:rsidRPr="009F4B75" w:rsidRDefault="007F6102" w:rsidP="007F6102">
            <w:pPr>
              <w:numPr>
                <w:ilvl w:val="0"/>
                <w:numId w:val="54"/>
              </w:numPr>
              <w:spacing w:after="60"/>
              <w:rPr>
                <w:rFonts w:ascii="Times New Roman" w:hAnsi="Times New Roman" w:cs="Times New Roman"/>
                <w:i/>
                <w:sz w:val="24"/>
                <w:szCs w:val="24"/>
              </w:rPr>
            </w:pPr>
            <w:r w:rsidRPr="009F4B75">
              <w:rPr>
                <w:rFonts w:ascii="Times New Roman" w:hAnsi="Times New Roman" w:cs="Times New Roman"/>
                <w:i/>
                <w:sz w:val="24"/>
                <w:szCs w:val="24"/>
              </w:rPr>
              <w:t>obstaranie hmotného majetku pre účely tvorby  pracovných miest</w:t>
            </w:r>
          </w:p>
          <w:p w14:paraId="4335421B" w14:textId="77777777" w:rsidR="00E06ADA" w:rsidRPr="009F4B75" w:rsidRDefault="007F6102" w:rsidP="007F6102">
            <w:pPr>
              <w:pStyle w:val="Odsekzoznamu"/>
              <w:numPr>
                <w:ilvl w:val="0"/>
                <w:numId w:val="54"/>
              </w:numPr>
              <w:jc w:val="both"/>
              <w:rPr>
                <w:rFonts w:ascii="Times New Roman" w:hAnsi="Times New Roman" w:cs="Times New Roman"/>
                <w:i/>
              </w:rPr>
            </w:pPr>
            <w:r w:rsidRPr="009F4B75">
              <w:rPr>
                <w:rFonts w:ascii="Times New Roman" w:hAnsi="Times New Roman" w:cs="Times New Roman"/>
                <w:i/>
                <w:sz w:val="24"/>
                <w:szCs w:val="24"/>
              </w:rPr>
              <w:t>nutné stavebnotechnické úpravy budov spojené s umiestnením obstaranej technológie a/alebo s poskytovaním nových služieb</w:t>
            </w:r>
          </w:p>
        </w:tc>
      </w:tr>
      <w:tr w:rsidR="00E06ADA" w:rsidRPr="009F4B75" w14:paraId="49385CE5" w14:textId="77777777" w:rsidTr="00E06ADA">
        <w:trPr>
          <w:trHeight w:val="624"/>
        </w:trPr>
        <w:tc>
          <w:tcPr>
            <w:tcW w:w="2127" w:type="dxa"/>
            <w:vMerge w:val="restart"/>
            <w:vAlign w:val="center"/>
          </w:tcPr>
          <w:p w14:paraId="458FC376"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374A609B"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5"/>
            </w:r>
          </w:p>
        </w:tc>
        <w:tc>
          <w:tcPr>
            <w:tcW w:w="1984" w:type="dxa"/>
            <w:vAlign w:val="center"/>
          </w:tcPr>
          <w:p w14:paraId="3B68F2E0"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443A49AD"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0B294492"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VZ</w:t>
            </w:r>
          </w:p>
        </w:tc>
      </w:tr>
      <w:tr w:rsidR="00E06ADA" w:rsidRPr="009F4B75" w14:paraId="2FDD8726" w14:textId="77777777" w:rsidTr="00E06ADA">
        <w:trPr>
          <w:trHeight w:val="624"/>
        </w:trPr>
        <w:tc>
          <w:tcPr>
            <w:tcW w:w="2127" w:type="dxa"/>
            <w:vMerge/>
            <w:vAlign w:val="center"/>
          </w:tcPr>
          <w:p w14:paraId="12509E74"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39DB72C7"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32CEFD55" w14:textId="77777777" w:rsidR="00E06ADA"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165 672,73</w:t>
            </w:r>
          </w:p>
        </w:tc>
        <w:tc>
          <w:tcPr>
            <w:tcW w:w="2127" w:type="dxa"/>
            <w:vAlign w:val="center"/>
          </w:tcPr>
          <w:p w14:paraId="49D972D4" w14:textId="77777777" w:rsidR="00E06ADA"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91 120,00</w:t>
            </w:r>
          </w:p>
        </w:tc>
        <w:tc>
          <w:tcPr>
            <w:tcW w:w="2290" w:type="dxa"/>
            <w:vAlign w:val="center"/>
          </w:tcPr>
          <w:p w14:paraId="36171DC3" w14:textId="77777777" w:rsidR="00E06ADA" w:rsidRPr="009F4B75" w:rsidRDefault="00E06ADA" w:rsidP="00E06ADA">
            <w:pPr>
              <w:spacing w:after="200" w:line="276" w:lineRule="auto"/>
              <w:jc w:val="right"/>
              <w:rPr>
                <w:rFonts w:ascii="Times New Roman" w:hAnsi="Times New Roman" w:cs="Times New Roman"/>
              </w:rPr>
            </w:pPr>
            <w:r w:rsidRPr="009F4B75">
              <w:rPr>
                <w:rFonts w:ascii="Times New Roman" w:hAnsi="Times New Roman" w:cs="Times New Roman"/>
              </w:rPr>
              <w:t>74 552,73</w:t>
            </w:r>
          </w:p>
        </w:tc>
      </w:tr>
      <w:tr w:rsidR="00E06ADA" w:rsidRPr="009F4B75" w14:paraId="3424F1EB" w14:textId="77777777" w:rsidTr="00E06ADA">
        <w:trPr>
          <w:trHeight w:val="624"/>
        </w:trPr>
        <w:tc>
          <w:tcPr>
            <w:tcW w:w="2127" w:type="dxa"/>
            <w:vMerge/>
            <w:vAlign w:val="center"/>
          </w:tcPr>
          <w:p w14:paraId="60969751"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0C37E874"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57DD5E70"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627CE6A5"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6CA940B9"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E06ADA" w:rsidRPr="009F4B75" w14:paraId="41ECE6F6" w14:textId="77777777" w:rsidTr="00E06ADA">
        <w:trPr>
          <w:trHeight w:val="624"/>
        </w:trPr>
        <w:tc>
          <w:tcPr>
            <w:tcW w:w="2127" w:type="dxa"/>
            <w:vMerge/>
            <w:vAlign w:val="center"/>
          </w:tcPr>
          <w:p w14:paraId="08618FD4"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21D7681F"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5FC23843" w14:textId="77777777" w:rsidR="00E06ADA" w:rsidRPr="009F4B75" w:rsidRDefault="00E06ADA" w:rsidP="00E06ADA">
            <w:pPr>
              <w:jc w:val="right"/>
              <w:rPr>
                <w:rFonts w:ascii="Times New Roman" w:hAnsi="Times New Roman" w:cs="Times New Roman"/>
              </w:rPr>
            </w:pPr>
            <w:r w:rsidRPr="009F4B75">
              <w:rPr>
                <w:rFonts w:ascii="Times New Roman" w:hAnsi="Times New Roman" w:cs="Times New Roman"/>
              </w:rPr>
              <w:t>165 672,73</w:t>
            </w:r>
          </w:p>
        </w:tc>
        <w:tc>
          <w:tcPr>
            <w:tcW w:w="2127" w:type="dxa"/>
            <w:vAlign w:val="center"/>
          </w:tcPr>
          <w:p w14:paraId="38F55BB9" w14:textId="77777777" w:rsidR="00E06ADA" w:rsidRPr="009F4B75" w:rsidRDefault="00E06ADA" w:rsidP="00E06ADA">
            <w:pPr>
              <w:jc w:val="right"/>
              <w:rPr>
                <w:rFonts w:ascii="Times New Roman" w:hAnsi="Times New Roman" w:cs="Times New Roman"/>
              </w:rPr>
            </w:pPr>
            <w:r w:rsidRPr="009F4B75">
              <w:rPr>
                <w:rFonts w:ascii="Times New Roman" w:hAnsi="Times New Roman" w:cs="Times New Roman"/>
              </w:rPr>
              <w:t>91 120,00</w:t>
            </w:r>
          </w:p>
        </w:tc>
        <w:tc>
          <w:tcPr>
            <w:tcW w:w="2290" w:type="dxa"/>
            <w:vAlign w:val="center"/>
          </w:tcPr>
          <w:p w14:paraId="37CCABF0" w14:textId="77777777" w:rsidR="00E06ADA" w:rsidRPr="009F4B75" w:rsidRDefault="00E06ADA" w:rsidP="00E06ADA">
            <w:pPr>
              <w:jc w:val="right"/>
              <w:rPr>
                <w:rFonts w:ascii="Times New Roman" w:hAnsi="Times New Roman" w:cs="Times New Roman"/>
              </w:rPr>
            </w:pPr>
            <w:r w:rsidRPr="009F4B75">
              <w:rPr>
                <w:rFonts w:ascii="Times New Roman" w:hAnsi="Times New Roman" w:cs="Times New Roman"/>
              </w:rPr>
              <w:t>74 552,76</w:t>
            </w:r>
          </w:p>
        </w:tc>
      </w:tr>
      <w:tr w:rsidR="00817F6A" w:rsidRPr="009F4B75" w14:paraId="56067B33" w14:textId="77777777" w:rsidTr="00E06ADA">
        <w:trPr>
          <w:trHeight w:val="624"/>
        </w:trPr>
        <w:tc>
          <w:tcPr>
            <w:tcW w:w="2127" w:type="dxa"/>
            <w:vAlign w:val="center"/>
          </w:tcPr>
          <w:p w14:paraId="38653DDD" w14:textId="77777777" w:rsidR="00817F6A" w:rsidRPr="009F4B75" w:rsidRDefault="00817F6A" w:rsidP="00E06ADA">
            <w:pPr>
              <w:rPr>
                <w:rFonts w:ascii="Times New Roman" w:hAnsi="Times New Roman" w:cs="Times New Roman"/>
              </w:rPr>
            </w:pPr>
          </w:p>
        </w:tc>
        <w:tc>
          <w:tcPr>
            <w:tcW w:w="7393" w:type="dxa"/>
            <w:gridSpan w:val="4"/>
          </w:tcPr>
          <w:p w14:paraId="1F03209A" w14:textId="77777777" w:rsidR="00817F6A" w:rsidRPr="009F4B75" w:rsidRDefault="00817F6A" w:rsidP="00E06ADA">
            <w:pPr>
              <w:rPr>
                <w:rFonts w:ascii="Times New Roman" w:hAnsi="Times New Roman" w:cs="Times New Roman"/>
                <w:b/>
                <w:sz w:val="24"/>
                <w:szCs w:val="24"/>
              </w:rPr>
            </w:pPr>
          </w:p>
        </w:tc>
      </w:tr>
      <w:tr w:rsidR="00817F6A" w:rsidRPr="009F4B75" w14:paraId="39D0563E" w14:textId="77777777" w:rsidTr="00E06ADA">
        <w:trPr>
          <w:trHeight w:val="624"/>
        </w:trPr>
        <w:tc>
          <w:tcPr>
            <w:tcW w:w="2127" w:type="dxa"/>
            <w:vAlign w:val="center"/>
          </w:tcPr>
          <w:p w14:paraId="51B149C3" w14:textId="77777777" w:rsidR="00817F6A" w:rsidRPr="009F4B75" w:rsidRDefault="00817F6A"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1967AFCF" w14:textId="77777777" w:rsidR="00817F6A" w:rsidRPr="009F4B75" w:rsidRDefault="00817F6A" w:rsidP="00E06ADA">
            <w:pPr>
              <w:rPr>
                <w:rFonts w:ascii="Times New Roman" w:hAnsi="Times New Roman" w:cs="Times New Roman"/>
              </w:rPr>
            </w:pPr>
            <w:r w:rsidRPr="009F4B75">
              <w:rPr>
                <w:rFonts w:ascii="Times New Roman" w:hAnsi="Times New Roman" w:cs="Times New Roman"/>
                <w:b/>
                <w:sz w:val="24"/>
                <w:szCs w:val="24"/>
              </w:rPr>
              <w:t>3.4 Kvalitné služby na vidieku</w:t>
            </w:r>
          </w:p>
        </w:tc>
      </w:tr>
      <w:tr w:rsidR="00817F6A" w:rsidRPr="009F4B75" w14:paraId="7EFD0A91" w14:textId="77777777" w:rsidTr="00E06ADA">
        <w:trPr>
          <w:trHeight w:val="624"/>
        </w:trPr>
        <w:tc>
          <w:tcPr>
            <w:tcW w:w="2127" w:type="dxa"/>
            <w:vAlign w:val="center"/>
          </w:tcPr>
          <w:p w14:paraId="08894B4A" w14:textId="77777777" w:rsidR="00817F6A" w:rsidRPr="009F4B75" w:rsidRDefault="00817F6A" w:rsidP="00E06ADA">
            <w:pPr>
              <w:rPr>
                <w:rFonts w:ascii="Times New Roman" w:hAnsi="Times New Roman" w:cs="Times New Roman"/>
              </w:rPr>
            </w:pPr>
            <w:r w:rsidRPr="009F4B75">
              <w:rPr>
                <w:rFonts w:ascii="Times New Roman" w:hAnsi="Times New Roman" w:cs="Times New Roman"/>
              </w:rPr>
              <w:t>Priradenie k  ŠC IROP</w:t>
            </w:r>
          </w:p>
        </w:tc>
        <w:tc>
          <w:tcPr>
            <w:tcW w:w="7393" w:type="dxa"/>
            <w:gridSpan w:val="4"/>
          </w:tcPr>
          <w:p w14:paraId="161A034B" w14:textId="77777777" w:rsidR="00817F6A" w:rsidRPr="009F4B75" w:rsidRDefault="00817F6A" w:rsidP="00E06ADA">
            <w:pPr>
              <w:rPr>
                <w:rFonts w:ascii="Times New Roman" w:hAnsi="Times New Roman" w:cs="Times New Roman"/>
              </w:rPr>
            </w:pPr>
            <w:r w:rsidRPr="009F4B75">
              <w:rPr>
                <w:rFonts w:ascii="Times New Roman" w:hAnsi="Times New Roman" w:cs="Times New Roman"/>
                <w:i/>
                <w:sz w:val="24"/>
                <w:szCs w:val="24"/>
              </w:rPr>
              <w:t>5.1.1 Zvýšenie zamestnanosti na miestnej úrovni podporou podnikania a inovácií</w:t>
            </w:r>
          </w:p>
        </w:tc>
      </w:tr>
      <w:tr w:rsidR="00216FA2" w:rsidRPr="009F4B75" w14:paraId="7BE791A8" w14:textId="77777777" w:rsidTr="00E06ADA">
        <w:trPr>
          <w:trHeight w:val="624"/>
        </w:trPr>
        <w:tc>
          <w:tcPr>
            <w:tcW w:w="2127" w:type="dxa"/>
            <w:vAlign w:val="center"/>
          </w:tcPr>
          <w:p w14:paraId="4C8B50F7" w14:textId="77777777" w:rsidR="00216FA2" w:rsidRPr="009F4B75" w:rsidRDefault="00216FA2"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17ADE9FA" w14:textId="77777777" w:rsidR="00216FA2" w:rsidRPr="009F4B75" w:rsidRDefault="00216FA2" w:rsidP="0040366F">
            <w:pPr>
              <w:spacing w:after="60"/>
              <w:rPr>
                <w:rFonts w:ascii="Times New Roman" w:hAnsi="Times New Roman" w:cs="Times New Roman"/>
                <w:i/>
                <w:sz w:val="24"/>
                <w:szCs w:val="24"/>
              </w:rPr>
            </w:pPr>
            <w:r w:rsidRPr="009F4B75">
              <w:rPr>
                <w:rFonts w:ascii="Times New Roman" w:hAnsi="Times New Roman" w:cs="Times New Roman"/>
                <w:i/>
                <w:sz w:val="24"/>
                <w:szCs w:val="24"/>
              </w:rPr>
              <w:t>1. Zakladanie nových a podpora existujúcich mikro a malých podnikov, samostatne zárobkovo činných osôb, družstiev:</w:t>
            </w:r>
          </w:p>
          <w:p w14:paraId="05F5D1EC" w14:textId="77777777" w:rsidR="00216FA2" w:rsidRPr="009F4B75" w:rsidRDefault="00216FA2" w:rsidP="00216FA2">
            <w:pPr>
              <w:pStyle w:val="Odsekzoznamu"/>
              <w:numPr>
                <w:ilvl w:val="0"/>
                <w:numId w:val="55"/>
              </w:numPr>
              <w:spacing w:after="60"/>
              <w:rPr>
                <w:rFonts w:ascii="Times New Roman" w:hAnsi="Times New Roman" w:cs="Times New Roman"/>
                <w:i/>
                <w:sz w:val="24"/>
                <w:szCs w:val="24"/>
              </w:rPr>
            </w:pPr>
            <w:r w:rsidRPr="009F4B75">
              <w:rPr>
                <w:rFonts w:ascii="Times New Roman" w:hAnsi="Times New Roman" w:cs="Times New Roman"/>
                <w:i/>
                <w:sz w:val="24"/>
                <w:szCs w:val="24"/>
              </w:rPr>
              <w:t>obstaranie hmotného majetku pre účely tvorby  pracovných miest</w:t>
            </w:r>
          </w:p>
          <w:p w14:paraId="428303C1" w14:textId="77777777" w:rsidR="00216FA2" w:rsidRPr="009F4B75" w:rsidRDefault="00216FA2" w:rsidP="00216FA2">
            <w:pPr>
              <w:pStyle w:val="Odsekzoznamu"/>
              <w:numPr>
                <w:ilvl w:val="0"/>
                <w:numId w:val="55"/>
              </w:numPr>
              <w:spacing w:after="60"/>
              <w:rPr>
                <w:rFonts w:ascii="Times New Roman" w:hAnsi="Times New Roman" w:cs="Times New Roman"/>
                <w:i/>
                <w:sz w:val="24"/>
                <w:szCs w:val="24"/>
              </w:rPr>
            </w:pPr>
            <w:r w:rsidRPr="009F4B75">
              <w:rPr>
                <w:rFonts w:ascii="Times New Roman" w:hAnsi="Times New Roman" w:cs="Times New Roman"/>
                <w:i/>
                <w:sz w:val="24"/>
                <w:szCs w:val="24"/>
              </w:rPr>
              <w:t>nutné stavebnotechnické úpravy budov spojené s umiestnením obstaranej technológie a/alebo s poskytovaním nových služieb</w:t>
            </w:r>
            <w:r w:rsidRPr="009F4B75">
              <w:rPr>
                <w:rFonts w:ascii="Arial Narrow" w:hAnsi="Arial Narrow"/>
                <w:sz w:val="16"/>
                <w:szCs w:val="16"/>
              </w:rPr>
              <w:t xml:space="preserve"> </w:t>
            </w:r>
          </w:p>
          <w:p w14:paraId="3733E5B8" w14:textId="77777777" w:rsidR="00216FA2" w:rsidRPr="009F4B75" w:rsidRDefault="00216FA2" w:rsidP="00216FA2">
            <w:pPr>
              <w:numPr>
                <w:ilvl w:val="0"/>
                <w:numId w:val="55"/>
              </w:numPr>
              <w:spacing w:after="60"/>
              <w:rPr>
                <w:rFonts w:ascii="Times New Roman" w:hAnsi="Times New Roman" w:cs="Times New Roman"/>
                <w:i/>
                <w:sz w:val="24"/>
                <w:szCs w:val="24"/>
              </w:rPr>
            </w:pPr>
            <w:r w:rsidRPr="009F4B75">
              <w:rPr>
                <w:rFonts w:ascii="Times New Roman" w:hAnsi="Times New Roman" w:cs="Times New Roman"/>
                <w:i/>
                <w:sz w:val="24"/>
                <w:szCs w:val="24"/>
              </w:rPr>
              <w:t>podpora marketingových aktivít</w:t>
            </w:r>
          </w:p>
          <w:p w14:paraId="5D009F2E" w14:textId="77777777" w:rsidR="00216FA2" w:rsidRPr="009F4B75" w:rsidRDefault="00216FA2" w:rsidP="00216FA2">
            <w:pPr>
              <w:pStyle w:val="Odsekzoznamu"/>
              <w:numPr>
                <w:ilvl w:val="0"/>
                <w:numId w:val="55"/>
              </w:numPr>
              <w:jc w:val="both"/>
              <w:rPr>
                <w:rFonts w:ascii="Times New Roman" w:hAnsi="Times New Roman" w:cs="Times New Roman"/>
                <w:i/>
              </w:rPr>
            </w:pPr>
            <w:r w:rsidRPr="009F4B75">
              <w:rPr>
                <w:rFonts w:ascii="Times New Roman" w:hAnsi="Times New Roman" w:cs="Times New Roman"/>
                <w:i/>
                <w:sz w:val="24"/>
                <w:szCs w:val="24"/>
              </w:rPr>
              <w:t>podpora miestnych produkčno-spotrebiteľských reťazcov, sieťovanie na úrovni miestnej ekonomiky a výmena skúseností</w:t>
            </w:r>
          </w:p>
        </w:tc>
      </w:tr>
      <w:tr w:rsidR="00E06ADA" w:rsidRPr="009F4B75" w14:paraId="714CC7CB" w14:textId="77777777" w:rsidTr="00E06ADA">
        <w:trPr>
          <w:trHeight w:val="624"/>
        </w:trPr>
        <w:tc>
          <w:tcPr>
            <w:tcW w:w="2127" w:type="dxa"/>
            <w:vMerge w:val="restart"/>
            <w:vAlign w:val="center"/>
          </w:tcPr>
          <w:p w14:paraId="7DCBD416"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 xml:space="preserve">Finančný plán  </w:t>
            </w:r>
          </w:p>
        </w:tc>
        <w:tc>
          <w:tcPr>
            <w:tcW w:w="992" w:type="dxa"/>
            <w:vAlign w:val="center"/>
          </w:tcPr>
          <w:p w14:paraId="0F944C27"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6"/>
            </w:r>
          </w:p>
        </w:tc>
        <w:tc>
          <w:tcPr>
            <w:tcW w:w="1984" w:type="dxa"/>
            <w:vAlign w:val="center"/>
          </w:tcPr>
          <w:p w14:paraId="473A26E5"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1CF2F7E9"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301D5B85"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VZ</w:t>
            </w:r>
          </w:p>
        </w:tc>
      </w:tr>
      <w:tr w:rsidR="00E06ADA" w:rsidRPr="009F4B75" w14:paraId="49EF82DB" w14:textId="77777777" w:rsidTr="00E06ADA">
        <w:trPr>
          <w:trHeight w:val="624"/>
        </w:trPr>
        <w:tc>
          <w:tcPr>
            <w:tcW w:w="2127" w:type="dxa"/>
            <w:vMerge/>
            <w:vAlign w:val="center"/>
          </w:tcPr>
          <w:p w14:paraId="2999A5B7"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067737C6"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26A355B0"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165 672,73</w:t>
            </w:r>
          </w:p>
        </w:tc>
        <w:tc>
          <w:tcPr>
            <w:tcW w:w="2127" w:type="dxa"/>
            <w:vAlign w:val="center"/>
          </w:tcPr>
          <w:p w14:paraId="631B0199"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91 120,00</w:t>
            </w:r>
          </w:p>
        </w:tc>
        <w:tc>
          <w:tcPr>
            <w:tcW w:w="2290" w:type="dxa"/>
            <w:vAlign w:val="center"/>
          </w:tcPr>
          <w:p w14:paraId="1E19416C"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74 552,73</w:t>
            </w:r>
          </w:p>
        </w:tc>
      </w:tr>
      <w:tr w:rsidR="00E06ADA" w:rsidRPr="009F4B75" w14:paraId="0EEFE782" w14:textId="77777777" w:rsidTr="00E06ADA">
        <w:trPr>
          <w:trHeight w:val="624"/>
        </w:trPr>
        <w:tc>
          <w:tcPr>
            <w:tcW w:w="2127" w:type="dxa"/>
            <w:vMerge/>
            <w:vAlign w:val="center"/>
          </w:tcPr>
          <w:p w14:paraId="047BF55C"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2280902F"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392812AC"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127" w:type="dxa"/>
            <w:vAlign w:val="center"/>
          </w:tcPr>
          <w:p w14:paraId="516121C8"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c>
          <w:tcPr>
            <w:tcW w:w="2290" w:type="dxa"/>
            <w:vAlign w:val="center"/>
          </w:tcPr>
          <w:p w14:paraId="1659D292"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w:t>
            </w:r>
          </w:p>
        </w:tc>
      </w:tr>
      <w:tr w:rsidR="00E06ADA" w:rsidRPr="009F4B75" w14:paraId="025915AD" w14:textId="77777777" w:rsidTr="00E06ADA">
        <w:trPr>
          <w:trHeight w:val="624"/>
        </w:trPr>
        <w:tc>
          <w:tcPr>
            <w:tcW w:w="2127" w:type="dxa"/>
            <w:vMerge/>
            <w:vAlign w:val="center"/>
          </w:tcPr>
          <w:p w14:paraId="2491301C"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70EF5964"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29454C83"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165 672,73</w:t>
            </w:r>
          </w:p>
        </w:tc>
        <w:tc>
          <w:tcPr>
            <w:tcW w:w="2127" w:type="dxa"/>
            <w:vAlign w:val="center"/>
          </w:tcPr>
          <w:p w14:paraId="629508BE"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91 120,00</w:t>
            </w:r>
          </w:p>
        </w:tc>
        <w:tc>
          <w:tcPr>
            <w:tcW w:w="2290" w:type="dxa"/>
            <w:vAlign w:val="center"/>
          </w:tcPr>
          <w:p w14:paraId="0A7D41FC"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74 552,73</w:t>
            </w:r>
          </w:p>
        </w:tc>
      </w:tr>
      <w:tr w:rsidR="00817F6A" w:rsidRPr="009F4B75" w14:paraId="0B104B2F" w14:textId="77777777" w:rsidTr="00E06ADA">
        <w:trPr>
          <w:trHeight w:val="624"/>
        </w:trPr>
        <w:tc>
          <w:tcPr>
            <w:tcW w:w="2127" w:type="dxa"/>
            <w:vAlign w:val="center"/>
          </w:tcPr>
          <w:p w14:paraId="2EA13902" w14:textId="77777777" w:rsidR="00817F6A" w:rsidRPr="009F4B75" w:rsidRDefault="00817F6A" w:rsidP="00E06ADA">
            <w:pPr>
              <w:rPr>
                <w:rFonts w:ascii="Times New Roman" w:hAnsi="Times New Roman" w:cs="Times New Roman"/>
              </w:rPr>
            </w:pPr>
            <w:r w:rsidRPr="009F4B75">
              <w:rPr>
                <w:rFonts w:ascii="Times New Roman" w:hAnsi="Times New Roman" w:cs="Times New Roman"/>
              </w:rPr>
              <w:t xml:space="preserve">Názov opatrenia </w:t>
            </w:r>
          </w:p>
        </w:tc>
        <w:tc>
          <w:tcPr>
            <w:tcW w:w="7393" w:type="dxa"/>
            <w:gridSpan w:val="4"/>
          </w:tcPr>
          <w:p w14:paraId="7A14CD2E" w14:textId="77777777" w:rsidR="00817F6A" w:rsidRPr="009F4B75" w:rsidRDefault="00817F6A" w:rsidP="00817F6A">
            <w:pPr>
              <w:rPr>
                <w:rFonts w:ascii="Times New Roman" w:hAnsi="Times New Roman" w:cs="Times New Roman"/>
              </w:rPr>
            </w:pPr>
            <w:r w:rsidRPr="009F4B75">
              <w:rPr>
                <w:rFonts w:ascii="Times New Roman" w:hAnsi="Times New Roman" w:cs="Times New Roman"/>
                <w:b/>
                <w:sz w:val="24"/>
                <w:szCs w:val="24"/>
              </w:rPr>
              <w:t>4.1 Chod MAS</w:t>
            </w:r>
            <w:r w:rsidR="00CD6FE8">
              <w:rPr>
                <w:rFonts w:ascii="Times New Roman" w:hAnsi="Times New Roman" w:cs="Times New Roman"/>
                <w:b/>
                <w:sz w:val="24"/>
                <w:szCs w:val="24"/>
              </w:rPr>
              <w:t xml:space="preserve"> a animácie (chod MAS)</w:t>
            </w:r>
          </w:p>
        </w:tc>
      </w:tr>
      <w:tr w:rsidR="00E06ADA" w:rsidRPr="009F4B75" w14:paraId="6C7BF85E" w14:textId="77777777" w:rsidTr="00E06ADA">
        <w:trPr>
          <w:trHeight w:val="624"/>
        </w:trPr>
        <w:tc>
          <w:tcPr>
            <w:tcW w:w="2127" w:type="dxa"/>
            <w:vAlign w:val="center"/>
          </w:tcPr>
          <w:p w14:paraId="0B210C17"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Priradenie k  ŠC IROP</w:t>
            </w:r>
          </w:p>
        </w:tc>
        <w:tc>
          <w:tcPr>
            <w:tcW w:w="7393" w:type="dxa"/>
            <w:gridSpan w:val="4"/>
          </w:tcPr>
          <w:p w14:paraId="0DD982CF" w14:textId="77777777" w:rsidR="00E06ADA" w:rsidRPr="009F4B75" w:rsidRDefault="00817F6A" w:rsidP="00E06ADA">
            <w:pPr>
              <w:rPr>
                <w:rFonts w:ascii="Times New Roman" w:hAnsi="Times New Roman" w:cs="Times New Roman"/>
              </w:rPr>
            </w:pPr>
            <w:r w:rsidRPr="009F4B75">
              <w:rPr>
                <w:rFonts w:ascii="Times New Roman" w:hAnsi="Times New Roman" w:cs="Times New Roman"/>
                <w:sz w:val="24"/>
                <w:szCs w:val="24"/>
              </w:rPr>
              <w:t>5.1.1. Zvýšenie zamestnanosti na miestnej úrovni podporou podnikania a inovácií</w:t>
            </w:r>
          </w:p>
        </w:tc>
      </w:tr>
      <w:tr w:rsidR="00E06ADA" w:rsidRPr="009F4B75" w14:paraId="6399AF85" w14:textId="77777777" w:rsidTr="00E06ADA">
        <w:trPr>
          <w:trHeight w:val="624"/>
        </w:trPr>
        <w:tc>
          <w:tcPr>
            <w:tcW w:w="2127" w:type="dxa"/>
            <w:vAlign w:val="center"/>
          </w:tcPr>
          <w:p w14:paraId="6AF41EB0"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t>Rozsah a oprávnené činnosti</w:t>
            </w:r>
          </w:p>
        </w:tc>
        <w:tc>
          <w:tcPr>
            <w:tcW w:w="7393" w:type="dxa"/>
            <w:gridSpan w:val="4"/>
            <w:vAlign w:val="center"/>
          </w:tcPr>
          <w:p w14:paraId="324A3F8C" w14:textId="77777777" w:rsidR="00216FA2" w:rsidRPr="009F4B75" w:rsidRDefault="00216FA2" w:rsidP="00216FA2">
            <w:pPr>
              <w:pStyle w:val="Default"/>
              <w:rPr>
                <w:color w:val="auto"/>
              </w:rPr>
            </w:pPr>
            <w:r w:rsidRPr="009F4B75">
              <w:rPr>
                <w:i/>
                <w:iCs/>
                <w:color w:val="auto"/>
              </w:rPr>
              <w:t xml:space="preserve">IROP - </w:t>
            </w:r>
            <w:r w:rsidRPr="009F4B75">
              <w:rPr>
                <w:bCs/>
                <w:color w:val="auto"/>
              </w:rPr>
              <w:t xml:space="preserve">Špecifický cieľ č. 5.1.1 </w:t>
            </w:r>
            <w:r w:rsidRPr="009F4B75">
              <w:rPr>
                <w:color w:val="auto"/>
              </w:rPr>
              <w:t xml:space="preserve">sa dosiahne realizáciou nasledovných aktivít: </w:t>
            </w:r>
          </w:p>
          <w:p w14:paraId="6574B034" w14:textId="77777777" w:rsidR="00216FA2" w:rsidRPr="009F4B75" w:rsidRDefault="00216FA2" w:rsidP="00216FA2">
            <w:pPr>
              <w:autoSpaceDE w:val="0"/>
              <w:autoSpaceDN w:val="0"/>
              <w:adjustRightInd w:val="0"/>
              <w:jc w:val="both"/>
              <w:rPr>
                <w:rFonts w:ascii="Times New Roman" w:hAnsi="Times New Roman" w:cs="Times New Roman"/>
                <w:sz w:val="24"/>
                <w:szCs w:val="24"/>
              </w:rPr>
            </w:pPr>
            <w:r w:rsidRPr="009F4B75">
              <w:rPr>
                <w:rFonts w:ascii="Times New Roman" w:hAnsi="Times New Roman" w:cs="Times New Roman"/>
                <w:sz w:val="24"/>
                <w:szCs w:val="24"/>
              </w:rPr>
              <w:t xml:space="preserve">- financovanie prevádzkových nákladov MAS spojených s riadením uskutočňovania stratégií CLLD: </w:t>
            </w:r>
          </w:p>
          <w:p w14:paraId="4898ACA2" w14:textId="77777777" w:rsidR="00216FA2" w:rsidRPr="009F4B75" w:rsidRDefault="00216FA2" w:rsidP="00216FA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A.) </w:t>
            </w:r>
            <w:r w:rsidRPr="009F4B75">
              <w:rPr>
                <w:rFonts w:ascii="Times New Roman" w:hAnsi="Times New Roman" w:cs="Times New Roman"/>
                <w:sz w:val="24"/>
                <w:szCs w:val="24"/>
              </w:rPr>
              <w:t xml:space="preserve">personálne a administratívne náklady MAS (prevádzkové, osobné, poistenie), </w:t>
            </w:r>
          </w:p>
          <w:p w14:paraId="2423925A" w14:textId="77777777" w:rsidR="00216FA2" w:rsidRPr="009F4B75" w:rsidRDefault="00216FA2" w:rsidP="00216FA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B.) </w:t>
            </w:r>
            <w:r w:rsidRPr="009F4B75">
              <w:rPr>
                <w:rFonts w:ascii="Times New Roman" w:hAnsi="Times New Roman" w:cs="Times New Roman"/>
                <w:sz w:val="24"/>
                <w:szCs w:val="24"/>
              </w:rPr>
              <w:t xml:space="preserve">vzdelávanie zamestnancov a členov MAS (školenia, konferencie, semináre, workshopy a pod., okrem školení pre predkladateľov </w:t>
            </w:r>
            <w:r w:rsidRPr="009F4B75">
              <w:rPr>
                <w:rFonts w:ascii="Times New Roman" w:hAnsi="Times New Roman" w:cs="Times New Roman"/>
                <w:sz w:val="24"/>
                <w:szCs w:val="24"/>
              </w:rPr>
              <w:lastRenderedPageBreak/>
              <w:t xml:space="preserve">projektov), ktorí sa podieľajú na príprave a vykonávaní stratégie CLLD. </w:t>
            </w:r>
          </w:p>
          <w:p w14:paraId="03B255D3" w14:textId="77777777" w:rsidR="00216FA2" w:rsidRPr="009F4B75" w:rsidRDefault="00216FA2" w:rsidP="00216FA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C.) </w:t>
            </w:r>
            <w:r w:rsidRPr="009F4B75">
              <w:rPr>
                <w:rFonts w:ascii="Times New Roman" w:hAnsi="Times New Roman" w:cs="Times New Roman"/>
                <w:sz w:val="24"/>
                <w:szCs w:val="24"/>
              </w:rPr>
              <w:t xml:space="preserve">náklady na publicitu a sieťovanie: účasť zamestnancov a členov MAS na stretnutiach s inými MAS, vrátane zasadaní národných a európskych sietí, ako aj poplatky za členstvo v regionálnych, národných alebo európskych sieťach MAS, </w:t>
            </w:r>
          </w:p>
          <w:p w14:paraId="6B932BEF" w14:textId="77777777" w:rsidR="00216FA2" w:rsidRPr="009F4B75" w:rsidRDefault="00216FA2" w:rsidP="00216FA2">
            <w:pPr>
              <w:autoSpaceDE w:val="0"/>
              <w:autoSpaceDN w:val="0"/>
              <w:adjustRightInd w:val="0"/>
              <w:spacing w:after="55"/>
              <w:jc w:val="both"/>
              <w:rPr>
                <w:rFonts w:ascii="Times New Roman" w:hAnsi="Times New Roman" w:cs="Times New Roman"/>
                <w:sz w:val="24"/>
                <w:szCs w:val="24"/>
              </w:rPr>
            </w:pPr>
            <w:r w:rsidRPr="009F4B75">
              <w:rPr>
                <w:rFonts w:ascii="Times New Roman" w:hAnsi="Times New Roman" w:cs="Times New Roman"/>
                <w:b/>
                <w:bCs/>
                <w:sz w:val="24"/>
                <w:szCs w:val="24"/>
              </w:rPr>
              <w:t xml:space="preserve">D.) </w:t>
            </w:r>
            <w:r w:rsidRPr="009F4B75">
              <w:rPr>
                <w:rFonts w:ascii="Times New Roman" w:hAnsi="Times New Roman" w:cs="Times New Roman"/>
                <w:sz w:val="24"/>
                <w:szCs w:val="24"/>
              </w:rPr>
              <w:t xml:space="preserve">finančné náklady (napr. bankové poplatky), </w:t>
            </w:r>
          </w:p>
          <w:p w14:paraId="08095714" w14:textId="77777777" w:rsidR="00216FA2" w:rsidRPr="009F4B75" w:rsidRDefault="00216FA2" w:rsidP="00216FA2">
            <w:pPr>
              <w:autoSpaceDE w:val="0"/>
              <w:autoSpaceDN w:val="0"/>
              <w:adjustRightInd w:val="0"/>
              <w:jc w:val="both"/>
              <w:rPr>
                <w:rFonts w:ascii="Times New Roman" w:hAnsi="Times New Roman" w:cs="Times New Roman"/>
                <w:sz w:val="24"/>
                <w:szCs w:val="24"/>
              </w:rPr>
            </w:pPr>
            <w:r w:rsidRPr="009F4B75">
              <w:rPr>
                <w:rFonts w:ascii="Times New Roman" w:hAnsi="Times New Roman" w:cs="Times New Roman"/>
                <w:b/>
                <w:bCs/>
                <w:sz w:val="24"/>
                <w:szCs w:val="24"/>
              </w:rPr>
              <w:t xml:space="preserve">E.) </w:t>
            </w:r>
            <w:r w:rsidRPr="009F4B75">
              <w:rPr>
                <w:rFonts w:ascii="Times New Roman" w:hAnsi="Times New Roman" w:cs="Times New Roman"/>
                <w:sz w:val="24"/>
                <w:szCs w:val="24"/>
              </w:rPr>
              <w:t xml:space="preserve">náklady vynaložené na monitorovanie, hodnotenie a aktualizáciu stratégií CLLD (na úrovni MAS), </w:t>
            </w:r>
          </w:p>
          <w:p w14:paraId="695E596E" w14:textId="77777777" w:rsidR="00E06ADA" w:rsidRPr="009F4B75" w:rsidRDefault="00E06ADA" w:rsidP="00E06ADA">
            <w:pPr>
              <w:jc w:val="both"/>
              <w:rPr>
                <w:rFonts w:ascii="Times New Roman" w:hAnsi="Times New Roman" w:cs="Times New Roman"/>
                <w:i/>
              </w:rPr>
            </w:pPr>
          </w:p>
        </w:tc>
      </w:tr>
      <w:tr w:rsidR="00E06ADA" w:rsidRPr="009F4B75" w14:paraId="23378FFF" w14:textId="77777777" w:rsidTr="00E06ADA">
        <w:trPr>
          <w:trHeight w:val="624"/>
        </w:trPr>
        <w:tc>
          <w:tcPr>
            <w:tcW w:w="2127" w:type="dxa"/>
            <w:vMerge w:val="restart"/>
            <w:vAlign w:val="center"/>
          </w:tcPr>
          <w:p w14:paraId="19EF6400" w14:textId="77777777" w:rsidR="00E06ADA" w:rsidRPr="009F4B75" w:rsidRDefault="00E06ADA" w:rsidP="00E06ADA">
            <w:pPr>
              <w:rPr>
                <w:rFonts w:ascii="Times New Roman" w:hAnsi="Times New Roman" w:cs="Times New Roman"/>
              </w:rPr>
            </w:pPr>
            <w:r w:rsidRPr="009F4B75">
              <w:rPr>
                <w:rFonts w:ascii="Times New Roman" w:hAnsi="Times New Roman" w:cs="Times New Roman"/>
              </w:rPr>
              <w:lastRenderedPageBreak/>
              <w:t xml:space="preserve">Finančný plán  </w:t>
            </w:r>
          </w:p>
        </w:tc>
        <w:tc>
          <w:tcPr>
            <w:tcW w:w="992" w:type="dxa"/>
            <w:vAlign w:val="center"/>
          </w:tcPr>
          <w:p w14:paraId="0FDC0FF2"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Región</w:t>
            </w:r>
            <w:r w:rsidRPr="009F4B75">
              <w:rPr>
                <w:rStyle w:val="Odkaznapoznmkupodiarou"/>
                <w:rFonts w:ascii="Times New Roman" w:hAnsi="Times New Roman" w:cs="Times New Roman"/>
              </w:rPr>
              <w:footnoteReference w:id="77"/>
            </w:r>
          </w:p>
        </w:tc>
        <w:tc>
          <w:tcPr>
            <w:tcW w:w="1984" w:type="dxa"/>
            <w:vAlign w:val="center"/>
          </w:tcPr>
          <w:p w14:paraId="085C7662"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2127" w:type="dxa"/>
            <w:vAlign w:val="center"/>
          </w:tcPr>
          <w:p w14:paraId="5E363B4E"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EÚ a ŠR</w:t>
            </w:r>
          </w:p>
        </w:tc>
        <w:tc>
          <w:tcPr>
            <w:tcW w:w="2290" w:type="dxa"/>
            <w:vAlign w:val="center"/>
          </w:tcPr>
          <w:p w14:paraId="618E17E5" w14:textId="77777777" w:rsidR="00E06ADA" w:rsidRPr="009F4B75" w:rsidRDefault="00E06ADA" w:rsidP="00E06ADA">
            <w:pPr>
              <w:jc w:val="center"/>
              <w:rPr>
                <w:rFonts w:ascii="Times New Roman" w:hAnsi="Times New Roman" w:cs="Times New Roman"/>
              </w:rPr>
            </w:pPr>
            <w:r w:rsidRPr="009F4B75">
              <w:rPr>
                <w:rFonts w:ascii="Times New Roman" w:hAnsi="Times New Roman" w:cs="Times New Roman"/>
              </w:rPr>
              <w:t>VZ</w:t>
            </w:r>
          </w:p>
        </w:tc>
      </w:tr>
      <w:tr w:rsidR="00E06ADA" w:rsidRPr="009F4B75" w14:paraId="1B5EBD55" w14:textId="77777777" w:rsidTr="00E06ADA">
        <w:trPr>
          <w:trHeight w:val="624"/>
        </w:trPr>
        <w:tc>
          <w:tcPr>
            <w:tcW w:w="2127" w:type="dxa"/>
            <w:vMerge/>
            <w:vAlign w:val="center"/>
          </w:tcPr>
          <w:p w14:paraId="259C0161"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6CEDB49C"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 xml:space="preserve">MR </w:t>
            </w:r>
          </w:p>
        </w:tc>
        <w:tc>
          <w:tcPr>
            <w:tcW w:w="1984" w:type="dxa"/>
            <w:vAlign w:val="center"/>
          </w:tcPr>
          <w:p w14:paraId="7636C4B9"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232 035,42</w:t>
            </w:r>
          </w:p>
        </w:tc>
        <w:tc>
          <w:tcPr>
            <w:tcW w:w="2127" w:type="dxa"/>
            <w:vAlign w:val="center"/>
          </w:tcPr>
          <w:p w14:paraId="2E25D762"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220 986,11</w:t>
            </w:r>
          </w:p>
        </w:tc>
        <w:tc>
          <w:tcPr>
            <w:tcW w:w="2290" w:type="dxa"/>
            <w:vAlign w:val="center"/>
          </w:tcPr>
          <w:p w14:paraId="7CC48CE9" w14:textId="77777777" w:rsidR="00E06ADA" w:rsidRPr="009F4B75" w:rsidRDefault="00817F6A" w:rsidP="00E06ADA">
            <w:pPr>
              <w:spacing w:after="200" w:line="276" w:lineRule="auto"/>
              <w:jc w:val="right"/>
              <w:rPr>
                <w:rFonts w:ascii="Times New Roman" w:hAnsi="Times New Roman" w:cs="Times New Roman"/>
              </w:rPr>
            </w:pPr>
            <w:r w:rsidRPr="009F4B75">
              <w:rPr>
                <w:rFonts w:ascii="Times New Roman" w:hAnsi="Times New Roman" w:cs="Times New Roman"/>
              </w:rPr>
              <w:t>11 049,31</w:t>
            </w:r>
          </w:p>
        </w:tc>
      </w:tr>
      <w:tr w:rsidR="00E06ADA" w:rsidRPr="009F4B75" w14:paraId="05166FE6" w14:textId="77777777" w:rsidTr="00E06ADA">
        <w:trPr>
          <w:trHeight w:val="624"/>
        </w:trPr>
        <w:tc>
          <w:tcPr>
            <w:tcW w:w="2127" w:type="dxa"/>
            <w:vMerge/>
            <w:vAlign w:val="center"/>
          </w:tcPr>
          <w:p w14:paraId="1C9234EE"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30055A24" w14:textId="77777777" w:rsidR="00E06ADA" w:rsidRPr="009F4B75" w:rsidDel="00D14904" w:rsidRDefault="00E06ADA" w:rsidP="00E06ADA">
            <w:pPr>
              <w:spacing w:after="200" w:line="276" w:lineRule="auto"/>
              <w:jc w:val="center"/>
              <w:rPr>
                <w:rFonts w:ascii="Times New Roman" w:hAnsi="Times New Roman" w:cs="Times New Roman"/>
              </w:rPr>
            </w:pPr>
            <w:r w:rsidRPr="009F4B75">
              <w:rPr>
                <w:rFonts w:ascii="Times New Roman" w:hAnsi="Times New Roman" w:cs="Times New Roman"/>
              </w:rPr>
              <w:t>VR</w:t>
            </w:r>
          </w:p>
        </w:tc>
        <w:tc>
          <w:tcPr>
            <w:tcW w:w="1984" w:type="dxa"/>
            <w:vAlign w:val="center"/>
          </w:tcPr>
          <w:p w14:paraId="585FDC16" w14:textId="77777777" w:rsidR="00E06ADA" w:rsidRPr="009F4B75" w:rsidRDefault="00E06ADA" w:rsidP="00E06ADA">
            <w:pPr>
              <w:spacing w:after="200" w:line="276" w:lineRule="auto"/>
              <w:jc w:val="right"/>
              <w:rPr>
                <w:rFonts w:ascii="Times New Roman" w:hAnsi="Times New Roman" w:cs="Times New Roman"/>
              </w:rPr>
            </w:pPr>
          </w:p>
        </w:tc>
        <w:tc>
          <w:tcPr>
            <w:tcW w:w="2127" w:type="dxa"/>
            <w:vAlign w:val="center"/>
          </w:tcPr>
          <w:p w14:paraId="708B1CFE" w14:textId="77777777" w:rsidR="00E06ADA" w:rsidRPr="009F4B75" w:rsidRDefault="00E06ADA" w:rsidP="00E06ADA">
            <w:pPr>
              <w:spacing w:after="200" w:line="276" w:lineRule="auto"/>
              <w:jc w:val="right"/>
              <w:rPr>
                <w:rFonts w:ascii="Times New Roman" w:hAnsi="Times New Roman" w:cs="Times New Roman"/>
              </w:rPr>
            </w:pPr>
          </w:p>
        </w:tc>
        <w:tc>
          <w:tcPr>
            <w:tcW w:w="2290" w:type="dxa"/>
            <w:vAlign w:val="center"/>
          </w:tcPr>
          <w:p w14:paraId="23E436C9" w14:textId="77777777" w:rsidR="00E06ADA" w:rsidRPr="009F4B75" w:rsidRDefault="00E06ADA" w:rsidP="00E06ADA">
            <w:pPr>
              <w:spacing w:after="200" w:line="276" w:lineRule="auto"/>
              <w:jc w:val="right"/>
              <w:rPr>
                <w:rFonts w:ascii="Times New Roman" w:hAnsi="Times New Roman" w:cs="Times New Roman"/>
              </w:rPr>
            </w:pPr>
          </w:p>
        </w:tc>
      </w:tr>
      <w:tr w:rsidR="00E06ADA" w:rsidRPr="009F4B75" w14:paraId="33C0336A" w14:textId="77777777" w:rsidTr="00E06ADA">
        <w:trPr>
          <w:trHeight w:val="624"/>
        </w:trPr>
        <w:tc>
          <w:tcPr>
            <w:tcW w:w="2127" w:type="dxa"/>
            <w:vMerge/>
            <w:vAlign w:val="center"/>
          </w:tcPr>
          <w:p w14:paraId="48CF8AD8" w14:textId="77777777" w:rsidR="00E06ADA" w:rsidRPr="009F4B75" w:rsidRDefault="00E06ADA" w:rsidP="00E06ADA">
            <w:pPr>
              <w:spacing w:after="200" w:line="276" w:lineRule="auto"/>
              <w:rPr>
                <w:rFonts w:ascii="Times New Roman" w:hAnsi="Times New Roman" w:cs="Times New Roman"/>
              </w:rPr>
            </w:pPr>
          </w:p>
        </w:tc>
        <w:tc>
          <w:tcPr>
            <w:tcW w:w="992" w:type="dxa"/>
            <w:vAlign w:val="center"/>
          </w:tcPr>
          <w:p w14:paraId="5D0E5476" w14:textId="77777777" w:rsidR="00E06ADA" w:rsidRPr="009F4B75" w:rsidDel="00D14904" w:rsidRDefault="00E06ADA" w:rsidP="00E06ADA">
            <w:pPr>
              <w:jc w:val="center"/>
              <w:rPr>
                <w:rFonts w:ascii="Times New Roman" w:hAnsi="Times New Roman" w:cs="Times New Roman"/>
              </w:rPr>
            </w:pPr>
            <w:r w:rsidRPr="009F4B75">
              <w:rPr>
                <w:rFonts w:ascii="Times New Roman" w:hAnsi="Times New Roman" w:cs="Times New Roman"/>
              </w:rPr>
              <w:t>Spolu</w:t>
            </w:r>
          </w:p>
        </w:tc>
        <w:tc>
          <w:tcPr>
            <w:tcW w:w="1984" w:type="dxa"/>
            <w:vAlign w:val="center"/>
          </w:tcPr>
          <w:p w14:paraId="09CB2476"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323 35,42</w:t>
            </w:r>
          </w:p>
        </w:tc>
        <w:tc>
          <w:tcPr>
            <w:tcW w:w="2127" w:type="dxa"/>
            <w:vAlign w:val="center"/>
          </w:tcPr>
          <w:p w14:paraId="5142846E"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220 986,11</w:t>
            </w:r>
          </w:p>
        </w:tc>
        <w:tc>
          <w:tcPr>
            <w:tcW w:w="2290" w:type="dxa"/>
            <w:vAlign w:val="center"/>
          </w:tcPr>
          <w:p w14:paraId="7FDF4753" w14:textId="77777777" w:rsidR="00E06ADA" w:rsidRPr="009F4B75" w:rsidRDefault="00817F6A" w:rsidP="00E06ADA">
            <w:pPr>
              <w:jc w:val="right"/>
              <w:rPr>
                <w:rFonts w:ascii="Times New Roman" w:hAnsi="Times New Roman" w:cs="Times New Roman"/>
              </w:rPr>
            </w:pPr>
            <w:r w:rsidRPr="009F4B75">
              <w:rPr>
                <w:rFonts w:ascii="Times New Roman" w:hAnsi="Times New Roman" w:cs="Times New Roman"/>
              </w:rPr>
              <w:t>11 049,31</w:t>
            </w:r>
          </w:p>
        </w:tc>
      </w:tr>
    </w:tbl>
    <w:p w14:paraId="6F813183" w14:textId="77777777" w:rsidR="000414D6" w:rsidRPr="000414D6" w:rsidRDefault="000414D6" w:rsidP="00E90E26">
      <w:pPr>
        <w:rPr>
          <w:rFonts w:ascii="Times New Roman" w:hAnsi="Times New Roman" w:cs="Times New Roman"/>
          <w:b/>
          <w:sz w:val="24"/>
          <w:szCs w:val="24"/>
        </w:rPr>
      </w:pPr>
    </w:p>
    <w:p w14:paraId="4A555DC8" w14:textId="77777777" w:rsidR="00AE4F12" w:rsidRPr="00891B13" w:rsidRDefault="00653C95" w:rsidP="003301D6">
      <w:pPr>
        <w:pStyle w:val="Nadpis2"/>
        <w:numPr>
          <w:ilvl w:val="1"/>
          <w:numId w:val="20"/>
        </w:numPr>
        <w:ind w:left="709"/>
      </w:pPr>
      <w:bookmarkStart w:id="1786" w:name="_Toc485645851"/>
      <w:r w:rsidRPr="00891B13">
        <w:t>Monitorovanie a hodnotenie stratégie CLLD</w:t>
      </w:r>
      <w:bookmarkEnd w:id="1786"/>
    </w:p>
    <w:p w14:paraId="47FBB0C6" w14:textId="77777777" w:rsidR="00512FE8" w:rsidRPr="00891B13" w:rsidRDefault="00512FE8" w:rsidP="00E37887">
      <w:pPr>
        <w:pStyle w:val="Odsekzoznamu"/>
        <w:spacing w:after="0" w:line="360" w:lineRule="auto"/>
        <w:ind w:left="792"/>
        <w:rPr>
          <w:rFonts w:ascii="Times New Roman" w:hAnsi="Times New Roman" w:cs="Times New Roman"/>
          <w:b/>
          <w:sz w:val="24"/>
          <w:szCs w:val="24"/>
        </w:rPr>
      </w:pPr>
    </w:p>
    <w:p w14:paraId="1DB98415" w14:textId="77777777" w:rsidR="005202AC" w:rsidRPr="005202AC" w:rsidRDefault="005202AC" w:rsidP="003301D6">
      <w:pPr>
        <w:pStyle w:val="Odsekzoznamu"/>
        <w:keepNext/>
        <w:keepLines/>
        <w:numPr>
          <w:ilvl w:val="0"/>
          <w:numId w:val="21"/>
        </w:numPr>
        <w:spacing w:after="0" w:line="360" w:lineRule="auto"/>
        <w:contextualSpacing w:val="0"/>
        <w:outlineLvl w:val="1"/>
        <w:rPr>
          <w:rFonts w:ascii="Times New Roman" w:eastAsiaTheme="majorEastAsia" w:hAnsi="Times New Roman" w:cstheme="majorBidi"/>
          <w:b/>
          <w:vanish/>
          <w:sz w:val="24"/>
          <w:szCs w:val="26"/>
        </w:rPr>
      </w:pPr>
      <w:bookmarkStart w:id="1787" w:name="_Toc437862887"/>
      <w:bookmarkStart w:id="1788" w:name="_Toc437877473"/>
      <w:bookmarkStart w:id="1789" w:name="_Toc437877671"/>
      <w:bookmarkStart w:id="1790" w:name="_Toc437877871"/>
      <w:bookmarkStart w:id="1791" w:name="_Toc437878071"/>
      <w:bookmarkStart w:id="1792" w:name="_Toc437878274"/>
      <w:bookmarkStart w:id="1793" w:name="_Toc437878478"/>
      <w:bookmarkStart w:id="1794" w:name="_Toc437878682"/>
      <w:bookmarkStart w:id="1795" w:name="_Toc437878886"/>
      <w:bookmarkStart w:id="1796" w:name="_Toc439150048"/>
      <w:bookmarkStart w:id="1797" w:name="_Toc439150404"/>
      <w:bookmarkStart w:id="1798" w:name="_Toc439150603"/>
      <w:bookmarkStart w:id="1799" w:name="_Toc485645693"/>
      <w:bookmarkStart w:id="1800" w:name="_Toc485645852"/>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710CDF89" w14:textId="77777777" w:rsidR="005202AC" w:rsidRPr="005202AC" w:rsidRDefault="005202AC" w:rsidP="003301D6">
      <w:pPr>
        <w:pStyle w:val="Odsekzoznamu"/>
        <w:keepNext/>
        <w:keepLines/>
        <w:numPr>
          <w:ilvl w:val="0"/>
          <w:numId w:val="21"/>
        </w:numPr>
        <w:spacing w:after="0" w:line="360" w:lineRule="auto"/>
        <w:contextualSpacing w:val="0"/>
        <w:outlineLvl w:val="1"/>
        <w:rPr>
          <w:rFonts w:ascii="Times New Roman" w:eastAsiaTheme="majorEastAsia" w:hAnsi="Times New Roman" w:cstheme="majorBidi"/>
          <w:b/>
          <w:vanish/>
          <w:sz w:val="24"/>
          <w:szCs w:val="26"/>
        </w:rPr>
      </w:pPr>
      <w:bookmarkStart w:id="1801" w:name="_Toc437862888"/>
      <w:bookmarkStart w:id="1802" w:name="_Toc437877474"/>
      <w:bookmarkStart w:id="1803" w:name="_Toc437877672"/>
      <w:bookmarkStart w:id="1804" w:name="_Toc437877872"/>
      <w:bookmarkStart w:id="1805" w:name="_Toc437878072"/>
      <w:bookmarkStart w:id="1806" w:name="_Toc437878275"/>
      <w:bookmarkStart w:id="1807" w:name="_Toc437878479"/>
      <w:bookmarkStart w:id="1808" w:name="_Toc437878683"/>
      <w:bookmarkStart w:id="1809" w:name="_Toc437878887"/>
      <w:bookmarkStart w:id="1810" w:name="_Toc439150049"/>
      <w:bookmarkStart w:id="1811" w:name="_Toc439150405"/>
      <w:bookmarkStart w:id="1812" w:name="_Toc439150604"/>
      <w:bookmarkStart w:id="1813" w:name="_Toc485645694"/>
      <w:bookmarkStart w:id="1814" w:name="_Toc485645853"/>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15E876AB" w14:textId="77777777" w:rsidR="005202AC" w:rsidRPr="005202AC" w:rsidRDefault="005202AC" w:rsidP="003301D6">
      <w:pPr>
        <w:pStyle w:val="Odsekzoznamu"/>
        <w:keepNext/>
        <w:keepLines/>
        <w:numPr>
          <w:ilvl w:val="0"/>
          <w:numId w:val="21"/>
        </w:numPr>
        <w:spacing w:after="0" w:line="360" w:lineRule="auto"/>
        <w:contextualSpacing w:val="0"/>
        <w:outlineLvl w:val="1"/>
        <w:rPr>
          <w:rFonts w:ascii="Times New Roman" w:eastAsiaTheme="majorEastAsia" w:hAnsi="Times New Roman" w:cstheme="majorBidi"/>
          <w:b/>
          <w:vanish/>
          <w:sz w:val="24"/>
          <w:szCs w:val="26"/>
        </w:rPr>
      </w:pPr>
      <w:bookmarkStart w:id="1815" w:name="_Toc437862889"/>
      <w:bookmarkStart w:id="1816" w:name="_Toc437877475"/>
      <w:bookmarkStart w:id="1817" w:name="_Toc437877673"/>
      <w:bookmarkStart w:id="1818" w:name="_Toc437877873"/>
      <w:bookmarkStart w:id="1819" w:name="_Toc437878073"/>
      <w:bookmarkStart w:id="1820" w:name="_Toc437878276"/>
      <w:bookmarkStart w:id="1821" w:name="_Toc437878480"/>
      <w:bookmarkStart w:id="1822" w:name="_Toc437878684"/>
      <w:bookmarkStart w:id="1823" w:name="_Toc437878888"/>
      <w:bookmarkStart w:id="1824" w:name="_Toc439150050"/>
      <w:bookmarkStart w:id="1825" w:name="_Toc439150406"/>
      <w:bookmarkStart w:id="1826" w:name="_Toc439150605"/>
      <w:bookmarkStart w:id="1827" w:name="_Toc485645695"/>
      <w:bookmarkStart w:id="1828" w:name="_Toc48564585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121D472E" w14:textId="77777777" w:rsidR="005202AC" w:rsidRPr="005202AC" w:rsidRDefault="005202AC" w:rsidP="003301D6">
      <w:pPr>
        <w:pStyle w:val="Odsekzoznamu"/>
        <w:keepNext/>
        <w:keepLines/>
        <w:numPr>
          <w:ilvl w:val="0"/>
          <w:numId w:val="21"/>
        </w:numPr>
        <w:spacing w:after="0" w:line="360" w:lineRule="auto"/>
        <w:contextualSpacing w:val="0"/>
        <w:outlineLvl w:val="1"/>
        <w:rPr>
          <w:rFonts w:ascii="Times New Roman" w:eastAsiaTheme="majorEastAsia" w:hAnsi="Times New Roman" w:cstheme="majorBidi"/>
          <w:b/>
          <w:vanish/>
          <w:sz w:val="24"/>
          <w:szCs w:val="26"/>
        </w:rPr>
      </w:pPr>
      <w:bookmarkStart w:id="1829" w:name="_Toc437862890"/>
      <w:bookmarkStart w:id="1830" w:name="_Toc437877476"/>
      <w:bookmarkStart w:id="1831" w:name="_Toc437877674"/>
      <w:bookmarkStart w:id="1832" w:name="_Toc437877874"/>
      <w:bookmarkStart w:id="1833" w:name="_Toc437878074"/>
      <w:bookmarkStart w:id="1834" w:name="_Toc437878277"/>
      <w:bookmarkStart w:id="1835" w:name="_Toc437878481"/>
      <w:bookmarkStart w:id="1836" w:name="_Toc437878685"/>
      <w:bookmarkStart w:id="1837" w:name="_Toc437878889"/>
      <w:bookmarkStart w:id="1838" w:name="_Toc439150051"/>
      <w:bookmarkStart w:id="1839" w:name="_Toc439150407"/>
      <w:bookmarkStart w:id="1840" w:name="_Toc439150606"/>
      <w:bookmarkStart w:id="1841" w:name="_Toc485645696"/>
      <w:bookmarkStart w:id="1842" w:name="_Toc485645855"/>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08406703" w14:textId="77777777" w:rsidR="005202AC" w:rsidRPr="005202AC" w:rsidRDefault="005202AC" w:rsidP="003301D6">
      <w:pPr>
        <w:pStyle w:val="Odsekzoznamu"/>
        <w:keepNext/>
        <w:keepLines/>
        <w:numPr>
          <w:ilvl w:val="0"/>
          <w:numId w:val="21"/>
        </w:numPr>
        <w:spacing w:after="0" w:line="360" w:lineRule="auto"/>
        <w:contextualSpacing w:val="0"/>
        <w:outlineLvl w:val="1"/>
        <w:rPr>
          <w:rFonts w:ascii="Times New Roman" w:eastAsiaTheme="majorEastAsia" w:hAnsi="Times New Roman" w:cstheme="majorBidi"/>
          <w:b/>
          <w:vanish/>
          <w:sz w:val="24"/>
          <w:szCs w:val="26"/>
        </w:rPr>
      </w:pPr>
      <w:bookmarkStart w:id="1843" w:name="_Toc437862891"/>
      <w:bookmarkStart w:id="1844" w:name="_Toc437877477"/>
      <w:bookmarkStart w:id="1845" w:name="_Toc437877675"/>
      <w:bookmarkStart w:id="1846" w:name="_Toc437877875"/>
      <w:bookmarkStart w:id="1847" w:name="_Toc437878075"/>
      <w:bookmarkStart w:id="1848" w:name="_Toc437878278"/>
      <w:bookmarkStart w:id="1849" w:name="_Toc437878482"/>
      <w:bookmarkStart w:id="1850" w:name="_Toc437878686"/>
      <w:bookmarkStart w:id="1851" w:name="_Toc437878890"/>
      <w:bookmarkStart w:id="1852" w:name="_Toc439150052"/>
      <w:bookmarkStart w:id="1853" w:name="_Toc439150408"/>
      <w:bookmarkStart w:id="1854" w:name="_Toc439150607"/>
      <w:bookmarkStart w:id="1855" w:name="_Toc485645697"/>
      <w:bookmarkStart w:id="1856" w:name="_Toc485645856"/>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29BC9384" w14:textId="77777777" w:rsidR="005202AC" w:rsidRPr="005202AC" w:rsidRDefault="005202AC" w:rsidP="003301D6">
      <w:pPr>
        <w:pStyle w:val="Odsekzoznamu"/>
        <w:keepNext/>
        <w:keepLines/>
        <w:numPr>
          <w:ilvl w:val="1"/>
          <w:numId w:val="21"/>
        </w:numPr>
        <w:spacing w:after="0" w:line="360" w:lineRule="auto"/>
        <w:contextualSpacing w:val="0"/>
        <w:outlineLvl w:val="1"/>
        <w:rPr>
          <w:rFonts w:ascii="Times New Roman" w:eastAsiaTheme="majorEastAsia" w:hAnsi="Times New Roman" w:cstheme="majorBidi"/>
          <w:b/>
          <w:vanish/>
          <w:sz w:val="24"/>
          <w:szCs w:val="26"/>
        </w:rPr>
      </w:pPr>
      <w:bookmarkStart w:id="1857" w:name="_Toc437862892"/>
      <w:bookmarkStart w:id="1858" w:name="_Toc437877478"/>
      <w:bookmarkStart w:id="1859" w:name="_Toc437877676"/>
      <w:bookmarkStart w:id="1860" w:name="_Toc437877876"/>
      <w:bookmarkStart w:id="1861" w:name="_Toc437878076"/>
      <w:bookmarkStart w:id="1862" w:name="_Toc437878279"/>
      <w:bookmarkStart w:id="1863" w:name="_Toc437878483"/>
      <w:bookmarkStart w:id="1864" w:name="_Toc437878687"/>
      <w:bookmarkStart w:id="1865" w:name="_Toc437878891"/>
      <w:bookmarkStart w:id="1866" w:name="_Toc439150053"/>
      <w:bookmarkStart w:id="1867" w:name="_Toc439150409"/>
      <w:bookmarkStart w:id="1868" w:name="_Toc439150608"/>
      <w:bookmarkStart w:id="1869" w:name="_Toc485645698"/>
      <w:bookmarkStart w:id="1870" w:name="_Toc485645857"/>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273F5FC" w14:textId="77777777" w:rsidR="005202AC" w:rsidRPr="005202AC" w:rsidRDefault="005202AC" w:rsidP="003301D6">
      <w:pPr>
        <w:pStyle w:val="Odsekzoznamu"/>
        <w:keepNext/>
        <w:keepLines/>
        <w:numPr>
          <w:ilvl w:val="1"/>
          <w:numId w:val="21"/>
        </w:numPr>
        <w:spacing w:after="0" w:line="360" w:lineRule="auto"/>
        <w:contextualSpacing w:val="0"/>
        <w:outlineLvl w:val="1"/>
        <w:rPr>
          <w:rFonts w:ascii="Times New Roman" w:eastAsiaTheme="majorEastAsia" w:hAnsi="Times New Roman" w:cstheme="majorBidi"/>
          <w:b/>
          <w:vanish/>
          <w:sz w:val="24"/>
          <w:szCs w:val="26"/>
        </w:rPr>
      </w:pPr>
      <w:bookmarkStart w:id="1871" w:name="_Toc437862893"/>
      <w:bookmarkStart w:id="1872" w:name="_Toc437877479"/>
      <w:bookmarkStart w:id="1873" w:name="_Toc437877677"/>
      <w:bookmarkStart w:id="1874" w:name="_Toc437877877"/>
      <w:bookmarkStart w:id="1875" w:name="_Toc437878077"/>
      <w:bookmarkStart w:id="1876" w:name="_Toc437878280"/>
      <w:bookmarkStart w:id="1877" w:name="_Toc437878484"/>
      <w:bookmarkStart w:id="1878" w:name="_Toc437878688"/>
      <w:bookmarkStart w:id="1879" w:name="_Toc437878892"/>
      <w:bookmarkStart w:id="1880" w:name="_Toc439150054"/>
      <w:bookmarkStart w:id="1881" w:name="_Toc439150410"/>
      <w:bookmarkStart w:id="1882" w:name="_Toc439150609"/>
      <w:bookmarkStart w:id="1883" w:name="_Toc485645699"/>
      <w:bookmarkStart w:id="1884" w:name="_Toc485645858"/>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75B0A5E0" w14:textId="77777777" w:rsidR="005202AC" w:rsidRPr="005202AC" w:rsidRDefault="005202AC" w:rsidP="003301D6">
      <w:pPr>
        <w:pStyle w:val="Odsekzoznamu"/>
        <w:keepNext/>
        <w:keepLines/>
        <w:numPr>
          <w:ilvl w:val="1"/>
          <w:numId w:val="21"/>
        </w:numPr>
        <w:spacing w:after="0" w:line="360" w:lineRule="auto"/>
        <w:contextualSpacing w:val="0"/>
        <w:outlineLvl w:val="1"/>
        <w:rPr>
          <w:rFonts w:ascii="Times New Roman" w:eastAsiaTheme="majorEastAsia" w:hAnsi="Times New Roman" w:cstheme="majorBidi"/>
          <w:b/>
          <w:vanish/>
          <w:sz w:val="24"/>
          <w:szCs w:val="26"/>
        </w:rPr>
      </w:pPr>
      <w:bookmarkStart w:id="1885" w:name="_Toc437862894"/>
      <w:bookmarkStart w:id="1886" w:name="_Toc437877480"/>
      <w:bookmarkStart w:id="1887" w:name="_Toc437877678"/>
      <w:bookmarkStart w:id="1888" w:name="_Toc437877878"/>
      <w:bookmarkStart w:id="1889" w:name="_Toc437878078"/>
      <w:bookmarkStart w:id="1890" w:name="_Toc437878281"/>
      <w:bookmarkStart w:id="1891" w:name="_Toc437878485"/>
      <w:bookmarkStart w:id="1892" w:name="_Toc437878689"/>
      <w:bookmarkStart w:id="1893" w:name="_Toc437878893"/>
      <w:bookmarkStart w:id="1894" w:name="_Toc439150055"/>
      <w:bookmarkStart w:id="1895" w:name="_Toc439150411"/>
      <w:bookmarkStart w:id="1896" w:name="_Toc439150610"/>
      <w:bookmarkStart w:id="1897" w:name="_Toc485645700"/>
      <w:bookmarkStart w:id="1898" w:name="_Toc485645859"/>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14D880B5" w14:textId="77777777" w:rsidR="00B35194" w:rsidRPr="00891B13" w:rsidRDefault="00B35194" w:rsidP="003301D6">
      <w:pPr>
        <w:pStyle w:val="Nadpis2"/>
        <w:numPr>
          <w:ilvl w:val="2"/>
          <w:numId w:val="21"/>
        </w:numPr>
        <w:ind w:hanging="11"/>
      </w:pPr>
      <w:bookmarkStart w:id="1899" w:name="_Toc485645860"/>
      <w:r w:rsidRPr="00891B13">
        <w:t xml:space="preserve">Opis </w:t>
      </w:r>
      <w:r w:rsidR="00493BB5" w:rsidRPr="00891B13">
        <w:t>monitorovania a hodnotenia</w:t>
      </w:r>
      <w:r w:rsidRPr="00891B13">
        <w:t xml:space="preserve"> stratégie CLLD</w:t>
      </w:r>
      <w:bookmarkEnd w:id="1899"/>
    </w:p>
    <w:p w14:paraId="50CE5CD2" w14:textId="77777777" w:rsidR="00512FE8" w:rsidRPr="00891B13" w:rsidRDefault="00512FE8" w:rsidP="00E37887">
      <w:pPr>
        <w:pStyle w:val="Odsekzoznamu"/>
        <w:spacing w:after="0" w:line="360" w:lineRule="auto"/>
        <w:ind w:left="1224"/>
        <w:rPr>
          <w:rFonts w:ascii="Times New Roman" w:hAnsi="Times New Roman" w:cs="Times New Roman"/>
          <w:b/>
          <w:sz w:val="24"/>
          <w:szCs w:val="24"/>
        </w:rPr>
      </w:pPr>
    </w:p>
    <w:p w14:paraId="17CBBF8E" w14:textId="77777777" w:rsidR="0082111F" w:rsidRPr="000905B7" w:rsidRDefault="0082111F" w:rsidP="00821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905B7">
        <w:rPr>
          <w:rFonts w:ascii="Times New Roman" w:hAnsi="Times New Roman" w:cs="Times New Roman"/>
          <w:sz w:val="24"/>
          <w:szCs w:val="24"/>
        </w:rPr>
        <w:t>Pre potreby zabezpečenia monitorovania a hodnotenia stratégie</w:t>
      </w:r>
      <w:r>
        <w:rPr>
          <w:rFonts w:ascii="Times New Roman" w:hAnsi="Times New Roman" w:cs="Times New Roman"/>
          <w:sz w:val="24"/>
          <w:szCs w:val="24"/>
        </w:rPr>
        <w:t xml:space="preserve"> CLLD</w:t>
      </w:r>
      <w:r w:rsidRPr="000905B7">
        <w:rPr>
          <w:rFonts w:ascii="Times New Roman" w:hAnsi="Times New Roman" w:cs="Times New Roman"/>
          <w:sz w:val="24"/>
          <w:szCs w:val="24"/>
        </w:rPr>
        <w:t xml:space="preserve"> boli zostavené</w:t>
      </w:r>
      <w:r>
        <w:rPr>
          <w:rFonts w:ascii="Times New Roman" w:hAnsi="Times New Roman" w:cs="Times New Roman"/>
          <w:sz w:val="24"/>
          <w:szCs w:val="24"/>
        </w:rPr>
        <w:t xml:space="preserve"> </w:t>
      </w:r>
      <w:r w:rsidRPr="000905B7">
        <w:rPr>
          <w:rFonts w:ascii="Times New Roman" w:hAnsi="Times New Roman" w:cs="Times New Roman"/>
          <w:sz w:val="24"/>
          <w:szCs w:val="24"/>
        </w:rPr>
        <w:t>monitorovacie a hodnotiace ukazovatele na úrovni strategického cieľa, špecifických cieľov</w:t>
      </w:r>
      <w:r>
        <w:rPr>
          <w:rFonts w:ascii="Times New Roman" w:hAnsi="Times New Roman" w:cs="Times New Roman"/>
          <w:sz w:val="24"/>
          <w:szCs w:val="24"/>
        </w:rPr>
        <w:t xml:space="preserve"> </w:t>
      </w:r>
      <w:r w:rsidRPr="000905B7">
        <w:rPr>
          <w:rFonts w:ascii="Times New Roman" w:hAnsi="Times New Roman" w:cs="Times New Roman"/>
          <w:sz w:val="24"/>
          <w:szCs w:val="24"/>
        </w:rPr>
        <w:t xml:space="preserve">a opatrení. </w:t>
      </w:r>
      <w:r w:rsidRPr="002F14FF">
        <w:rPr>
          <w:rFonts w:ascii="Times New Roman" w:hAnsi="Times New Roman" w:cs="Times New Roman"/>
          <w:sz w:val="24"/>
          <w:szCs w:val="24"/>
        </w:rPr>
        <w:t>Tabuľka 5.3.1</w:t>
      </w:r>
      <w:r w:rsidRPr="000905B7">
        <w:rPr>
          <w:rFonts w:ascii="Times New Roman" w:hAnsi="Times New Roman" w:cs="Times New Roman"/>
          <w:sz w:val="24"/>
          <w:szCs w:val="24"/>
        </w:rPr>
        <w:t xml:space="preserve"> zahŕňa práve tieto stanovené dodatočné monitorovacie ukazovatele</w:t>
      </w:r>
      <w:r>
        <w:rPr>
          <w:rFonts w:ascii="Times New Roman" w:hAnsi="Times New Roman" w:cs="Times New Roman"/>
          <w:sz w:val="24"/>
          <w:szCs w:val="24"/>
        </w:rPr>
        <w:t xml:space="preserve"> </w:t>
      </w:r>
      <w:r w:rsidRPr="000905B7">
        <w:rPr>
          <w:rFonts w:ascii="Times New Roman" w:hAnsi="Times New Roman" w:cs="Times New Roman"/>
          <w:sz w:val="24"/>
          <w:szCs w:val="24"/>
        </w:rPr>
        <w:t xml:space="preserve">hodnotenia </w:t>
      </w:r>
      <w:r>
        <w:rPr>
          <w:rFonts w:ascii="Times New Roman" w:hAnsi="Times New Roman" w:cs="Times New Roman"/>
          <w:sz w:val="24"/>
          <w:szCs w:val="24"/>
        </w:rPr>
        <w:t>stratégie</w:t>
      </w:r>
      <w:r w:rsidRPr="000905B7">
        <w:rPr>
          <w:rFonts w:ascii="Times New Roman" w:hAnsi="Times New Roman" w:cs="Times New Roman"/>
          <w:sz w:val="24"/>
          <w:szCs w:val="24"/>
        </w:rPr>
        <w:t xml:space="preserve"> Kopaničiarsky región – miestna akčná skupina.</w:t>
      </w:r>
    </w:p>
    <w:p w14:paraId="7E806733" w14:textId="77777777" w:rsidR="0082111F" w:rsidRDefault="0082111F" w:rsidP="00821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905B7">
        <w:rPr>
          <w:rFonts w:ascii="Times New Roman" w:hAnsi="Times New Roman" w:cs="Times New Roman"/>
          <w:sz w:val="24"/>
          <w:szCs w:val="24"/>
        </w:rPr>
        <w:t>Z časovej frekvencie monitorovania výstupov, výsledkov a dopadov na jednotlivých</w:t>
      </w:r>
      <w:r>
        <w:rPr>
          <w:rFonts w:ascii="Times New Roman" w:hAnsi="Times New Roman" w:cs="Times New Roman"/>
          <w:sz w:val="24"/>
          <w:szCs w:val="24"/>
        </w:rPr>
        <w:t xml:space="preserve"> </w:t>
      </w:r>
      <w:r w:rsidRPr="000905B7">
        <w:rPr>
          <w:rFonts w:ascii="Times New Roman" w:hAnsi="Times New Roman" w:cs="Times New Roman"/>
          <w:sz w:val="24"/>
          <w:szCs w:val="24"/>
        </w:rPr>
        <w:t xml:space="preserve">úrovniach sa bude sledovať hodnotenie strategického cieľa na konci </w:t>
      </w:r>
      <w:r w:rsidRPr="006E7A3C">
        <w:rPr>
          <w:rFonts w:ascii="Times New Roman" w:hAnsi="Times New Roman" w:cs="Times New Roman"/>
          <w:sz w:val="24"/>
          <w:szCs w:val="24"/>
        </w:rPr>
        <w:t>roku 2020 a po ukončení implementácie programu v roku 2022, hodnotenie špecifických cieľov sa bude</w:t>
      </w:r>
      <w:r w:rsidRPr="000905B7">
        <w:rPr>
          <w:rFonts w:ascii="Times New Roman" w:hAnsi="Times New Roman" w:cs="Times New Roman"/>
          <w:sz w:val="24"/>
          <w:szCs w:val="24"/>
        </w:rPr>
        <w:t xml:space="preserve"> sledovať raz</w:t>
      </w:r>
      <w:r>
        <w:rPr>
          <w:rFonts w:ascii="Times New Roman" w:hAnsi="Times New Roman" w:cs="Times New Roman"/>
          <w:sz w:val="24"/>
          <w:szCs w:val="24"/>
        </w:rPr>
        <w:t xml:space="preserve"> </w:t>
      </w:r>
      <w:r w:rsidRPr="000905B7">
        <w:rPr>
          <w:rFonts w:ascii="Times New Roman" w:hAnsi="Times New Roman" w:cs="Times New Roman"/>
          <w:sz w:val="24"/>
          <w:szCs w:val="24"/>
        </w:rPr>
        <w:t>ročne a monitorovacie ukazovatele sa budú monitorovať pri každej žiadosti príjemcov</w:t>
      </w:r>
      <w:r>
        <w:rPr>
          <w:rFonts w:ascii="Times New Roman" w:hAnsi="Times New Roman" w:cs="Times New Roman"/>
          <w:sz w:val="24"/>
          <w:szCs w:val="24"/>
        </w:rPr>
        <w:t xml:space="preserve"> </w:t>
      </w:r>
      <w:r w:rsidRPr="000905B7">
        <w:rPr>
          <w:rFonts w:ascii="Times New Roman" w:hAnsi="Times New Roman" w:cs="Times New Roman"/>
          <w:sz w:val="24"/>
          <w:szCs w:val="24"/>
        </w:rPr>
        <w:t>pomoci o platbu.</w:t>
      </w:r>
    </w:p>
    <w:p w14:paraId="1F040DB5" w14:textId="77777777" w:rsidR="005B0404" w:rsidRPr="008951E2" w:rsidRDefault="005B0404" w:rsidP="0082111F">
      <w:pPr>
        <w:spacing w:after="0" w:line="360" w:lineRule="auto"/>
        <w:jc w:val="both"/>
        <w:rPr>
          <w:rFonts w:ascii="Times New Roman" w:hAnsi="Times New Roman" w:cs="Times New Roman"/>
          <w:b/>
          <w:sz w:val="20"/>
          <w:szCs w:val="20"/>
        </w:rPr>
      </w:pPr>
    </w:p>
    <w:p w14:paraId="798EAE18" w14:textId="77777777" w:rsidR="0082111F" w:rsidRPr="008951E2" w:rsidRDefault="0082111F" w:rsidP="0082111F">
      <w:pPr>
        <w:spacing w:after="0" w:line="360" w:lineRule="auto"/>
        <w:jc w:val="both"/>
        <w:rPr>
          <w:rFonts w:ascii="Times New Roman" w:hAnsi="Times New Roman" w:cs="Times New Roman"/>
          <w:b/>
          <w:sz w:val="20"/>
          <w:szCs w:val="20"/>
        </w:rPr>
      </w:pPr>
      <w:r w:rsidRPr="008951E2">
        <w:rPr>
          <w:rFonts w:ascii="Times New Roman" w:hAnsi="Times New Roman" w:cs="Times New Roman"/>
          <w:b/>
          <w:sz w:val="20"/>
          <w:szCs w:val="20"/>
        </w:rPr>
        <w:t>Tabuľka 5.3.1 Dodatočné monitorovacie ukazovatele</w:t>
      </w:r>
    </w:p>
    <w:tbl>
      <w:tblPr>
        <w:tblW w:w="0" w:type="auto"/>
        <w:tblCellMar>
          <w:left w:w="0" w:type="dxa"/>
          <w:right w:w="0" w:type="dxa"/>
        </w:tblCellMar>
        <w:tblLook w:val="04A0" w:firstRow="1" w:lastRow="0" w:firstColumn="1" w:lastColumn="0" w:noHBand="0" w:noVBand="1"/>
      </w:tblPr>
      <w:tblGrid>
        <w:gridCol w:w="2426"/>
        <w:gridCol w:w="1955"/>
        <w:gridCol w:w="1418"/>
        <w:gridCol w:w="1389"/>
        <w:gridCol w:w="2100"/>
      </w:tblGrid>
      <w:tr w:rsidR="00BE32B7" w:rsidRPr="00FD73BF" w14:paraId="393F2858" w14:textId="77777777" w:rsidTr="00FD73BF">
        <w:tc>
          <w:tcPr>
            <w:tcW w:w="26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B9CAA6" w14:textId="77777777" w:rsidR="00BE32B7" w:rsidRPr="00FD73BF" w:rsidRDefault="00BE32B7" w:rsidP="00F843FA">
            <w:pPr>
              <w:spacing w:after="0"/>
              <w:jc w:val="center"/>
              <w:rPr>
                <w:rStyle w:val="Intenzvnezvraznenie"/>
                <w:rFonts w:ascii="Calibri" w:hAnsi="Calibri"/>
                <w:i w:val="0"/>
                <w:iCs w:val="0"/>
                <w:color w:val="auto"/>
              </w:rPr>
            </w:pPr>
            <w:r w:rsidRPr="00FD73BF">
              <w:rPr>
                <w:rStyle w:val="Intenzvnezvraznenie"/>
                <w:rFonts w:ascii="Times New Roman" w:hAnsi="Times New Roman"/>
                <w:i w:val="0"/>
                <w:iCs w:val="0"/>
                <w:color w:val="auto"/>
                <w:sz w:val="20"/>
                <w:szCs w:val="20"/>
              </w:rPr>
              <w:t>Úroveň</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A02CED" w14:textId="77777777" w:rsidR="00BE32B7" w:rsidRPr="00FD73BF" w:rsidRDefault="00BE32B7" w:rsidP="00F843FA">
            <w:pPr>
              <w:spacing w:after="0"/>
              <w:jc w:val="center"/>
              <w:rPr>
                <w:rStyle w:val="Intenzvnezvraznenie"/>
                <w:rFonts w:ascii="Calibri" w:hAnsi="Calibri" w:cs="Times New Roman"/>
                <w:i w:val="0"/>
                <w:iCs w:val="0"/>
                <w:color w:val="auto"/>
                <w:sz w:val="20"/>
                <w:szCs w:val="20"/>
              </w:rPr>
            </w:pPr>
            <w:r w:rsidRPr="00FD73BF">
              <w:rPr>
                <w:rStyle w:val="Intenzvnezvraznenie"/>
                <w:rFonts w:ascii="Times New Roman" w:hAnsi="Times New Roman"/>
                <w:i w:val="0"/>
                <w:iCs w:val="0"/>
                <w:color w:val="auto"/>
                <w:sz w:val="20"/>
                <w:szCs w:val="20"/>
              </w:rPr>
              <w:t>Ukazovateľ</w:t>
            </w:r>
          </w:p>
          <w:p w14:paraId="3EE86C38" w14:textId="77777777" w:rsidR="00BE32B7" w:rsidRPr="00FD73BF" w:rsidRDefault="00BE32B7" w:rsidP="00F843FA">
            <w:pPr>
              <w:spacing w:after="0"/>
              <w:jc w:val="center"/>
              <w:rPr>
                <w:rStyle w:val="Intenzvnezvraznenie"/>
                <w:rFonts w:ascii="Times New Roman" w:hAnsi="Times New Roman"/>
                <w:i w:val="0"/>
                <w:iCs w:val="0"/>
                <w:color w:val="auto"/>
                <w:sz w:val="20"/>
                <w:szCs w:val="20"/>
              </w:rPr>
            </w:pPr>
            <w:r w:rsidRPr="00FD73BF">
              <w:rPr>
                <w:rStyle w:val="Intenzvnezvraznenie"/>
                <w:rFonts w:ascii="Times New Roman" w:hAnsi="Times New Roman"/>
                <w:i w:val="0"/>
                <w:iCs w:val="0"/>
                <w:color w:val="auto"/>
                <w:sz w:val="20"/>
                <w:szCs w:val="20"/>
              </w:rPr>
              <w:t>(názov a merná</w:t>
            </w:r>
          </w:p>
          <w:p w14:paraId="758C7E60" w14:textId="77777777" w:rsidR="00BE32B7" w:rsidRPr="00FD73BF" w:rsidRDefault="00BE32B7" w:rsidP="00F843FA">
            <w:pPr>
              <w:spacing w:after="0"/>
              <w:jc w:val="center"/>
              <w:rPr>
                <w:rStyle w:val="Intenzvnezvraznenie"/>
                <w:rFonts w:ascii="Calibri" w:hAnsi="Calibri"/>
                <w:i w:val="0"/>
                <w:iCs w:val="0"/>
                <w:color w:val="auto"/>
              </w:rPr>
            </w:pPr>
            <w:r w:rsidRPr="00FD73BF">
              <w:rPr>
                <w:rStyle w:val="Intenzvnezvraznenie"/>
                <w:rFonts w:ascii="Times New Roman" w:hAnsi="Times New Roman"/>
                <w:i w:val="0"/>
                <w:iCs w:val="0"/>
                <w:color w:val="auto"/>
                <w:sz w:val="20"/>
                <w:szCs w:val="20"/>
              </w:rPr>
              <w:t>jednotka)</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D92781" w14:textId="77777777" w:rsidR="00BE32B7" w:rsidRPr="00FD73BF" w:rsidRDefault="00BE32B7" w:rsidP="00F843FA">
            <w:pPr>
              <w:spacing w:after="0"/>
              <w:jc w:val="center"/>
              <w:rPr>
                <w:rStyle w:val="Intenzvnezvraznenie"/>
                <w:rFonts w:ascii="Calibri" w:hAnsi="Calibri" w:cs="Times New Roman"/>
                <w:i w:val="0"/>
                <w:iCs w:val="0"/>
                <w:color w:val="auto"/>
                <w:sz w:val="20"/>
                <w:szCs w:val="20"/>
              </w:rPr>
            </w:pPr>
            <w:r w:rsidRPr="00FD73BF">
              <w:rPr>
                <w:rStyle w:val="Intenzvnezvraznenie"/>
                <w:rFonts w:ascii="Times New Roman" w:hAnsi="Times New Roman"/>
                <w:i w:val="0"/>
                <w:iCs w:val="0"/>
                <w:color w:val="auto"/>
                <w:sz w:val="20"/>
                <w:szCs w:val="20"/>
              </w:rPr>
              <w:t>Východiskový</w:t>
            </w:r>
          </w:p>
          <w:p w14:paraId="0ACD58CF" w14:textId="77777777" w:rsidR="00BE32B7" w:rsidRPr="00FD73BF" w:rsidRDefault="00BE32B7" w:rsidP="00F843FA">
            <w:pPr>
              <w:spacing w:after="0"/>
              <w:jc w:val="center"/>
              <w:rPr>
                <w:rStyle w:val="Intenzvnezvraznenie"/>
                <w:rFonts w:ascii="Calibri" w:hAnsi="Calibri"/>
                <w:i w:val="0"/>
                <w:iCs w:val="0"/>
                <w:color w:val="auto"/>
              </w:rPr>
            </w:pPr>
            <w:r w:rsidRPr="00FD73BF">
              <w:rPr>
                <w:rStyle w:val="Intenzvnezvraznenie"/>
                <w:rFonts w:ascii="Times New Roman" w:hAnsi="Times New Roman"/>
                <w:i w:val="0"/>
                <w:iCs w:val="0"/>
                <w:color w:val="auto"/>
                <w:sz w:val="20"/>
                <w:szCs w:val="20"/>
              </w:rPr>
              <w:t>stav</w:t>
            </w:r>
          </w:p>
        </w:tc>
        <w:tc>
          <w:tcPr>
            <w:tcW w:w="1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D4A19E" w14:textId="77777777" w:rsidR="00BE32B7" w:rsidRPr="00FD73BF" w:rsidRDefault="00BE32B7" w:rsidP="00F843FA">
            <w:pPr>
              <w:spacing w:after="0"/>
              <w:jc w:val="center"/>
              <w:rPr>
                <w:rStyle w:val="Intenzvnezvraznenie"/>
                <w:rFonts w:ascii="Calibri" w:hAnsi="Calibri" w:cs="Times New Roman"/>
                <w:i w:val="0"/>
                <w:iCs w:val="0"/>
                <w:color w:val="auto"/>
                <w:sz w:val="20"/>
                <w:szCs w:val="20"/>
              </w:rPr>
            </w:pPr>
            <w:r w:rsidRPr="00FD73BF">
              <w:rPr>
                <w:rStyle w:val="Intenzvnezvraznenie"/>
                <w:rFonts w:ascii="Times New Roman" w:hAnsi="Times New Roman"/>
                <w:i w:val="0"/>
                <w:iCs w:val="0"/>
                <w:color w:val="auto"/>
                <w:sz w:val="20"/>
                <w:szCs w:val="20"/>
              </w:rPr>
              <w:t>Cieľová hodnota</w:t>
            </w:r>
          </w:p>
          <w:p w14:paraId="3248E884" w14:textId="77777777" w:rsidR="00BE32B7" w:rsidRPr="00FD73BF" w:rsidRDefault="00BE32B7" w:rsidP="00F843FA">
            <w:pPr>
              <w:spacing w:after="0"/>
              <w:jc w:val="center"/>
              <w:rPr>
                <w:rStyle w:val="Intenzvnezvraznenie"/>
                <w:rFonts w:ascii="Times New Roman" w:hAnsi="Times New Roman"/>
                <w:i w:val="0"/>
                <w:iCs w:val="0"/>
                <w:color w:val="auto"/>
                <w:sz w:val="20"/>
                <w:szCs w:val="20"/>
              </w:rPr>
            </w:pPr>
            <w:r w:rsidRPr="00FD73BF">
              <w:rPr>
                <w:rStyle w:val="Intenzvnezvraznenie"/>
                <w:rFonts w:ascii="Times New Roman" w:hAnsi="Times New Roman"/>
                <w:i w:val="0"/>
                <w:iCs w:val="0"/>
                <w:color w:val="auto"/>
                <w:sz w:val="20"/>
                <w:szCs w:val="20"/>
              </w:rPr>
              <w:t>ukazovateľa</w:t>
            </w:r>
          </w:p>
          <w:p w14:paraId="320CD9B0" w14:textId="77777777" w:rsidR="00BE32B7" w:rsidRPr="00FD73BF" w:rsidRDefault="00BE32B7" w:rsidP="00F843FA">
            <w:pPr>
              <w:spacing w:after="0"/>
              <w:jc w:val="center"/>
              <w:rPr>
                <w:rStyle w:val="Intenzvnezvraznenie"/>
                <w:rFonts w:ascii="Calibri" w:hAnsi="Calibri"/>
                <w:i w:val="0"/>
                <w:iCs w:val="0"/>
                <w:color w:val="auto"/>
              </w:rPr>
            </w:pPr>
            <w:r w:rsidRPr="00FD73BF">
              <w:rPr>
                <w:rStyle w:val="Intenzvnezvraznenie"/>
                <w:rFonts w:ascii="Times New Roman" w:hAnsi="Times New Roman"/>
                <w:i w:val="0"/>
                <w:iCs w:val="0"/>
                <w:color w:val="auto"/>
                <w:sz w:val="20"/>
                <w:szCs w:val="20"/>
              </w:rPr>
              <w:t>do r. 2020</w:t>
            </w:r>
          </w:p>
        </w:tc>
        <w:tc>
          <w:tcPr>
            <w:tcW w:w="2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7F53A" w14:textId="77777777" w:rsidR="00BE32B7" w:rsidRPr="00FD73BF" w:rsidRDefault="00BE32B7" w:rsidP="00F843FA">
            <w:pPr>
              <w:spacing w:after="0"/>
              <w:jc w:val="center"/>
              <w:rPr>
                <w:rStyle w:val="Intenzvnezvraznenie"/>
                <w:rFonts w:ascii="Calibri" w:hAnsi="Calibri" w:cs="Times New Roman"/>
                <w:i w:val="0"/>
                <w:iCs w:val="0"/>
                <w:color w:val="auto"/>
                <w:sz w:val="20"/>
                <w:szCs w:val="20"/>
              </w:rPr>
            </w:pPr>
            <w:r w:rsidRPr="00FD73BF">
              <w:rPr>
                <w:rStyle w:val="Intenzvnezvraznenie"/>
                <w:rFonts w:ascii="Times New Roman" w:hAnsi="Times New Roman"/>
                <w:i w:val="0"/>
                <w:iCs w:val="0"/>
                <w:color w:val="auto"/>
                <w:sz w:val="20"/>
                <w:szCs w:val="20"/>
              </w:rPr>
              <w:t>Spôsob overovania</w:t>
            </w:r>
          </w:p>
          <w:p w14:paraId="76578610" w14:textId="77777777" w:rsidR="00BE32B7" w:rsidRPr="00FD73BF" w:rsidRDefault="00BE32B7" w:rsidP="00F843FA">
            <w:pPr>
              <w:spacing w:after="0"/>
              <w:jc w:val="center"/>
              <w:rPr>
                <w:rStyle w:val="Intenzvnezvraznenie"/>
                <w:rFonts w:ascii="Times New Roman" w:hAnsi="Times New Roman"/>
                <w:i w:val="0"/>
                <w:iCs w:val="0"/>
                <w:color w:val="auto"/>
                <w:sz w:val="20"/>
                <w:szCs w:val="20"/>
              </w:rPr>
            </w:pPr>
            <w:r w:rsidRPr="00FD73BF">
              <w:rPr>
                <w:rStyle w:val="Intenzvnezvraznenie"/>
                <w:rFonts w:ascii="Times New Roman" w:hAnsi="Times New Roman"/>
                <w:i w:val="0"/>
                <w:iCs w:val="0"/>
                <w:color w:val="auto"/>
                <w:sz w:val="20"/>
                <w:szCs w:val="20"/>
              </w:rPr>
              <w:t>a získavania údajov,</w:t>
            </w:r>
          </w:p>
          <w:p w14:paraId="16BF0568" w14:textId="77777777" w:rsidR="00BE32B7" w:rsidRPr="00FD73BF" w:rsidRDefault="00BE32B7" w:rsidP="00F843FA">
            <w:pPr>
              <w:spacing w:after="0"/>
              <w:jc w:val="center"/>
              <w:rPr>
                <w:rStyle w:val="Intenzvnezvraznenie"/>
                <w:rFonts w:ascii="Calibri" w:hAnsi="Calibri"/>
                <w:i w:val="0"/>
                <w:iCs w:val="0"/>
                <w:color w:val="auto"/>
              </w:rPr>
            </w:pPr>
            <w:r w:rsidRPr="00FD73BF">
              <w:rPr>
                <w:rStyle w:val="Intenzvnezvraznenie"/>
                <w:rFonts w:ascii="Times New Roman" w:hAnsi="Times New Roman"/>
                <w:i w:val="0"/>
                <w:iCs w:val="0"/>
                <w:color w:val="auto"/>
                <w:sz w:val="20"/>
                <w:szCs w:val="20"/>
              </w:rPr>
              <w:t>frekvencia zberu</w:t>
            </w:r>
          </w:p>
        </w:tc>
      </w:tr>
      <w:tr w:rsidR="00BE32B7" w:rsidRPr="00FD73BF" w14:paraId="57BAB070"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B8F56" w14:textId="77777777" w:rsidR="00BE32B7" w:rsidRPr="00FD73BF" w:rsidRDefault="00BE32B7" w:rsidP="00F843FA">
            <w:pPr>
              <w:spacing w:after="0"/>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Strategický cieľ:</w:t>
            </w: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3BB6A824" w14:textId="77777777" w:rsidR="00BE32B7" w:rsidRPr="00FD73BF" w:rsidRDefault="00BE32B7">
            <w:pPr>
              <w:jc w:val="center"/>
              <w:rPr>
                <w:rStyle w:val="Intenzvnezvraznenie"/>
                <w:rFonts w:ascii="Calibri" w:hAnsi="Calibri"/>
                <w:b w:val="0"/>
                <w:bCs w:val="0"/>
                <w:color w:val="auto"/>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95D3502" w14:textId="77777777" w:rsidR="00BE32B7" w:rsidRPr="00FD73BF" w:rsidRDefault="00BE32B7">
            <w:pPr>
              <w:jc w:val="center"/>
              <w:rPr>
                <w:rStyle w:val="Intenzvnezvraznenie"/>
                <w:rFonts w:ascii="Calibri" w:hAnsi="Calibri"/>
                <w:b w:val="0"/>
                <w:bCs w:val="0"/>
                <w:color w:val="auto"/>
              </w:rPr>
            </w:pPr>
          </w:p>
        </w:tc>
        <w:tc>
          <w:tcPr>
            <w:tcW w:w="1411" w:type="dxa"/>
            <w:tcBorders>
              <w:top w:val="nil"/>
              <w:left w:val="nil"/>
              <w:bottom w:val="single" w:sz="8" w:space="0" w:color="auto"/>
              <w:right w:val="single" w:sz="8" w:space="0" w:color="auto"/>
            </w:tcBorders>
            <w:tcMar>
              <w:top w:w="0" w:type="dxa"/>
              <w:left w:w="108" w:type="dxa"/>
              <w:bottom w:w="0" w:type="dxa"/>
              <w:right w:w="108" w:type="dxa"/>
            </w:tcMar>
          </w:tcPr>
          <w:p w14:paraId="37C775F4" w14:textId="77777777" w:rsidR="00BE32B7" w:rsidRPr="00FD73BF" w:rsidRDefault="00BE32B7">
            <w:pPr>
              <w:jc w:val="center"/>
              <w:rPr>
                <w:rStyle w:val="Intenzvnezvraznenie"/>
                <w:rFonts w:ascii="Calibri" w:hAnsi="Calibri"/>
                <w:b w:val="0"/>
                <w:bCs w:val="0"/>
                <w:color w:val="auto"/>
              </w:rPr>
            </w:pP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7A04DE84"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Štatistický úrad SR,</w:t>
            </w:r>
          </w:p>
          <w:p w14:paraId="27D955BB"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Krajská správa Trenčín</w:t>
            </w:r>
          </w:p>
        </w:tc>
      </w:tr>
      <w:tr w:rsidR="00BE32B7" w:rsidRPr="00FD73BF" w14:paraId="36B942CE"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0F99CC"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lastRenderedPageBreak/>
              <w:t>Špecifický cieľ 1.1 Zvýšiť kvalitu infraštruktúry a verejných služieb</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618BEA2B" w14:textId="77777777" w:rsidR="00BE32B7" w:rsidRPr="00FD73BF" w:rsidRDefault="00BE32B7" w:rsidP="00F843FA">
            <w:pPr>
              <w:spacing w:after="0"/>
              <w:jc w:val="center"/>
              <w:rPr>
                <w:rStyle w:val="Intenzvnezvraznenie"/>
                <w:rFonts w:ascii="Calibri" w:hAnsi="Calibri" w:cs="Times New Roman"/>
                <w:b w:val="0"/>
                <w:bCs w:val="0"/>
                <w:color w:val="auto"/>
                <w:sz w:val="20"/>
                <w:szCs w:val="20"/>
              </w:rPr>
            </w:pPr>
            <w:r w:rsidRPr="00FD73BF">
              <w:rPr>
                <w:rStyle w:val="Intenzvnezvraznenie"/>
                <w:rFonts w:ascii="Times New Roman" w:hAnsi="Times New Roman"/>
                <w:b w:val="0"/>
                <w:bCs w:val="0"/>
                <w:color w:val="auto"/>
                <w:sz w:val="20"/>
                <w:szCs w:val="20"/>
              </w:rPr>
              <w:t>Počet</w:t>
            </w:r>
          </w:p>
          <w:p w14:paraId="4FA36343" w14:textId="77777777" w:rsidR="00BE32B7" w:rsidRPr="00FD73BF" w:rsidRDefault="00BE32B7" w:rsidP="00F843FA">
            <w:pPr>
              <w:spacing w:after="0"/>
              <w:jc w:val="center"/>
              <w:rPr>
                <w:rStyle w:val="Intenzvnezvraznenie"/>
                <w:rFonts w:ascii="Times New Roman" w:hAnsi="Times New Roman"/>
                <w:b w:val="0"/>
                <w:bCs w:val="0"/>
                <w:color w:val="auto"/>
                <w:sz w:val="20"/>
                <w:szCs w:val="20"/>
              </w:rPr>
            </w:pPr>
            <w:r w:rsidRPr="00FD73BF">
              <w:rPr>
                <w:rStyle w:val="Intenzvnezvraznenie"/>
                <w:rFonts w:ascii="Times New Roman" w:hAnsi="Times New Roman"/>
                <w:b w:val="0"/>
                <w:bCs w:val="0"/>
                <w:color w:val="auto"/>
                <w:sz w:val="20"/>
                <w:szCs w:val="20"/>
              </w:rPr>
              <w:t>prisťahovaných</w:t>
            </w:r>
          </w:p>
          <w:p w14:paraId="4A23F3E8"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obyvateľov (ks)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050DAB4" w14:textId="77777777" w:rsidR="00BE32B7" w:rsidRPr="00FD73BF" w:rsidRDefault="0004490E">
            <w:pPr>
              <w:jc w:val="center"/>
              <w:rPr>
                <w:rStyle w:val="Intenzvnezvraznenie"/>
                <w:rFonts w:ascii="Calibri" w:hAnsi="Calibri"/>
                <w:b w:val="0"/>
                <w:bCs w:val="0"/>
                <w:color w:val="auto"/>
              </w:rPr>
            </w:pPr>
            <w:r>
              <w:rPr>
                <w:rStyle w:val="Intenzvnezvraznenie"/>
                <w:rFonts w:ascii="Calibri" w:hAnsi="Calibri"/>
                <w:b w:val="0"/>
                <w:bCs w:val="0"/>
                <w:color w:val="auto"/>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18E319EA"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500</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5B65D669"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Zber údajov od príjemcov</w:t>
            </w:r>
          </w:p>
          <w:p w14:paraId="6CDF6105"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5099E5B7"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3B0E82B6"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(monitorovacie správy)</w:t>
            </w:r>
          </w:p>
        </w:tc>
      </w:tr>
      <w:tr w:rsidR="00BE32B7" w:rsidRPr="00FD73BF" w14:paraId="56682D4F"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4A5A2"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Špecifický cieľ 1.1 Zvýšiť kvalitu infraštruktúry a verejných služieb</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0933F05" w14:textId="77777777" w:rsidR="00BE32B7" w:rsidRPr="00FD73BF" w:rsidRDefault="00BE32B7" w:rsidP="00F843FA">
            <w:pPr>
              <w:spacing w:after="0"/>
              <w:jc w:val="center"/>
              <w:rPr>
                <w:rStyle w:val="Intenzvnezvraznenie"/>
                <w:rFonts w:ascii="Calibri" w:hAnsi="Calibri"/>
                <w:b w:val="0"/>
                <w:bCs w:val="0"/>
                <w:color w:val="auto"/>
              </w:rPr>
            </w:pPr>
            <w:r w:rsidRPr="00FD73BF">
              <w:rPr>
                <w:rFonts w:ascii="Times New Roman" w:hAnsi="Times New Roman"/>
                <w:sz w:val="20"/>
                <w:szCs w:val="20"/>
              </w:rPr>
              <w:t>Počet investícií do využívania OZE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BE596BB"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11D45DC7" w14:textId="77777777" w:rsidR="00BE32B7" w:rsidRPr="00FD73BF" w:rsidRDefault="0004490E">
            <w:pPr>
              <w:jc w:val="center"/>
              <w:rPr>
                <w:rStyle w:val="Intenzvnezvraznenie"/>
                <w:rFonts w:ascii="Calibri" w:hAnsi="Calibri"/>
                <w:b w:val="0"/>
                <w:bCs w:val="0"/>
                <w:color w:val="auto"/>
              </w:rPr>
            </w:pPr>
            <w:r>
              <w:rPr>
                <w:rStyle w:val="Intenzvnezvraznenie"/>
                <w:rFonts w:ascii="Times New Roman" w:hAnsi="Times New Roman"/>
                <w:b w:val="0"/>
                <w:bCs w:val="0"/>
                <w:color w:val="auto"/>
                <w:sz w:val="20"/>
                <w:szCs w:val="20"/>
              </w:rPr>
              <w:t>1</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1B1E469B"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Zber údajov od príjemcov</w:t>
            </w:r>
          </w:p>
          <w:p w14:paraId="73875B55"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2AC7C078"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4C2F8759"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(monitorovacie správy)</w:t>
            </w:r>
          </w:p>
        </w:tc>
      </w:tr>
      <w:tr w:rsidR="00BE32B7" w:rsidRPr="00FD73BF" w14:paraId="65DF9584"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9F1094" w14:textId="77777777" w:rsidR="00BE32B7" w:rsidRPr="00FD73BF" w:rsidRDefault="00BE32B7">
            <w:pPr>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color w:val="auto"/>
                <w:sz w:val="20"/>
                <w:szCs w:val="20"/>
              </w:rPr>
              <w:t>Špecifický cieľ 1.1 Zvýšiť kvalitu infraštruktúry a verejných služieb</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24BF8A5" w14:textId="77777777" w:rsidR="00BE32B7" w:rsidRPr="00FD73BF" w:rsidRDefault="00BE32B7" w:rsidP="00F843FA">
            <w:pPr>
              <w:spacing w:after="0"/>
              <w:jc w:val="center"/>
              <w:rPr>
                <w:rFonts w:ascii="Calibri" w:hAnsi="Calibri"/>
              </w:rPr>
            </w:pPr>
            <w:r w:rsidRPr="00FD73BF">
              <w:rPr>
                <w:rFonts w:ascii="Times New Roman" w:hAnsi="Times New Roman"/>
                <w:i/>
                <w:iCs/>
                <w:sz w:val="20"/>
                <w:szCs w:val="20"/>
              </w:rPr>
              <w:t>Vidiecka a mestská populácia so zlepšenou infraštruktúrou a prístupom k verejným službám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78ECDF2" w14:textId="77777777" w:rsidR="00BE32B7" w:rsidRPr="00FD73BF" w:rsidRDefault="0004490E">
            <w:pPr>
              <w:jc w:val="center"/>
              <w:rPr>
                <w:rStyle w:val="Intenzvnezvraznenie"/>
                <w:rFonts w:ascii="Calibri" w:hAnsi="Calibri"/>
                <w:b w:val="0"/>
                <w:bCs w:val="0"/>
                <w:color w:val="auto"/>
              </w:rPr>
            </w:pPr>
            <w:r>
              <w:rPr>
                <w:rStyle w:val="Intenzvnezvraznenie"/>
                <w:rFonts w:ascii="Calibri" w:hAnsi="Calibri"/>
                <w:b w:val="0"/>
                <w:bCs w:val="0"/>
                <w:color w:val="auto"/>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tcPr>
          <w:p w14:paraId="6C7FAE6E" w14:textId="77777777" w:rsidR="00BE32B7" w:rsidRPr="00FD73BF" w:rsidRDefault="00647704">
            <w:pPr>
              <w:spacing w:after="60"/>
              <w:jc w:val="center"/>
              <w:rPr>
                <w:rFonts w:ascii="Calibri" w:hAnsi="Calibri" w:cs="Times New Roman"/>
              </w:rPr>
            </w:pPr>
            <w:r>
              <w:rPr>
                <w:rFonts w:ascii="Times New Roman" w:hAnsi="Times New Roman"/>
                <w:sz w:val="20"/>
                <w:szCs w:val="20"/>
              </w:rPr>
              <w:t>35 900</w:t>
            </w:r>
          </w:p>
          <w:p w14:paraId="795392EA" w14:textId="77777777" w:rsidR="00BE32B7" w:rsidRPr="00FD73BF" w:rsidRDefault="00BE32B7">
            <w:pPr>
              <w:jc w:val="center"/>
              <w:rPr>
                <w:rStyle w:val="Intenzvnezvraznenie"/>
                <w:rFonts w:ascii="Calibri" w:hAnsi="Calibri"/>
                <w:b w:val="0"/>
                <w:bCs w:val="0"/>
                <w:color w:val="auto"/>
              </w:rPr>
            </w:pP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16381D03"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Štatistický úrad SR,</w:t>
            </w:r>
          </w:p>
          <w:p w14:paraId="01BDB544"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Krajská správa Trenčín</w:t>
            </w:r>
          </w:p>
        </w:tc>
      </w:tr>
      <w:tr w:rsidR="00BE32B7" w:rsidRPr="00FD73BF" w14:paraId="1AF49E5B"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7E26A"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Špecifický cieľ 1.1 Zvýšiť kvalitu infraštruktúry a verejných služieb</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0B35D7D9" w14:textId="77777777" w:rsidR="00BE32B7" w:rsidRPr="00FD73BF" w:rsidRDefault="00BE32B7" w:rsidP="00F843FA">
            <w:pPr>
              <w:spacing w:after="0"/>
              <w:jc w:val="center"/>
              <w:rPr>
                <w:rFonts w:ascii="Calibri" w:hAnsi="Calibri"/>
              </w:rPr>
            </w:pPr>
            <w:r w:rsidRPr="00FD73BF">
              <w:rPr>
                <w:rFonts w:ascii="Times New Roman" w:hAnsi="Times New Roman"/>
                <w:sz w:val="20"/>
                <w:szCs w:val="20"/>
              </w:rPr>
              <w:t xml:space="preserve">Počet nových </w:t>
            </w:r>
            <w:r w:rsidR="00C544CF">
              <w:rPr>
                <w:rFonts w:ascii="Times New Roman" w:hAnsi="Times New Roman"/>
                <w:sz w:val="20"/>
                <w:szCs w:val="20"/>
              </w:rPr>
              <w:t xml:space="preserve">a renovovaných </w:t>
            </w:r>
            <w:r w:rsidRPr="00FD73BF">
              <w:rPr>
                <w:rFonts w:ascii="Times New Roman" w:hAnsi="Times New Roman"/>
                <w:sz w:val="20"/>
                <w:szCs w:val="20"/>
              </w:rPr>
              <w:t>služieb</w:t>
            </w:r>
            <w:r w:rsidR="00C544CF">
              <w:rPr>
                <w:rFonts w:ascii="Times New Roman" w:hAnsi="Times New Roman"/>
                <w:sz w:val="20"/>
                <w:szCs w:val="20"/>
              </w:rPr>
              <w:t xml:space="preserve"> zariadení poskytujúcich služby verejnosti</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BA6636B"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2940D391" w14:textId="77777777" w:rsidR="00BE32B7" w:rsidRPr="00FD73BF" w:rsidRDefault="0004490E">
            <w:pPr>
              <w:spacing w:after="60"/>
              <w:jc w:val="center"/>
              <w:rPr>
                <w:rFonts w:ascii="Calibri" w:hAnsi="Calibri"/>
              </w:rPr>
            </w:pPr>
            <w:r>
              <w:rPr>
                <w:rFonts w:ascii="Times New Roman" w:hAnsi="Times New Roman"/>
                <w:sz w:val="20"/>
                <w:szCs w:val="20"/>
              </w:rPr>
              <w:t>5</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37013765" w14:textId="77777777" w:rsidR="00BE32B7" w:rsidRPr="00FD73BF" w:rsidRDefault="00BE32B7" w:rsidP="00F843FA">
            <w:pPr>
              <w:spacing w:after="0"/>
              <w:jc w:val="center"/>
              <w:rPr>
                <w:rStyle w:val="Intenzvnezvraznenie"/>
                <w:rFonts w:ascii="Calibri" w:hAnsi="Calibri" w:cs="Times New Roman"/>
                <w:b w:val="0"/>
                <w:bCs w:val="0"/>
                <w:i w:val="0"/>
                <w:iCs w:val="0"/>
                <w:color w:val="auto"/>
              </w:rPr>
            </w:pPr>
            <w:r w:rsidRPr="00FD73BF">
              <w:rPr>
                <w:rStyle w:val="Intenzvnezvraznenie"/>
                <w:rFonts w:ascii="Times New Roman" w:hAnsi="Times New Roman"/>
                <w:b w:val="0"/>
                <w:bCs w:val="0"/>
                <w:i w:val="0"/>
                <w:iCs w:val="0"/>
                <w:color w:val="auto"/>
                <w:sz w:val="20"/>
                <w:szCs w:val="20"/>
              </w:rPr>
              <w:t>Zber údajov od príjemcov</w:t>
            </w:r>
          </w:p>
          <w:p w14:paraId="44B6EFBD"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3917FB87"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68194A06"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(monitorovacie správy)</w:t>
            </w:r>
          </w:p>
          <w:p w14:paraId="2D39BC2C"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1x ročne</w:t>
            </w:r>
          </w:p>
        </w:tc>
      </w:tr>
      <w:tr w:rsidR="00BE32B7" w:rsidRPr="00FD73BF" w14:paraId="74537AB8"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BCFA4" w14:textId="77777777" w:rsidR="00BE32B7" w:rsidRPr="00FD73BF" w:rsidRDefault="00BE32B7">
            <w:pPr>
              <w:jc w:val="center"/>
              <w:rPr>
                <w:rFonts w:ascii="Calibri" w:hAnsi="Calibri"/>
              </w:rPr>
            </w:pPr>
            <w:r w:rsidRPr="00FD73BF">
              <w:rPr>
                <w:rStyle w:val="Intenzvnezvraznenie"/>
                <w:rFonts w:ascii="Times New Roman" w:hAnsi="Times New Roman"/>
                <w:b w:val="0"/>
                <w:bCs w:val="0"/>
                <w:color w:val="auto"/>
                <w:sz w:val="20"/>
                <w:szCs w:val="20"/>
              </w:rPr>
              <w:t>Špecifický cieľ 2.1 Zlepšiť podmienky pre rozvoj potenciálu vidieckeho cestovného ruchu a spolupráce</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0409A478" w14:textId="77777777" w:rsidR="00BE32B7" w:rsidRPr="00FD73BF" w:rsidRDefault="00BE32B7" w:rsidP="00F843FA">
            <w:pPr>
              <w:spacing w:after="0"/>
              <w:jc w:val="center"/>
              <w:rPr>
                <w:rStyle w:val="Intenzvnezvraznenie"/>
                <w:rFonts w:ascii="Calibri" w:hAnsi="Calibri" w:cs="Times New Roman"/>
                <w:b w:val="0"/>
                <w:bCs w:val="0"/>
                <w:color w:val="auto"/>
              </w:rPr>
            </w:pPr>
            <w:r w:rsidRPr="00FD73BF">
              <w:rPr>
                <w:rStyle w:val="Intenzvnezvraznenie"/>
                <w:rFonts w:ascii="Times New Roman" w:hAnsi="Times New Roman"/>
                <w:b w:val="0"/>
                <w:bCs w:val="0"/>
                <w:color w:val="auto"/>
                <w:sz w:val="20"/>
                <w:szCs w:val="20"/>
              </w:rPr>
              <w:t>Počet</w:t>
            </w:r>
          </w:p>
          <w:p w14:paraId="00F73390" w14:textId="77777777" w:rsidR="00BE32B7" w:rsidRPr="00FD73BF" w:rsidRDefault="00BE32B7" w:rsidP="00F843FA">
            <w:pPr>
              <w:spacing w:after="0"/>
              <w:jc w:val="center"/>
              <w:rPr>
                <w:rStyle w:val="Intenzvnezvraznenie"/>
                <w:rFonts w:ascii="Times New Roman" w:hAnsi="Times New Roman"/>
                <w:b w:val="0"/>
                <w:bCs w:val="0"/>
                <w:color w:val="auto"/>
                <w:sz w:val="20"/>
                <w:szCs w:val="20"/>
              </w:rPr>
            </w:pPr>
            <w:r w:rsidRPr="00FD73BF">
              <w:rPr>
                <w:rStyle w:val="Intenzvnezvraznenie"/>
                <w:rFonts w:ascii="Times New Roman" w:hAnsi="Times New Roman"/>
                <w:b w:val="0"/>
                <w:bCs w:val="0"/>
                <w:color w:val="auto"/>
                <w:sz w:val="20"/>
                <w:szCs w:val="20"/>
              </w:rPr>
              <w:t>novovytvorených</w:t>
            </w:r>
          </w:p>
          <w:p w14:paraId="2681D5FC" w14:textId="77777777" w:rsidR="00BE32B7" w:rsidRPr="00FD73BF" w:rsidRDefault="00BE32B7" w:rsidP="00F843FA">
            <w:pPr>
              <w:spacing w:after="0"/>
              <w:jc w:val="center"/>
              <w:rPr>
                <w:rStyle w:val="Intenzvnezvraznenie"/>
                <w:rFonts w:ascii="Times New Roman" w:hAnsi="Times New Roman"/>
                <w:b w:val="0"/>
                <w:bCs w:val="0"/>
                <w:color w:val="auto"/>
                <w:sz w:val="20"/>
                <w:szCs w:val="20"/>
              </w:rPr>
            </w:pPr>
            <w:r w:rsidRPr="00FD73BF">
              <w:rPr>
                <w:rStyle w:val="Intenzvnezvraznenie"/>
                <w:rFonts w:ascii="Times New Roman" w:hAnsi="Times New Roman"/>
                <w:b w:val="0"/>
                <w:bCs w:val="0"/>
                <w:color w:val="auto"/>
                <w:sz w:val="20"/>
                <w:szCs w:val="20"/>
              </w:rPr>
              <w:t>lôžok v ubytovacích</w:t>
            </w:r>
          </w:p>
          <w:p w14:paraId="5DFAE0A4" w14:textId="77777777" w:rsidR="00BE32B7" w:rsidRPr="00FD73BF" w:rsidRDefault="00BE32B7" w:rsidP="00F843FA">
            <w:pPr>
              <w:spacing w:after="0"/>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zariadeniach (ks)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88CC7A"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27196533" w14:textId="77777777" w:rsidR="00BE32B7" w:rsidRPr="00FD73BF" w:rsidRDefault="00C544CF">
            <w:pPr>
              <w:jc w:val="center"/>
              <w:rPr>
                <w:rStyle w:val="Intenzvnezvraznenie"/>
                <w:rFonts w:ascii="Calibri" w:hAnsi="Calibri"/>
                <w:b w:val="0"/>
                <w:bCs w:val="0"/>
                <w:color w:val="auto"/>
              </w:rPr>
            </w:pPr>
            <w:r>
              <w:rPr>
                <w:rFonts w:ascii="Times New Roman" w:hAnsi="Times New Roman"/>
                <w:sz w:val="20"/>
                <w:szCs w:val="20"/>
              </w:rPr>
              <w:t>20</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144C1931"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Zber údajov od príjemcov</w:t>
            </w:r>
          </w:p>
          <w:p w14:paraId="466F211A"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3055B40B"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62E8DC6A"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(monitorovacie správy)</w:t>
            </w:r>
          </w:p>
          <w:p w14:paraId="1A5CC738"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1x ročne</w:t>
            </w:r>
          </w:p>
        </w:tc>
      </w:tr>
      <w:tr w:rsidR="00BE32B7" w:rsidRPr="00FD73BF" w14:paraId="3423B3E7"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7DAB5"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Špecifický cieľ 2.1 Zlepšiť podmienky pre rozvoj potenciálu vidieckeho cestovného ruchu a spolupráce</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9AE20F3" w14:textId="77777777" w:rsidR="00BE32B7" w:rsidRPr="00FD73BF" w:rsidRDefault="00BE32B7" w:rsidP="00C544CF">
            <w:pPr>
              <w:spacing w:after="0"/>
              <w:jc w:val="center"/>
              <w:rPr>
                <w:rStyle w:val="Intenzvnezvraznenie"/>
                <w:rFonts w:ascii="Calibri" w:hAnsi="Calibri"/>
                <w:b w:val="0"/>
                <w:bCs w:val="0"/>
                <w:color w:val="auto"/>
              </w:rPr>
            </w:pPr>
            <w:r w:rsidRPr="00FD73BF">
              <w:rPr>
                <w:rFonts w:ascii="Times New Roman" w:hAnsi="Times New Roman"/>
                <w:sz w:val="20"/>
                <w:szCs w:val="20"/>
              </w:rPr>
              <w:t xml:space="preserve">Počet </w:t>
            </w:r>
            <w:r w:rsidR="00C544CF">
              <w:rPr>
                <w:rFonts w:ascii="Times New Roman" w:hAnsi="Times New Roman"/>
                <w:sz w:val="20"/>
                <w:szCs w:val="20"/>
              </w:rPr>
              <w:t xml:space="preserve">podporených </w:t>
            </w:r>
            <w:r w:rsidRPr="00FD73BF">
              <w:rPr>
                <w:rFonts w:ascii="Times New Roman" w:hAnsi="Times New Roman"/>
                <w:sz w:val="20"/>
                <w:szCs w:val="20"/>
              </w:rPr>
              <w:t>ubytovacích zariadení  s kapacitou od 5 do 30 lôžok</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8330A42" w14:textId="77777777" w:rsidR="00BE32B7" w:rsidRPr="00FD73BF" w:rsidRDefault="00BE32B7">
            <w:pPr>
              <w:jc w:val="center"/>
              <w:rPr>
                <w:rFonts w:ascii="Calibri" w:hAnsi="Calibri"/>
              </w:rPr>
            </w:pPr>
            <w:r w:rsidRPr="00FD73BF">
              <w:rPr>
                <w:rFonts w:ascii="Times New Roman" w:hAnsi="Times New Roman"/>
                <w:sz w:val="20"/>
                <w:szCs w:val="20"/>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491D42BE" w14:textId="77777777" w:rsidR="00BE32B7" w:rsidRPr="00FD73BF" w:rsidRDefault="00BE32B7">
            <w:pPr>
              <w:jc w:val="center"/>
              <w:rPr>
                <w:rFonts w:ascii="Times New Roman" w:hAnsi="Times New Roman"/>
                <w:sz w:val="20"/>
                <w:szCs w:val="20"/>
              </w:rPr>
            </w:pPr>
            <w:r w:rsidRPr="00FD73BF">
              <w:rPr>
                <w:rFonts w:ascii="Times New Roman" w:hAnsi="Times New Roman"/>
                <w:sz w:val="20"/>
                <w:szCs w:val="20"/>
              </w:rPr>
              <w:t>4</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029658C8" w14:textId="77777777" w:rsidR="00BE32B7" w:rsidRPr="00FD73BF" w:rsidRDefault="00BE32B7" w:rsidP="00F843FA">
            <w:pPr>
              <w:spacing w:after="0"/>
              <w:jc w:val="center"/>
              <w:rPr>
                <w:rStyle w:val="Intenzvnezvraznenie"/>
                <w:rFonts w:ascii="Calibri" w:hAnsi="Calibri" w:cs="Times New Roman"/>
                <w:b w:val="0"/>
                <w:bCs w:val="0"/>
                <w:i w:val="0"/>
                <w:iCs w:val="0"/>
                <w:color w:val="auto"/>
              </w:rPr>
            </w:pPr>
            <w:r w:rsidRPr="00FD73BF">
              <w:rPr>
                <w:rStyle w:val="Intenzvnezvraznenie"/>
                <w:rFonts w:ascii="Times New Roman" w:hAnsi="Times New Roman"/>
                <w:b w:val="0"/>
                <w:bCs w:val="0"/>
                <w:i w:val="0"/>
                <w:iCs w:val="0"/>
                <w:color w:val="auto"/>
                <w:sz w:val="20"/>
                <w:szCs w:val="20"/>
              </w:rPr>
              <w:t>Zber údajov od príjemcov</w:t>
            </w:r>
          </w:p>
          <w:p w14:paraId="5CD89765"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7C34D402"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11B64B2A"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(monitorovacie správy)</w:t>
            </w:r>
          </w:p>
          <w:p w14:paraId="196E363E"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1x ročne</w:t>
            </w:r>
          </w:p>
        </w:tc>
      </w:tr>
      <w:tr w:rsidR="00BE32B7" w:rsidRPr="00FD73BF" w14:paraId="2B054C55"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B9746A" w14:textId="77777777" w:rsidR="00BE32B7" w:rsidRPr="00FD73BF" w:rsidRDefault="00BE32B7">
            <w:pPr>
              <w:jc w:val="center"/>
              <w:rPr>
                <w:rStyle w:val="Intenzvnezvraznenie"/>
                <w:rFonts w:ascii="Calibri" w:hAnsi="Calibri"/>
                <w:b w:val="0"/>
                <w:bCs w:val="0"/>
                <w:color w:val="auto"/>
              </w:rPr>
            </w:pPr>
            <w:r w:rsidRPr="00FD73BF">
              <w:rPr>
                <w:rStyle w:val="Intenzvnezvraznenie"/>
                <w:rFonts w:ascii="Times New Roman" w:hAnsi="Times New Roman"/>
                <w:b w:val="0"/>
                <w:bCs w:val="0"/>
                <w:color w:val="auto"/>
                <w:sz w:val="20"/>
                <w:szCs w:val="20"/>
              </w:rPr>
              <w:t>Špecifický cieľ 3.1 Vytvoriť kvalitné podmienky pre rozvoj podnikania</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5DB3FBFE" w14:textId="77777777" w:rsidR="00BE32B7" w:rsidRPr="00FD73BF" w:rsidRDefault="00647704" w:rsidP="00F843FA">
            <w:pPr>
              <w:spacing w:after="0"/>
              <w:jc w:val="center"/>
              <w:rPr>
                <w:rStyle w:val="Intenzvnezvraznenie"/>
                <w:rFonts w:ascii="Calibri" w:hAnsi="Calibri"/>
                <w:b w:val="0"/>
                <w:bCs w:val="0"/>
                <w:color w:val="auto"/>
              </w:rPr>
            </w:pPr>
            <w:r>
              <w:rPr>
                <w:rStyle w:val="Intenzvnezvraznenie"/>
                <w:rFonts w:ascii="Times New Roman" w:hAnsi="Times New Roman"/>
                <w:b w:val="0"/>
                <w:bCs w:val="0"/>
                <w:color w:val="auto"/>
                <w:sz w:val="20"/>
                <w:szCs w:val="20"/>
              </w:rPr>
              <w:t>Počet inovatívnych projektov</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CD73848" w14:textId="77777777" w:rsidR="00BE32B7" w:rsidRPr="00FD73BF" w:rsidRDefault="00647704">
            <w:pPr>
              <w:jc w:val="center"/>
              <w:rPr>
                <w:rStyle w:val="Intenzvnezvraznenie"/>
                <w:rFonts w:ascii="Calibri" w:hAnsi="Calibri"/>
                <w:b w:val="0"/>
                <w:bCs w:val="0"/>
                <w:color w:val="auto"/>
              </w:rPr>
            </w:pPr>
            <w:r>
              <w:rPr>
                <w:rStyle w:val="Intenzvnezvraznenie"/>
                <w:rFonts w:ascii="Calibri" w:hAnsi="Calibri"/>
                <w:b w:val="0"/>
                <w:bCs w:val="0"/>
                <w:color w:val="auto"/>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tcPr>
          <w:p w14:paraId="47970968" w14:textId="77777777" w:rsidR="00BE32B7" w:rsidRPr="00FD73BF" w:rsidRDefault="00647704">
            <w:pPr>
              <w:jc w:val="center"/>
              <w:rPr>
                <w:rStyle w:val="Intenzvnezvraznenie"/>
                <w:rFonts w:ascii="Calibri" w:hAnsi="Calibri"/>
                <w:b w:val="0"/>
                <w:bCs w:val="0"/>
                <w:color w:val="auto"/>
              </w:rPr>
            </w:pPr>
            <w:r>
              <w:rPr>
                <w:rStyle w:val="Intenzvnezvraznenie"/>
                <w:rFonts w:ascii="Calibri" w:hAnsi="Calibri"/>
                <w:b w:val="0"/>
                <w:bCs w:val="0"/>
                <w:color w:val="auto"/>
              </w:rPr>
              <w:t>6</w:t>
            </w:r>
          </w:p>
        </w:tc>
        <w:tc>
          <w:tcPr>
            <w:tcW w:w="2229" w:type="dxa"/>
            <w:tcBorders>
              <w:top w:val="nil"/>
              <w:left w:val="nil"/>
              <w:bottom w:val="single" w:sz="8" w:space="0" w:color="auto"/>
              <w:right w:val="single" w:sz="8" w:space="0" w:color="auto"/>
            </w:tcBorders>
            <w:tcMar>
              <w:top w:w="0" w:type="dxa"/>
              <w:left w:w="108" w:type="dxa"/>
              <w:bottom w:w="0" w:type="dxa"/>
              <w:right w:w="108" w:type="dxa"/>
            </w:tcMar>
          </w:tcPr>
          <w:p w14:paraId="0850C02A"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Zber údajov od príjemcov</w:t>
            </w:r>
          </w:p>
          <w:p w14:paraId="1CE8B585"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268873E1"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5BD239EE" w14:textId="77777777" w:rsidR="00BE32B7" w:rsidRPr="00656C94"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(monitorovacie správy)</w:t>
            </w:r>
          </w:p>
        </w:tc>
      </w:tr>
      <w:tr w:rsidR="00BE32B7" w:rsidRPr="00FD73BF" w14:paraId="72D4E81A" w14:textId="77777777" w:rsidTr="00FD73BF">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E2FCD" w14:textId="77777777" w:rsidR="00BE32B7" w:rsidRPr="00FD73BF" w:rsidRDefault="00BE32B7">
            <w:pPr>
              <w:rPr>
                <w:rStyle w:val="Intenzvnezvraznenie"/>
                <w:rFonts w:ascii="Calibri" w:hAnsi="Calibri"/>
                <w:b w:val="0"/>
                <w:bCs w:val="0"/>
                <w:i w:val="0"/>
                <w:iCs w:val="0"/>
                <w:color w:val="auto"/>
              </w:rPr>
            </w:pPr>
            <w:r w:rsidRPr="00FD73BF">
              <w:rPr>
                <w:rStyle w:val="Intenzvnezvraznenie"/>
                <w:rFonts w:ascii="Times New Roman" w:hAnsi="Times New Roman"/>
                <w:b w:val="0"/>
                <w:bCs w:val="0"/>
                <w:color w:val="auto"/>
                <w:sz w:val="20"/>
                <w:szCs w:val="20"/>
              </w:rPr>
              <w:t xml:space="preserve">Špecifický cieľ 3.1 </w:t>
            </w:r>
            <w:r w:rsidRPr="00FD73BF">
              <w:rPr>
                <w:rFonts w:ascii="Times New Roman" w:hAnsi="Times New Roman"/>
                <w:i/>
                <w:iCs/>
                <w:sz w:val="20"/>
                <w:szCs w:val="20"/>
              </w:rPr>
              <w:t>Vytvoriť kvalitné podmienky pre rozvoj podnikania a zamestnanosti</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238C7390"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Fonts w:ascii="Times New Roman" w:hAnsi="Times New Roman"/>
                <w:sz w:val="20"/>
                <w:szCs w:val="20"/>
              </w:rPr>
              <w:t>Počet vytvorených pracovných miest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E3A159B" w14:textId="77777777" w:rsidR="00BE32B7" w:rsidRPr="00FD73BF" w:rsidRDefault="00BE32B7">
            <w:pPr>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0</w:t>
            </w:r>
          </w:p>
        </w:tc>
        <w:tc>
          <w:tcPr>
            <w:tcW w:w="1411" w:type="dxa"/>
            <w:tcBorders>
              <w:top w:val="nil"/>
              <w:left w:val="nil"/>
              <w:bottom w:val="single" w:sz="8" w:space="0" w:color="auto"/>
              <w:right w:val="single" w:sz="8" w:space="0" w:color="auto"/>
            </w:tcBorders>
            <w:tcMar>
              <w:top w:w="0" w:type="dxa"/>
              <w:left w:w="108" w:type="dxa"/>
              <w:bottom w:w="0" w:type="dxa"/>
              <w:right w:w="108" w:type="dxa"/>
            </w:tcMar>
            <w:hideMark/>
          </w:tcPr>
          <w:p w14:paraId="755BC148" w14:textId="77777777" w:rsidR="00BE32B7" w:rsidRPr="00FD73BF" w:rsidRDefault="00BE32B7">
            <w:pPr>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18</w:t>
            </w:r>
          </w:p>
        </w:tc>
        <w:tc>
          <w:tcPr>
            <w:tcW w:w="2229" w:type="dxa"/>
            <w:tcBorders>
              <w:top w:val="nil"/>
              <w:left w:val="nil"/>
              <w:bottom w:val="single" w:sz="8" w:space="0" w:color="auto"/>
              <w:right w:val="single" w:sz="8" w:space="0" w:color="auto"/>
            </w:tcBorders>
            <w:tcMar>
              <w:top w:w="0" w:type="dxa"/>
              <w:left w:w="108" w:type="dxa"/>
              <w:bottom w:w="0" w:type="dxa"/>
              <w:right w:w="108" w:type="dxa"/>
            </w:tcMar>
            <w:hideMark/>
          </w:tcPr>
          <w:p w14:paraId="5C12EF86" w14:textId="77777777" w:rsidR="00BE32B7" w:rsidRPr="00FD73BF" w:rsidRDefault="00BE32B7" w:rsidP="00F843FA">
            <w:pPr>
              <w:spacing w:after="0"/>
              <w:jc w:val="center"/>
              <w:rPr>
                <w:rStyle w:val="Intenzvnezvraznenie"/>
                <w:rFonts w:ascii="Calibri" w:hAnsi="Calibri" w:cs="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Zber údajov od príjemcov</w:t>
            </w:r>
          </w:p>
          <w:p w14:paraId="5D7BD7FF"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finančnej pomoci pri</w:t>
            </w:r>
          </w:p>
          <w:p w14:paraId="731A3630" w14:textId="77777777" w:rsidR="00BE32B7" w:rsidRPr="00FD73BF" w:rsidRDefault="00BE32B7" w:rsidP="00F843FA">
            <w:pPr>
              <w:spacing w:after="0"/>
              <w:jc w:val="center"/>
              <w:rPr>
                <w:rStyle w:val="Intenzvnezvraznenie"/>
                <w:rFonts w:ascii="Times New Roman" w:hAnsi="Times New Roman"/>
                <w:b w:val="0"/>
                <w:bCs w:val="0"/>
                <w:i w:val="0"/>
                <w:iCs w:val="0"/>
                <w:color w:val="auto"/>
                <w:sz w:val="20"/>
                <w:szCs w:val="20"/>
              </w:rPr>
            </w:pPr>
            <w:r w:rsidRPr="00FD73BF">
              <w:rPr>
                <w:rStyle w:val="Intenzvnezvraznenie"/>
                <w:rFonts w:ascii="Times New Roman" w:hAnsi="Times New Roman"/>
                <w:b w:val="0"/>
                <w:bCs w:val="0"/>
                <w:i w:val="0"/>
                <w:iCs w:val="0"/>
                <w:color w:val="auto"/>
                <w:sz w:val="20"/>
                <w:szCs w:val="20"/>
              </w:rPr>
              <w:t>predložení každej ŽoP</w:t>
            </w:r>
          </w:p>
          <w:p w14:paraId="4F9DC67F" w14:textId="77777777" w:rsidR="00BE32B7" w:rsidRPr="00FD73BF" w:rsidRDefault="00BE32B7" w:rsidP="00F843FA">
            <w:pPr>
              <w:spacing w:after="0"/>
              <w:jc w:val="center"/>
              <w:rPr>
                <w:rStyle w:val="Intenzvnezvraznenie"/>
                <w:rFonts w:ascii="Calibri" w:hAnsi="Calibri"/>
                <w:b w:val="0"/>
                <w:bCs w:val="0"/>
                <w:i w:val="0"/>
                <w:iCs w:val="0"/>
                <w:color w:val="auto"/>
              </w:rPr>
            </w:pPr>
            <w:r w:rsidRPr="00FD73BF">
              <w:rPr>
                <w:rStyle w:val="Intenzvnezvraznenie"/>
                <w:rFonts w:ascii="Times New Roman" w:hAnsi="Times New Roman"/>
                <w:b w:val="0"/>
                <w:bCs w:val="0"/>
                <w:i w:val="0"/>
                <w:iCs w:val="0"/>
                <w:color w:val="auto"/>
                <w:sz w:val="20"/>
                <w:szCs w:val="20"/>
              </w:rPr>
              <w:t>(monitorovacie správy</w:t>
            </w:r>
          </w:p>
        </w:tc>
      </w:tr>
    </w:tbl>
    <w:p w14:paraId="6CD911D9" w14:textId="77777777" w:rsidR="002F14FF" w:rsidRDefault="002F14FF" w:rsidP="0082111F">
      <w:pPr>
        <w:spacing w:after="0" w:line="360" w:lineRule="auto"/>
        <w:jc w:val="both"/>
        <w:rPr>
          <w:rFonts w:ascii="Times New Roman" w:hAnsi="Times New Roman" w:cs="Times New Roman"/>
          <w:sz w:val="24"/>
          <w:szCs w:val="24"/>
        </w:rPr>
      </w:pPr>
    </w:p>
    <w:p w14:paraId="5E8E9AF4" w14:textId="77777777" w:rsidR="0082111F" w:rsidRPr="000905B7" w:rsidRDefault="0082111F" w:rsidP="0082111F">
      <w:pPr>
        <w:spacing w:after="0" w:line="360" w:lineRule="auto"/>
        <w:jc w:val="both"/>
        <w:rPr>
          <w:rFonts w:ascii="Times New Roman" w:hAnsi="Times New Roman" w:cs="Times New Roman"/>
          <w:sz w:val="24"/>
          <w:szCs w:val="24"/>
          <w:u w:val="single"/>
        </w:rPr>
      </w:pPr>
      <w:r w:rsidRPr="000905B7">
        <w:rPr>
          <w:rFonts w:ascii="Times New Roman" w:hAnsi="Times New Roman" w:cs="Times New Roman"/>
          <w:sz w:val="24"/>
          <w:szCs w:val="24"/>
          <w:u w:val="single"/>
        </w:rPr>
        <w:t>Spôsob hodnotenia stratégie CLLD a zapracovania výsledkov hodnotenia</w:t>
      </w:r>
    </w:p>
    <w:p w14:paraId="1FDB7CDA" w14:textId="77777777" w:rsidR="0082111F" w:rsidRDefault="0082111F" w:rsidP="0094237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4237D" w:rsidRPr="00E04E48">
        <w:rPr>
          <w:rFonts w:ascii="Times New Roman" w:hAnsi="Times New Roman" w:cs="Times New Roman"/>
          <w:sz w:val="24"/>
          <w:szCs w:val="24"/>
        </w:rPr>
        <w:t>Monitorovací výbor spracováva a schvaľuje 1 x ročne priebežnú monitorovaciu správu, v polovici obdobia implementácie sa zrealizuje strednodobé hodnotenie a po ukončení implementácie stratégie sa vykoná záverečné hodnotenie.</w:t>
      </w:r>
      <w:r w:rsidR="0094237D">
        <w:rPr>
          <w:rFonts w:ascii="Times New Roman" w:hAnsi="Times New Roman" w:cs="Times New Roman"/>
          <w:sz w:val="24"/>
          <w:szCs w:val="24"/>
        </w:rPr>
        <w:t xml:space="preserve"> </w:t>
      </w:r>
    </w:p>
    <w:p w14:paraId="4251747D" w14:textId="77777777" w:rsidR="0082111F" w:rsidRPr="003A643E" w:rsidRDefault="0082111F" w:rsidP="00821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4237D" w:rsidRPr="00E04E48">
        <w:rPr>
          <w:rFonts w:ascii="Times New Roman" w:hAnsi="Times New Roman" w:cs="Times New Roman"/>
          <w:sz w:val="24"/>
          <w:szCs w:val="24"/>
        </w:rPr>
        <w:t>Zber monitorovacích a hodnotiacich údajov zabezpečuje Kancelária MAS priebežne, prostredníctvom formulárov ŽoNFP a monitorovacích správ prijímateľov, vlastnej administratívnej činnosti sledovania stavu implementácie stratégie. Získané podklady predkladá monitorovaciemu výboru na hodnotenie vždy min. za obdobie 1 roka.</w:t>
      </w:r>
      <w:r w:rsidR="0094237D">
        <w:rPr>
          <w:rFonts w:ascii="Times New Roman" w:hAnsi="Times New Roman" w:cs="Times New Roman"/>
          <w:sz w:val="24"/>
          <w:szCs w:val="24"/>
        </w:rPr>
        <w:t xml:space="preserve"> </w:t>
      </w:r>
      <w:r w:rsidRPr="003A643E">
        <w:rPr>
          <w:rFonts w:ascii="Times New Roman" w:hAnsi="Times New Roman" w:cs="Times New Roman"/>
          <w:sz w:val="24"/>
          <w:szCs w:val="24"/>
        </w:rPr>
        <w:t>Ten monitorovacie</w:t>
      </w:r>
      <w:r>
        <w:rPr>
          <w:rFonts w:ascii="Times New Roman" w:hAnsi="Times New Roman" w:cs="Times New Roman"/>
          <w:sz w:val="24"/>
          <w:szCs w:val="24"/>
        </w:rPr>
        <w:t xml:space="preserve"> </w:t>
      </w:r>
      <w:r w:rsidRPr="003A643E">
        <w:rPr>
          <w:rFonts w:ascii="Times New Roman" w:hAnsi="Times New Roman" w:cs="Times New Roman"/>
          <w:sz w:val="24"/>
          <w:szCs w:val="24"/>
        </w:rPr>
        <w:t>správy prerokuje a zhodnotí plnenie cieľov stratégie</w:t>
      </w:r>
      <w:r>
        <w:rPr>
          <w:rFonts w:ascii="Times New Roman" w:hAnsi="Times New Roman" w:cs="Times New Roman"/>
          <w:sz w:val="24"/>
          <w:szCs w:val="24"/>
        </w:rPr>
        <w:t xml:space="preserve"> CLLD</w:t>
      </w:r>
      <w:r w:rsidRPr="003A643E">
        <w:rPr>
          <w:rFonts w:ascii="Times New Roman" w:hAnsi="Times New Roman" w:cs="Times New Roman"/>
          <w:sz w:val="24"/>
          <w:szCs w:val="24"/>
        </w:rPr>
        <w:t xml:space="preserve"> na svojich zasadnutiach</w:t>
      </w:r>
      <w:r>
        <w:rPr>
          <w:rFonts w:ascii="Times New Roman" w:hAnsi="Times New Roman" w:cs="Times New Roman"/>
          <w:sz w:val="24"/>
          <w:szCs w:val="24"/>
        </w:rPr>
        <w:t xml:space="preserve"> </w:t>
      </w:r>
      <w:r w:rsidRPr="003A643E">
        <w:rPr>
          <w:rFonts w:ascii="Times New Roman" w:hAnsi="Times New Roman" w:cs="Times New Roman"/>
          <w:sz w:val="24"/>
          <w:szCs w:val="24"/>
        </w:rPr>
        <w:t>minimálne raz ročne. Monitorovací výbor predloženú správu buď schváli, a vtedy sa</w:t>
      </w:r>
      <w:r>
        <w:rPr>
          <w:rFonts w:ascii="Times New Roman" w:hAnsi="Times New Roman" w:cs="Times New Roman"/>
          <w:sz w:val="24"/>
          <w:szCs w:val="24"/>
        </w:rPr>
        <w:t xml:space="preserve"> </w:t>
      </w:r>
      <w:r w:rsidRPr="003A643E">
        <w:rPr>
          <w:rFonts w:ascii="Times New Roman" w:hAnsi="Times New Roman" w:cs="Times New Roman"/>
          <w:sz w:val="24"/>
          <w:szCs w:val="24"/>
        </w:rPr>
        <w:t>pokračuje v stanovenej línii implementácie programu, alebo v prípade odklonu smerovania</w:t>
      </w:r>
      <w:r>
        <w:rPr>
          <w:rFonts w:ascii="Times New Roman" w:hAnsi="Times New Roman" w:cs="Times New Roman"/>
          <w:sz w:val="24"/>
          <w:szCs w:val="24"/>
        </w:rPr>
        <w:t xml:space="preserve"> </w:t>
      </w:r>
      <w:r w:rsidRPr="003A643E">
        <w:rPr>
          <w:rFonts w:ascii="Times New Roman" w:hAnsi="Times New Roman" w:cs="Times New Roman"/>
          <w:sz w:val="24"/>
          <w:szCs w:val="24"/>
        </w:rPr>
        <w:t>stratégie k plneniu jej cieľov, monitorovací výbor navrhne opatrenia a tie predloží</w:t>
      </w:r>
      <w:r>
        <w:rPr>
          <w:rFonts w:ascii="Times New Roman" w:hAnsi="Times New Roman" w:cs="Times New Roman"/>
          <w:sz w:val="24"/>
          <w:szCs w:val="24"/>
        </w:rPr>
        <w:t xml:space="preserve"> </w:t>
      </w:r>
      <w:r w:rsidRPr="003A643E">
        <w:rPr>
          <w:rFonts w:ascii="Times New Roman" w:hAnsi="Times New Roman" w:cs="Times New Roman"/>
          <w:sz w:val="24"/>
          <w:szCs w:val="24"/>
        </w:rPr>
        <w:t>predsedníctvu MAS a členskej schôdzi na prerokovanie a schválenie.</w:t>
      </w:r>
    </w:p>
    <w:p w14:paraId="49EEA937" w14:textId="77777777" w:rsidR="0082111F" w:rsidRPr="003A643E" w:rsidRDefault="0082111F" w:rsidP="00821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4237D" w:rsidRPr="00694486">
        <w:rPr>
          <w:rFonts w:ascii="Times New Roman" w:hAnsi="Times New Roman" w:cs="Times New Roman"/>
          <w:sz w:val="24"/>
          <w:szCs w:val="24"/>
        </w:rPr>
        <w:t xml:space="preserve">V polovici implementácie stratégie CLLD (najneskôr do </w:t>
      </w:r>
      <w:r w:rsidR="0094237D">
        <w:rPr>
          <w:rFonts w:ascii="Times New Roman" w:hAnsi="Times New Roman" w:cs="Times New Roman"/>
          <w:sz w:val="24"/>
          <w:szCs w:val="24"/>
        </w:rPr>
        <w:t>30</w:t>
      </w:r>
      <w:r w:rsidR="0094237D" w:rsidRPr="00694486">
        <w:rPr>
          <w:rFonts w:ascii="Times New Roman" w:hAnsi="Times New Roman" w:cs="Times New Roman"/>
          <w:sz w:val="24"/>
          <w:szCs w:val="24"/>
        </w:rPr>
        <w:t>.</w:t>
      </w:r>
      <w:r w:rsidR="0094237D">
        <w:rPr>
          <w:rFonts w:ascii="Times New Roman" w:hAnsi="Times New Roman" w:cs="Times New Roman"/>
          <w:sz w:val="24"/>
          <w:szCs w:val="24"/>
        </w:rPr>
        <w:t>06.2020</w:t>
      </w:r>
      <w:r w:rsidR="0094237D" w:rsidRPr="00694486">
        <w:rPr>
          <w:rFonts w:ascii="Times New Roman" w:hAnsi="Times New Roman" w:cs="Times New Roman"/>
          <w:sz w:val="24"/>
          <w:szCs w:val="24"/>
        </w:rPr>
        <w:t>) sa vykoná strednodobé hodnotenie. Jeho cieľom je po</w:t>
      </w:r>
      <w:r w:rsidR="0094237D">
        <w:rPr>
          <w:rFonts w:ascii="Times New Roman" w:hAnsi="Times New Roman" w:cs="Times New Roman"/>
          <w:sz w:val="24"/>
          <w:szCs w:val="24"/>
        </w:rPr>
        <w:t>súdiť</w:t>
      </w:r>
      <w:r w:rsidR="0094237D" w:rsidRPr="00694486">
        <w:rPr>
          <w:rFonts w:ascii="Times New Roman" w:hAnsi="Times New Roman" w:cs="Times New Roman"/>
          <w:sz w:val="24"/>
          <w:szCs w:val="24"/>
        </w:rPr>
        <w:t xml:space="preserve"> výstupy a výsledky intervencie celej stratégie CLLD. Výsledok hodnotenia tvorí podklad pre aktualizáciu stratégie CLLD. Strednodobé hodnotenie predkladá MAS spolu so „Správou o implementácii stratégie CLLD“.</w:t>
      </w:r>
      <w:r w:rsidR="0094237D">
        <w:rPr>
          <w:rFonts w:ascii="Times New Roman" w:hAnsi="Times New Roman" w:cs="Times New Roman"/>
          <w:sz w:val="24"/>
          <w:szCs w:val="24"/>
        </w:rPr>
        <w:t xml:space="preserve"> </w:t>
      </w:r>
    </w:p>
    <w:p w14:paraId="63DE7999" w14:textId="77777777" w:rsidR="0094237D" w:rsidRPr="00694486" w:rsidRDefault="0082111F" w:rsidP="009423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4237D" w:rsidRPr="00694486">
        <w:rPr>
          <w:rFonts w:ascii="Times New Roman" w:hAnsi="Times New Roman" w:cs="Times New Roman"/>
          <w:sz w:val="24"/>
          <w:szCs w:val="24"/>
        </w:rPr>
        <w:t>Záverečné hodnotenie sa realizuje na základe vyhodnotenia monitorovacích ukazovateľov a ich prínosu pre naplnenie cieľov stratégie CLLD. Záverečné hodnotenie spolu so záverečnou monitorovacou správou, zasiela riadiacim orgánom PRV a IROP.</w:t>
      </w:r>
      <w:r w:rsidR="0094237D">
        <w:rPr>
          <w:rFonts w:ascii="Times New Roman" w:hAnsi="Times New Roman" w:cs="Times New Roman"/>
          <w:sz w:val="24"/>
          <w:szCs w:val="24"/>
        </w:rPr>
        <w:t xml:space="preserve"> </w:t>
      </w:r>
      <w:r w:rsidR="0094237D" w:rsidRPr="00694486">
        <w:rPr>
          <w:rFonts w:ascii="Times New Roman" w:hAnsi="Times New Roman" w:cs="Times New Roman"/>
          <w:sz w:val="24"/>
          <w:szCs w:val="24"/>
        </w:rPr>
        <w:t>Monitorovacie správy sú prezentované na zasadaniach Valného zhromaždenia a zabezpečí sa ich zverejnenie na webovom sídle MAS.</w:t>
      </w:r>
    </w:p>
    <w:p w14:paraId="68EBBB85" w14:textId="77777777" w:rsidR="0094237D" w:rsidRPr="00694486" w:rsidRDefault="0094237D" w:rsidP="0094237D">
      <w:pPr>
        <w:spacing w:after="0" w:line="360" w:lineRule="auto"/>
        <w:ind w:firstLine="709"/>
        <w:jc w:val="both"/>
        <w:rPr>
          <w:rFonts w:ascii="Times New Roman" w:hAnsi="Times New Roman" w:cs="Times New Roman"/>
          <w:sz w:val="24"/>
          <w:szCs w:val="24"/>
        </w:rPr>
      </w:pPr>
      <w:r w:rsidRPr="00694486">
        <w:rPr>
          <w:rFonts w:ascii="Times New Roman" w:hAnsi="Times New Roman" w:cs="Times New Roman"/>
          <w:sz w:val="24"/>
          <w:szCs w:val="24"/>
        </w:rPr>
        <w:t>Strednodobé a záverečné hodnotenie vykonáva nezávislý hodnotiteľ, pričom by mali byť zohľadnené špecifiká v jednotlivých oblastiach sebahodnotenia, ako aj prínos implementácie stratégie CLLD pre územie MAS v oblasti siedmich kľúčových znakov LEADER</w:t>
      </w:r>
    </w:p>
    <w:p w14:paraId="3685CE76" w14:textId="77777777" w:rsidR="0082111F" w:rsidRDefault="0094237D" w:rsidP="0094237D">
      <w:pPr>
        <w:spacing w:after="0" w:line="360" w:lineRule="auto"/>
        <w:jc w:val="both"/>
        <w:rPr>
          <w:rFonts w:ascii="Times New Roman" w:hAnsi="Times New Roman" w:cs="Times New Roman"/>
          <w:sz w:val="24"/>
          <w:szCs w:val="24"/>
        </w:rPr>
      </w:pPr>
      <w:r w:rsidRPr="00694486">
        <w:rPr>
          <w:rFonts w:ascii="Times New Roman" w:hAnsi="Times New Roman" w:cs="Times New Roman"/>
          <w:sz w:val="24"/>
          <w:szCs w:val="24"/>
        </w:rPr>
        <w:t>Plán, druhy a postupy hodnotenia sa riadia usmerneniami kap. 10 Systému riadenia CLLD</w:t>
      </w:r>
      <w:r>
        <w:rPr>
          <w:rFonts w:ascii="Times New Roman" w:hAnsi="Times New Roman" w:cs="Times New Roman"/>
          <w:sz w:val="24"/>
          <w:szCs w:val="24"/>
        </w:rPr>
        <w:t xml:space="preserve">. </w:t>
      </w:r>
    </w:p>
    <w:p w14:paraId="464E42FC" w14:textId="77777777" w:rsidR="0082111F" w:rsidRDefault="0082111F" w:rsidP="0082111F">
      <w:pPr>
        <w:spacing w:after="0" w:line="360" w:lineRule="auto"/>
        <w:jc w:val="both"/>
        <w:rPr>
          <w:rFonts w:ascii="Times New Roman" w:hAnsi="Times New Roman" w:cs="Times New Roman"/>
          <w:sz w:val="24"/>
          <w:szCs w:val="24"/>
        </w:rPr>
      </w:pPr>
    </w:p>
    <w:p w14:paraId="436C8747" w14:textId="77777777" w:rsidR="0094237D" w:rsidRPr="00CD6FE8" w:rsidRDefault="0094237D" w:rsidP="0094237D">
      <w:pPr>
        <w:spacing w:after="0" w:line="360" w:lineRule="auto"/>
        <w:ind w:firstLine="709"/>
        <w:jc w:val="both"/>
        <w:rPr>
          <w:rFonts w:ascii="Times New Roman" w:hAnsi="Times New Roman" w:cs="Times New Roman"/>
          <w:i/>
          <w:sz w:val="24"/>
          <w:szCs w:val="24"/>
        </w:rPr>
      </w:pPr>
      <w:r w:rsidRPr="00CD6FE8">
        <w:rPr>
          <w:rFonts w:ascii="Times New Roman" w:hAnsi="Times New Roman" w:cs="Times New Roman"/>
          <w:i/>
          <w:sz w:val="24"/>
          <w:szCs w:val="24"/>
        </w:rPr>
        <w:t>Druhy a postupy hodnotenia</w:t>
      </w:r>
    </w:p>
    <w:p w14:paraId="358E7E71" w14:textId="77777777" w:rsidR="0094237D" w:rsidRPr="00F710F5" w:rsidRDefault="0094237D" w:rsidP="0094237D">
      <w:pPr>
        <w:spacing w:after="0" w:line="360" w:lineRule="auto"/>
        <w:ind w:firstLine="709"/>
        <w:jc w:val="both"/>
        <w:rPr>
          <w:rFonts w:ascii="Times New Roman" w:hAnsi="Times New Roman" w:cs="Times New Roman"/>
          <w:sz w:val="24"/>
          <w:szCs w:val="24"/>
        </w:rPr>
      </w:pPr>
      <w:r w:rsidRPr="00F710F5">
        <w:rPr>
          <w:rFonts w:ascii="Times New Roman" w:hAnsi="Times New Roman" w:cs="Times New Roman"/>
          <w:sz w:val="24"/>
          <w:szCs w:val="24"/>
        </w:rPr>
        <w:t>Monitoring a hodnotenie stratégie CLLD sa bude v území MAS realizovať priebežne, vždy za obdobie 1 roka, počas jej implementácie od roku 2017 do roku 2023:</w:t>
      </w:r>
    </w:p>
    <w:p w14:paraId="3695921D" w14:textId="77777777" w:rsidR="0094237D" w:rsidRPr="00F710F5" w:rsidRDefault="0094237D" w:rsidP="0094237D">
      <w:pPr>
        <w:spacing w:after="0" w:line="360" w:lineRule="auto"/>
        <w:ind w:left="993" w:hanging="284"/>
        <w:jc w:val="both"/>
        <w:rPr>
          <w:rFonts w:ascii="Times New Roman" w:hAnsi="Times New Roman" w:cs="Times New Roman"/>
          <w:sz w:val="24"/>
          <w:szCs w:val="24"/>
        </w:rPr>
      </w:pPr>
      <w:r w:rsidRPr="00F710F5">
        <w:rPr>
          <w:rFonts w:ascii="Times New Roman" w:hAnsi="Times New Roman" w:cs="Times New Roman"/>
          <w:sz w:val="24"/>
          <w:szCs w:val="24"/>
        </w:rPr>
        <w:t>a) na úrovni projektov – pozostáva z monitorovania projektov realizovaných v území MAS - počas realizácie projektu, pri jeho ukončení a po ukončení projektu a pozostáva zo zberu informácii o napredovaní projektov, naplnenia cieľov a ukazovateľov projektov na úrovni výstupov, udržateľnosti projektov a pod.</w:t>
      </w:r>
    </w:p>
    <w:p w14:paraId="23132CF1" w14:textId="77777777" w:rsidR="0094237D" w:rsidRDefault="0094237D" w:rsidP="0094237D">
      <w:pPr>
        <w:spacing w:after="0" w:line="360" w:lineRule="auto"/>
        <w:ind w:left="993" w:hanging="284"/>
        <w:jc w:val="both"/>
        <w:rPr>
          <w:rFonts w:ascii="Times New Roman" w:hAnsi="Times New Roman" w:cs="Times New Roman"/>
          <w:sz w:val="24"/>
          <w:szCs w:val="24"/>
        </w:rPr>
      </w:pPr>
      <w:r w:rsidRPr="00F710F5">
        <w:rPr>
          <w:rFonts w:ascii="Times New Roman" w:hAnsi="Times New Roman" w:cs="Times New Roman"/>
          <w:sz w:val="24"/>
          <w:szCs w:val="24"/>
        </w:rPr>
        <w:t>b) na úrovni finančnej implementácie projektov – pozostáva zo zberu informácii o počte uzatvorených zmlúv, realizovaných zmlúv, výške oprávnených realizovaných výdavkov, efektívnosti vynaložených výdavkov, a pod.</w:t>
      </w:r>
    </w:p>
    <w:p w14:paraId="31AFDB30" w14:textId="77777777" w:rsidR="0094237D" w:rsidRDefault="0094237D" w:rsidP="0094237D">
      <w:pPr>
        <w:spacing w:after="0" w:line="360" w:lineRule="auto"/>
        <w:ind w:left="993" w:hanging="284"/>
        <w:jc w:val="both"/>
        <w:rPr>
          <w:rFonts w:ascii="Times New Roman" w:hAnsi="Times New Roman" w:cs="Times New Roman"/>
          <w:sz w:val="24"/>
          <w:szCs w:val="24"/>
        </w:rPr>
      </w:pPr>
      <w:r w:rsidRPr="00F710F5">
        <w:rPr>
          <w:rFonts w:ascii="Times New Roman" w:hAnsi="Times New Roman" w:cs="Times New Roman"/>
          <w:sz w:val="24"/>
          <w:szCs w:val="24"/>
        </w:rPr>
        <w:lastRenderedPageBreak/>
        <w:t>c) na úrovni sledovania a hodnotenia konkrétnych multiplikačných efektov a dopadov implementácie stratégie CLLD – pozostáva najmä z komplexného monitorovania stavu regiónu a sledovania dopadov projektov a stratégie CLLD na život občanov (viac v kapitole 7.5)</w:t>
      </w:r>
    </w:p>
    <w:p w14:paraId="42789EC6" w14:textId="77777777" w:rsidR="0094237D" w:rsidRDefault="0094237D" w:rsidP="0094237D">
      <w:pPr>
        <w:spacing w:after="0" w:line="360" w:lineRule="auto"/>
        <w:jc w:val="both"/>
        <w:rPr>
          <w:rFonts w:ascii="Times New Roman" w:hAnsi="Times New Roman" w:cs="Times New Roman"/>
          <w:sz w:val="24"/>
          <w:szCs w:val="24"/>
        </w:rPr>
      </w:pPr>
    </w:p>
    <w:p w14:paraId="286FDFB5" w14:textId="77777777" w:rsidR="0094237D" w:rsidRPr="00F710F5" w:rsidRDefault="0094237D" w:rsidP="00CD6FE8">
      <w:pPr>
        <w:spacing w:after="0" w:line="360" w:lineRule="auto"/>
        <w:ind w:firstLine="709"/>
        <w:jc w:val="both"/>
        <w:rPr>
          <w:rFonts w:ascii="Times New Roman" w:hAnsi="Times New Roman" w:cs="Times New Roman"/>
          <w:i/>
          <w:sz w:val="24"/>
          <w:szCs w:val="24"/>
        </w:rPr>
      </w:pPr>
      <w:r w:rsidRPr="00F710F5">
        <w:rPr>
          <w:rFonts w:ascii="Times New Roman" w:hAnsi="Times New Roman" w:cs="Times New Roman"/>
          <w:i/>
          <w:sz w:val="24"/>
          <w:szCs w:val="24"/>
        </w:rPr>
        <w:t>Zapracovanie výsledkov hodnotenia</w:t>
      </w:r>
    </w:p>
    <w:p w14:paraId="66E5EB0F" w14:textId="77777777" w:rsidR="0094237D" w:rsidRPr="00F710F5" w:rsidRDefault="0094237D" w:rsidP="00CD6FE8">
      <w:pPr>
        <w:spacing w:after="0" w:line="360" w:lineRule="auto"/>
        <w:ind w:firstLine="709"/>
        <w:jc w:val="both"/>
        <w:rPr>
          <w:rFonts w:ascii="Times New Roman" w:hAnsi="Times New Roman" w:cs="Times New Roman"/>
          <w:sz w:val="24"/>
          <w:szCs w:val="24"/>
        </w:rPr>
      </w:pPr>
      <w:r w:rsidRPr="00F710F5">
        <w:rPr>
          <w:rFonts w:ascii="Times New Roman" w:hAnsi="Times New Roman" w:cs="Times New Roman"/>
          <w:sz w:val="24"/>
          <w:szCs w:val="24"/>
        </w:rPr>
        <w:t>Výsledky hodnotenia slúžia ako východisko pre spracovanie návrhov na zmeny stratégie CLLD a príslušnej dokumentácie. V zásade sa jedná o zmeny a podmienky zmien zadefinované v odseku 3 kap. 10.1.1. Systému riadenia CLLD. Tieto zmeny podliehajú jednak schvaľovaniu príslušného orgánu MAS (v súlade so stanovami a internými predpismi) ako aj podliehajú súhlasu príslušných riadiacich orgánov pre PRV a IROP.</w:t>
      </w:r>
    </w:p>
    <w:p w14:paraId="1D778328" w14:textId="77777777" w:rsidR="0094237D" w:rsidRDefault="0094237D" w:rsidP="0094237D">
      <w:pPr>
        <w:spacing w:after="0" w:line="360" w:lineRule="auto"/>
        <w:ind w:firstLine="709"/>
        <w:jc w:val="both"/>
        <w:rPr>
          <w:rFonts w:ascii="Times New Roman" w:hAnsi="Times New Roman" w:cs="Times New Roman"/>
          <w:sz w:val="24"/>
          <w:szCs w:val="24"/>
        </w:rPr>
      </w:pPr>
      <w:r w:rsidRPr="00F710F5">
        <w:rPr>
          <w:rFonts w:ascii="Times New Roman" w:hAnsi="Times New Roman" w:cs="Times New Roman"/>
          <w:sz w:val="24"/>
          <w:szCs w:val="24"/>
        </w:rPr>
        <w:t>Zmenu kritérií pre výber projektov v rámci implementácie stratégie CLLD možné realizovať po roku odo dňa nadobudnutia právoplatnosti zmluvy o poskytnutí NFP na Chod MAS.</w:t>
      </w:r>
      <w:r>
        <w:rPr>
          <w:rFonts w:ascii="Times New Roman" w:hAnsi="Times New Roman" w:cs="Times New Roman"/>
          <w:sz w:val="24"/>
          <w:szCs w:val="24"/>
        </w:rPr>
        <w:t xml:space="preserve"> </w:t>
      </w:r>
      <w:r w:rsidRPr="00F710F5">
        <w:rPr>
          <w:rFonts w:ascii="Times New Roman" w:hAnsi="Times New Roman" w:cs="Times New Roman"/>
          <w:sz w:val="24"/>
          <w:szCs w:val="24"/>
        </w:rPr>
        <w:t>Zmeny stratégie CLLD je možné realizovať v nadväznosti na výsledky strednodobého hodnotenia.</w:t>
      </w:r>
      <w:r>
        <w:rPr>
          <w:rFonts w:ascii="Times New Roman" w:hAnsi="Times New Roman" w:cs="Times New Roman"/>
          <w:sz w:val="24"/>
          <w:szCs w:val="24"/>
        </w:rPr>
        <w:t xml:space="preserve"> </w:t>
      </w:r>
      <w:r w:rsidRPr="00F710F5">
        <w:rPr>
          <w:rFonts w:ascii="Times New Roman" w:hAnsi="Times New Roman" w:cs="Times New Roman"/>
          <w:sz w:val="24"/>
          <w:szCs w:val="24"/>
        </w:rPr>
        <w:t>Zmena pôsobnosti územia MAS sa môže vykonať jeden krát v priebehu programového obdobia 2014 – 2020, a to najskôr po dvoch rokoch od odo dňa nadobudnutia právoplatnosti zmluvy o poskytnutí NFP na Chod MAS.</w:t>
      </w:r>
    </w:p>
    <w:p w14:paraId="0CEF4DCE" w14:textId="77777777" w:rsidR="0094237D" w:rsidRDefault="0094237D" w:rsidP="0082111F">
      <w:pPr>
        <w:spacing w:after="0" w:line="360" w:lineRule="auto"/>
        <w:jc w:val="both"/>
        <w:rPr>
          <w:rFonts w:ascii="Times New Roman" w:hAnsi="Times New Roman" w:cs="Times New Roman"/>
          <w:sz w:val="24"/>
          <w:szCs w:val="24"/>
        </w:rPr>
      </w:pPr>
    </w:p>
    <w:p w14:paraId="53889B1F" w14:textId="77777777" w:rsidR="009F4B75" w:rsidRPr="00CD6FE8" w:rsidRDefault="0094237D" w:rsidP="00CD6FE8">
      <w:pPr>
        <w:spacing w:before="120" w:after="0" w:line="360" w:lineRule="auto"/>
        <w:ind w:firstLine="709"/>
        <w:jc w:val="both"/>
        <w:rPr>
          <w:rFonts w:ascii="Times New Roman" w:hAnsi="Times New Roman" w:cs="Times New Roman"/>
          <w:i/>
          <w:sz w:val="24"/>
          <w:szCs w:val="24"/>
        </w:rPr>
      </w:pPr>
      <w:r w:rsidRPr="00CD6FE8">
        <w:rPr>
          <w:rFonts w:ascii="Times New Roman" w:hAnsi="Times New Roman" w:cs="Times New Roman"/>
          <w:i/>
          <w:sz w:val="24"/>
          <w:szCs w:val="24"/>
        </w:rPr>
        <w:t xml:space="preserve">Sebahodnotenie </w:t>
      </w:r>
      <w:r w:rsidR="0082111F" w:rsidRPr="00CD6FE8">
        <w:rPr>
          <w:rFonts w:ascii="Times New Roman" w:hAnsi="Times New Roman" w:cs="Times New Roman"/>
          <w:i/>
          <w:sz w:val="24"/>
          <w:szCs w:val="24"/>
        </w:rPr>
        <w:tab/>
      </w:r>
    </w:p>
    <w:p w14:paraId="3AB3D272" w14:textId="77777777" w:rsidR="0082111F" w:rsidRPr="006D514A" w:rsidRDefault="0082111F" w:rsidP="00CD6FE8">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Sebahodnotenie</w:t>
      </w:r>
      <w:r w:rsidRPr="006D514A">
        <w:rPr>
          <w:rFonts w:ascii="Times New Roman" w:hAnsi="Times New Roman" w:cs="Times New Roman"/>
          <w:sz w:val="24"/>
          <w:szCs w:val="24"/>
        </w:rPr>
        <w:t xml:space="preserve"> MAS v sebe zahŕňa dve oblasti a to priebeh implementácie stratégie a</w:t>
      </w:r>
      <w:r>
        <w:rPr>
          <w:rFonts w:ascii="Times New Roman" w:hAnsi="Times New Roman" w:cs="Times New Roman"/>
          <w:sz w:val="24"/>
          <w:szCs w:val="24"/>
        </w:rPr>
        <w:t xml:space="preserve"> </w:t>
      </w:r>
      <w:r w:rsidRPr="006D514A">
        <w:rPr>
          <w:rFonts w:ascii="Times New Roman" w:hAnsi="Times New Roman" w:cs="Times New Roman"/>
          <w:sz w:val="24"/>
          <w:szCs w:val="24"/>
        </w:rPr>
        <w:t>činnosť MAS a fungovanie vlastného inštitucionálneho zázemia.</w:t>
      </w:r>
    </w:p>
    <w:p w14:paraId="1F9D459E" w14:textId="77777777" w:rsidR="0094237D" w:rsidRDefault="0094237D" w:rsidP="00CD6FE8">
      <w:pPr>
        <w:spacing w:after="0" w:line="360" w:lineRule="auto"/>
        <w:jc w:val="both"/>
        <w:rPr>
          <w:rFonts w:ascii="Times New Roman" w:hAnsi="Times New Roman" w:cs="Times New Roman"/>
          <w:sz w:val="24"/>
          <w:szCs w:val="24"/>
        </w:rPr>
      </w:pPr>
      <w:r w:rsidRPr="00CA19DE">
        <w:rPr>
          <w:rFonts w:ascii="Times New Roman" w:hAnsi="Times New Roman" w:cs="Times New Roman"/>
          <w:sz w:val="24"/>
          <w:szCs w:val="24"/>
        </w:rPr>
        <w:t>Sebahodnotenie sa real</w:t>
      </w:r>
      <w:r>
        <w:rPr>
          <w:rFonts w:ascii="Times New Roman" w:hAnsi="Times New Roman" w:cs="Times New Roman"/>
          <w:sz w:val="24"/>
          <w:szCs w:val="24"/>
        </w:rPr>
        <w:t>izuje v nasledovných oblastiach:</w:t>
      </w:r>
    </w:p>
    <w:p w14:paraId="6F848EF2" w14:textId="77777777" w:rsidR="0094237D" w:rsidRDefault="0094237D" w:rsidP="00CD6FE8">
      <w:pPr>
        <w:pStyle w:val="Odsekzoznamu"/>
        <w:numPr>
          <w:ilvl w:val="0"/>
          <w:numId w:val="1"/>
        </w:numPr>
        <w:spacing w:after="0" w:line="360" w:lineRule="auto"/>
        <w:jc w:val="both"/>
        <w:rPr>
          <w:rFonts w:ascii="Times New Roman" w:hAnsi="Times New Roman" w:cs="Times New Roman"/>
          <w:sz w:val="24"/>
          <w:szCs w:val="24"/>
        </w:rPr>
      </w:pPr>
      <w:r w:rsidRPr="00CA19DE">
        <w:rPr>
          <w:rFonts w:ascii="Times New Roman" w:hAnsi="Times New Roman" w:cs="Times New Roman"/>
          <w:sz w:val="24"/>
          <w:szCs w:val="24"/>
        </w:rPr>
        <w:t>implementácia stratégie CLLD vrátane hodnotenia plnenia 7 kľúčových znakov LEADER</w:t>
      </w:r>
      <w:r>
        <w:rPr>
          <w:rFonts w:ascii="Times New Roman" w:hAnsi="Times New Roman" w:cs="Times New Roman"/>
          <w:sz w:val="24"/>
          <w:szCs w:val="24"/>
        </w:rPr>
        <w:t>,</w:t>
      </w:r>
      <w:r w:rsidRPr="00CA19DE">
        <w:rPr>
          <w:rFonts w:ascii="Times New Roman" w:hAnsi="Times New Roman" w:cs="Times New Roman"/>
          <w:sz w:val="24"/>
          <w:szCs w:val="24"/>
        </w:rPr>
        <w:t xml:space="preserve"> </w:t>
      </w:r>
    </w:p>
    <w:p w14:paraId="4B6CBDDE" w14:textId="77777777" w:rsidR="0094237D" w:rsidRDefault="0094237D" w:rsidP="0094237D">
      <w:pPr>
        <w:pStyle w:val="Odsekzoznamu"/>
        <w:numPr>
          <w:ilvl w:val="0"/>
          <w:numId w:val="1"/>
        </w:numPr>
        <w:spacing w:before="120" w:after="0" w:line="360" w:lineRule="auto"/>
        <w:jc w:val="both"/>
        <w:rPr>
          <w:rFonts w:ascii="Times New Roman" w:hAnsi="Times New Roman" w:cs="Times New Roman"/>
          <w:sz w:val="24"/>
          <w:szCs w:val="24"/>
        </w:rPr>
      </w:pPr>
      <w:r w:rsidRPr="00CA19DE">
        <w:rPr>
          <w:rFonts w:ascii="Times New Roman" w:hAnsi="Times New Roman" w:cs="Times New Roman"/>
          <w:sz w:val="24"/>
          <w:szCs w:val="24"/>
        </w:rPr>
        <w:t>implementačného procesu</w:t>
      </w:r>
      <w:r>
        <w:rPr>
          <w:rFonts w:ascii="Times New Roman" w:hAnsi="Times New Roman" w:cs="Times New Roman"/>
          <w:sz w:val="24"/>
          <w:szCs w:val="24"/>
        </w:rPr>
        <w:t>,</w:t>
      </w:r>
    </w:p>
    <w:p w14:paraId="25BCD37A" w14:textId="77777777" w:rsidR="0094237D" w:rsidRDefault="0094237D" w:rsidP="0094237D">
      <w:pPr>
        <w:pStyle w:val="Odsekzoznamu"/>
        <w:numPr>
          <w:ilvl w:val="0"/>
          <w:numId w:val="1"/>
        </w:numPr>
        <w:spacing w:before="120" w:after="0" w:line="360" w:lineRule="auto"/>
        <w:jc w:val="both"/>
        <w:rPr>
          <w:rFonts w:ascii="Times New Roman" w:hAnsi="Times New Roman" w:cs="Times New Roman"/>
          <w:sz w:val="24"/>
          <w:szCs w:val="24"/>
        </w:rPr>
      </w:pPr>
      <w:r w:rsidRPr="00CA19DE">
        <w:rPr>
          <w:rFonts w:ascii="Times New Roman" w:hAnsi="Times New Roman" w:cs="Times New Roman"/>
          <w:sz w:val="24"/>
          <w:szCs w:val="24"/>
        </w:rPr>
        <w:t>riadiaceho procesu</w:t>
      </w:r>
      <w:r>
        <w:rPr>
          <w:rFonts w:ascii="Times New Roman" w:hAnsi="Times New Roman" w:cs="Times New Roman"/>
          <w:sz w:val="24"/>
          <w:szCs w:val="24"/>
        </w:rPr>
        <w:t>,</w:t>
      </w:r>
      <w:r w:rsidRPr="00CA19DE">
        <w:rPr>
          <w:rFonts w:ascii="Times New Roman" w:hAnsi="Times New Roman" w:cs="Times New Roman"/>
          <w:sz w:val="24"/>
          <w:szCs w:val="24"/>
        </w:rPr>
        <w:t xml:space="preserve"> </w:t>
      </w:r>
    </w:p>
    <w:p w14:paraId="5809C364" w14:textId="77777777" w:rsidR="0094237D" w:rsidRDefault="0094237D" w:rsidP="0094237D">
      <w:pPr>
        <w:pStyle w:val="Odsekzoznamu"/>
        <w:numPr>
          <w:ilvl w:val="0"/>
          <w:numId w:val="1"/>
        </w:numPr>
        <w:spacing w:before="120" w:after="0" w:line="360" w:lineRule="auto"/>
        <w:jc w:val="both"/>
        <w:rPr>
          <w:rFonts w:ascii="Times New Roman" w:hAnsi="Times New Roman" w:cs="Times New Roman"/>
          <w:sz w:val="24"/>
          <w:szCs w:val="24"/>
        </w:rPr>
      </w:pPr>
      <w:r w:rsidRPr="0094237D">
        <w:rPr>
          <w:rFonts w:ascii="Times New Roman" w:hAnsi="Times New Roman" w:cs="Times New Roman"/>
          <w:sz w:val="24"/>
          <w:szCs w:val="24"/>
        </w:rPr>
        <w:t>propagácie a vzdelávania členov MAS</w:t>
      </w:r>
      <w:r>
        <w:rPr>
          <w:rFonts w:ascii="Times New Roman" w:hAnsi="Times New Roman" w:cs="Times New Roman"/>
          <w:sz w:val="24"/>
          <w:szCs w:val="24"/>
        </w:rPr>
        <w:t>.</w:t>
      </w:r>
    </w:p>
    <w:p w14:paraId="0999A587" w14:textId="77777777" w:rsidR="0094237D" w:rsidRDefault="0094237D" w:rsidP="0094237D">
      <w:pPr>
        <w:spacing w:after="0" w:line="360" w:lineRule="auto"/>
        <w:jc w:val="both"/>
        <w:rPr>
          <w:rFonts w:ascii="Times New Roman" w:hAnsi="Times New Roman" w:cs="Times New Roman"/>
          <w:b/>
          <w:bCs/>
          <w:sz w:val="24"/>
          <w:szCs w:val="24"/>
        </w:rPr>
      </w:pPr>
    </w:p>
    <w:p w14:paraId="666FE97B" w14:textId="77777777" w:rsidR="0094237D" w:rsidRPr="00CD6FE8" w:rsidRDefault="0094237D" w:rsidP="0094237D">
      <w:pPr>
        <w:spacing w:after="0" w:line="360" w:lineRule="auto"/>
        <w:jc w:val="both"/>
        <w:rPr>
          <w:rFonts w:ascii="Times New Roman" w:hAnsi="Times New Roman" w:cs="Times New Roman"/>
          <w:i/>
          <w:sz w:val="24"/>
          <w:szCs w:val="24"/>
        </w:rPr>
      </w:pPr>
      <w:r w:rsidRPr="00CD6FE8">
        <w:rPr>
          <w:rFonts w:ascii="Times New Roman" w:hAnsi="Times New Roman" w:cs="Times New Roman"/>
          <w:bCs/>
          <w:i/>
          <w:sz w:val="24"/>
          <w:szCs w:val="24"/>
        </w:rPr>
        <w:t>Hodnotenie implementácie stratégie CLLD vrátane hodnotenia plnenia 7 kľúčových znakov LEADER</w:t>
      </w:r>
    </w:p>
    <w:p w14:paraId="6E5D11C9" w14:textId="77777777" w:rsidR="0094237D" w:rsidRPr="00CA19DE" w:rsidRDefault="0094237D" w:rsidP="00CD6FE8">
      <w:pPr>
        <w:spacing w:after="0" w:line="360" w:lineRule="auto"/>
        <w:ind w:firstLine="709"/>
        <w:jc w:val="both"/>
        <w:rPr>
          <w:rFonts w:ascii="Times New Roman" w:hAnsi="Times New Roman" w:cs="Times New Roman"/>
          <w:sz w:val="24"/>
          <w:szCs w:val="24"/>
        </w:rPr>
      </w:pPr>
      <w:r w:rsidRPr="00CA19DE">
        <w:rPr>
          <w:rFonts w:ascii="Times New Roman" w:hAnsi="Times New Roman" w:cs="Times New Roman"/>
          <w:sz w:val="24"/>
          <w:szCs w:val="24"/>
        </w:rPr>
        <w:t>Hodnotenie implementácie stratégie vrátane popisu spôsobov overovania, frekvencie a získavania monitorovacích ukazovateľov sú popísané v úvodnej časti tejto kapitoly. Pri hodnotení sa vždy prihliada zároveň na vyhodnotenie 7 kľúčových znakov LEADER:</w:t>
      </w:r>
    </w:p>
    <w:p w14:paraId="038040C3" w14:textId="77777777" w:rsidR="00084A31"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lastRenderedPageBreak/>
        <w:t>1. Oblastné stratégie miestneho rozvoja</w:t>
      </w:r>
      <w:r>
        <w:rPr>
          <w:rFonts w:ascii="Times New Roman" w:hAnsi="Times New Roman" w:cs="Times New Roman"/>
          <w:sz w:val="24"/>
          <w:szCs w:val="24"/>
        </w:rPr>
        <w:t xml:space="preserve"> - p</w:t>
      </w:r>
      <w:r w:rsidRPr="00CA19DE">
        <w:rPr>
          <w:rFonts w:ascii="Times New Roman" w:hAnsi="Times New Roman" w:cs="Times New Roman"/>
          <w:sz w:val="24"/>
          <w:szCs w:val="24"/>
        </w:rPr>
        <w:t>odstatné je vyhodnotenie posilňovania súdržnosti a homogenity územia, spoločných tradícií a využívania miestnych zdrojov</w:t>
      </w:r>
      <w:r>
        <w:rPr>
          <w:rFonts w:ascii="Times New Roman" w:hAnsi="Times New Roman" w:cs="Times New Roman"/>
          <w:sz w:val="24"/>
          <w:szCs w:val="24"/>
        </w:rPr>
        <w:t>.</w:t>
      </w:r>
    </w:p>
    <w:p w14:paraId="6A412C50" w14:textId="77777777" w:rsidR="0094237D" w:rsidRPr="00CA19DE"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t>2. Prístup zdola nahor</w:t>
      </w:r>
      <w:r>
        <w:rPr>
          <w:rFonts w:ascii="Times New Roman" w:hAnsi="Times New Roman" w:cs="Times New Roman"/>
          <w:sz w:val="24"/>
          <w:szCs w:val="24"/>
        </w:rPr>
        <w:t xml:space="preserve"> - v</w:t>
      </w:r>
      <w:r w:rsidRPr="00CA19DE">
        <w:rPr>
          <w:rFonts w:ascii="Times New Roman" w:hAnsi="Times New Roman" w:cs="Times New Roman"/>
          <w:sz w:val="24"/>
          <w:szCs w:val="24"/>
        </w:rPr>
        <w:t>yhodnocovanie najdôležitejšieho princípu pozostáva na hodnotení miery zapojenia sa miestnych aktérov do procesov v území a do implementácie stratégie CLLD, zvyšovanie odbornosti, informovanosti, identifikácie potrieb a pod.. Tento princíp je možné vyhodnocovať iba v rozsahu, hraníc nastavených riadiacim orgánom zhora nadol.</w:t>
      </w:r>
    </w:p>
    <w:p w14:paraId="614DF119" w14:textId="77777777" w:rsidR="0094237D" w:rsidRPr="00CA19DE"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t>3. Verejno-súkromné partnerstvá: Miestne akčné skupiny MAS</w:t>
      </w:r>
      <w:r>
        <w:rPr>
          <w:rFonts w:ascii="Times New Roman" w:hAnsi="Times New Roman" w:cs="Times New Roman"/>
          <w:sz w:val="24"/>
          <w:szCs w:val="24"/>
        </w:rPr>
        <w:t xml:space="preserve"> - h</w:t>
      </w:r>
      <w:r w:rsidRPr="00CA19DE">
        <w:rPr>
          <w:rFonts w:ascii="Times New Roman" w:hAnsi="Times New Roman" w:cs="Times New Roman"/>
          <w:sz w:val="24"/>
          <w:szCs w:val="24"/>
        </w:rPr>
        <w:t>odnotenie stavu partnerstva, plnenia základných kritérií MAS, vyváženosti MAS, spájanie aktérov v území.</w:t>
      </w:r>
    </w:p>
    <w:p w14:paraId="0627257A" w14:textId="77777777" w:rsidR="0094237D" w:rsidRPr="00CA19DE"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t>4. Uľahčovanie inovácie</w:t>
      </w:r>
      <w:r>
        <w:rPr>
          <w:rFonts w:ascii="Times New Roman" w:hAnsi="Times New Roman" w:cs="Times New Roman"/>
          <w:sz w:val="24"/>
          <w:szCs w:val="24"/>
        </w:rPr>
        <w:t xml:space="preserve"> - v</w:t>
      </w:r>
      <w:r w:rsidRPr="00CA19DE">
        <w:rPr>
          <w:rFonts w:ascii="Times New Roman" w:hAnsi="Times New Roman" w:cs="Times New Roman"/>
          <w:sz w:val="24"/>
          <w:szCs w:val="24"/>
        </w:rPr>
        <w:t>yhodnotenie zavedenia prístupu LADER ako inovácie v tvorbe miestnych politík, vyhodnotenie novátorských akcií a originálnych metód realizácie</w:t>
      </w:r>
    </w:p>
    <w:p w14:paraId="26D5612F" w14:textId="77777777" w:rsidR="0094237D" w:rsidRPr="00CA19DE"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t>5. Integrované a viacsektorové akcie</w:t>
      </w:r>
      <w:r>
        <w:rPr>
          <w:rFonts w:ascii="Times New Roman" w:hAnsi="Times New Roman" w:cs="Times New Roman"/>
          <w:sz w:val="24"/>
          <w:szCs w:val="24"/>
        </w:rPr>
        <w:t xml:space="preserve"> - s</w:t>
      </w:r>
      <w:r w:rsidRPr="00CA19DE">
        <w:rPr>
          <w:rFonts w:ascii="Times New Roman" w:hAnsi="Times New Roman" w:cs="Times New Roman"/>
          <w:sz w:val="24"/>
          <w:szCs w:val="24"/>
        </w:rPr>
        <w:t>ledovanie a hodnotenie akcií, projektov a aktivít realizovaných v prepojení rôznymi ekonomickými, spoločenskými, kultúrnymi, ekologickými aktérmi a zainteresovanými sektormi.</w:t>
      </w:r>
    </w:p>
    <w:p w14:paraId="62FE13D3" w14:textId="77777777" w:rsidR="0094237D" w:rsidRPr="00CA19DE" w:rsidRDefault="0094237D" w:rsidP="00084A31">
      <w:pPr>
        <w:spacing w:after="0" w:line="360" w:lineRule="auto"/>
        <w:ind w:left="284" w:hanging="284"/>
        <w:jc w:val="both"/>
        <w:rPr>
          <w:rFonts w:ascii="Times New Roman" w:hAnsi="Times New Roman" w:cs="Times New Roman"/>
          <w:sz w:val="24"/>
          <w:szCs w:val="24"/>
        </w:rPr>
      </w:pPr>
      <w:r w:rsidRPr="00CA19DE">
        <w:rPr>
          <w:rFonts w:ascii="Times New Roman" w:hAnsi="Times New Roman" w:cs="Times New Roman"/>
          <w:sz w:val="24"/>
          <w:szCs w:val="24"/>
        </w:rPr>
        <w:t>6. Vytváranie sietí</w:t>
      </w:r>
      <w:r>
        <w:rPr>
          <w:rFonts w:ascii="Times New Roman" w:hAnsi="Times New Roman" w:cs="Times New Roman"/>
          <w:sz w:val="24"/>
          <w:szCs w:val="24"/>
        </w:rPr>
        <w:t xml:space="preserve"> - h</w:t>
      </w:r>
      <w:r w:rsidRPr="00CA19DE">
        <w:rPr>
          <w:rFonts w:ascii="Times New Roman" w:hAnsi="Times New Roman" w:cs="Times New Roman"/>
          <w:sz w:val="24"/>
          <w:szCs w:val="24"/>
        </w:rPr>
        <w:t>odnotenie regionálnej, nadregionálnej a medzinárodnej spolupráce v rámci sietí – výmeny skúseností, výsledkov. Zlepšovanie prepojenia medzi vidieckymi oblasťami, projektmi a ľuďmi.</w:t>
      </w:r>
    </w:p>
    <w:p w14:paraId="484B77FE" w14:textId="77777777" w:rsidR="0082111F" w:rsidRDefault="0094237D" w:rsidP="0094237D">
      <w:pPr>
        <w:spacing w:after="0" w:line="360" w:lineRule="auto"/>
        <w:jc w:val="both"/>
        <w:rPr>
          <w:rFonts w:ascii="Times New Roman" w:hAnsi="Times New Roman" w:cs="Times New Roman"/>
          <w:sz w:val="24"/>
          <w:szCs w:val="24"/>
        </w:rPr>
      </w:pPr>
      <w:r w:rsidRPr="00CA19DE">
        <w:rPr>
          <w:rFonts w:ascii="Times New Roman" w:hAnsi="Times New Roman" w:cs="Times New Roman"/>
          <w:sz w:val="24"/>
          <w:szCs w:val="24"/>
        </w:rPr>
        <w:t>7. Spolupráca</w:t>
      </w:r>
      <w:r>
        <w:rPr>
          <w:rFonts w:ascii="Times New Roman" w:hAnsi="Times New Roman" w:cs="Times New Roman"/>
          <w:sz w:val="24"/>
          <w:szCs w:val="24"/>
        </w:rPr>
        <w:t xml:space="preserve"> - h</w:t>
      </w:r>
      <w:r w:rsidRPr="00CA19DE">
        <w:rPr>
          <w:rFonts w:ascii="Times New Roman" w:hAnsi="Times New Roman" w:cs="Times New Roman"/>
          <w:sz w:val="24"/>
          <w:szCs w:val="24"/>
        </w:rPr>
        <w:t>odnotenie projektov spolupráce</w:t>
      </w:r>
    </w:p>
    <w:p w14:paraId="12472C29" w14:textId="77777777" w:rsidR="0082111F" w:rsidRDefault="0082111F" w:rsidP="008211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4F75CF0D" w14:textId="77777777" w:rsidR="0094237D" w:rsidRPr="00084A31" w:rsidRDefault="0094237D" w:rsidP="0094237D">
      <w:pPr>
        <w:spacing w:after="0" w:line="360" w:lineRule="auto"/>
        <w:jc w:val="both"/>
        <w:rPr>
          <w:rFonts w:ascii="Times New Roman" w:hAnsi="Times New Roman" w:cs="Times New Roman"/>
          <w:i/>
          <w:sz w:val="24"/>
          <w:szCs w:val="24"/>
        </w:rPr>
      </w:pPr>
      <w:r w:rsidRPr="00084A31">
        <w:rPr>
          <w:rFonts w:ascii="Times New Roman" w:hAnsi="Times New Roman" w:cs="Times New Roman"/>
          <w:i/>
          <w:sz w:val="24"/>
          <w:szCs w:val="24"/>
        </w:rPr>
        <w:t>Hodnotenie implementačného procesu</w:t>
      </w:r>
    </w:p>
    <w:p w14:paraId="7594FB5D" w14:textId="77777777" w:rsidR="0094237D" w:rsidRPr="00CA19DE" w:rsidRDefault="0094237D" w:rsidP="00084A31">
      <w:pPr>
        <w:spacing w:after="0" w:line="360" w:lineRule="auto"/>
        <w:ind w:firstLine="709"/>
        <w:jc w:val="both"/>
        <w:rPr>
          <w:rFonts w:ascii="Times New Roman" w:hAnsi="Times New Roman" w:cs="Times New Roman"/>
          <w:sz w:val="24"/>
          <w:szCs w:val="24"/>
        </w:rPr>
      </w:pPr>
      <w:r w:rsidRPr="00CA19DE">
        <w:rPr>
          <w:rFonts w:ascii="Times New Roman" w:hAnsi="Times New Roman" w:cs="Times New Roman"/>
          <w:sz w:val="24"/>
          <w:szCs w:val="24"/>
        </w:rPr>
        <w:t>Spočíva v hodnotení procesov zabezpečujúcich plnenie stratégie, ako je plnenie harmonogramu vyhlasovania výziev, stanovených míľnikov, plnenie stanovených postupov, postupov obstarávania a výberu. Hodnotenie súladu procesov s aktuálnymi riadiacimi dokumentmi PRV a IROP a pod.</w:t>
      </w:r>
      <w:r>
        <w:rPr>
          <w:rFonts w:ascii="Times New Roman" w:hAnsi="Times New Roman" w:cs="Times New Roman"/>
          <w:sz w:val="24"/>
          <w:szCs w:val="24"/>
        </w:rPr>
        <w:t xml:space="preserve"> </w:t>
      </w:r>
      <w:r w:rsidRPr="00CA19DE">
        <w:rPr>
          <w:rFonts w:ascii="Times New Roman" w:hAnsi="Times New Roman" w:cs="Times New Roman"/>
          <w:sz w:val="24"/>
          <w:szCs w:val="24"/>
        </w:rPr>
        <w:t>Zdroje údajov sú monitorovacie správy Chodu MAS, vlastné evidencie, správy Revíznej komisie. Frekvencia hodnotenia je totožná s frekvenciou podávania monitorovacích správ z implementácie stratégie</w:t>
      </w:r>
      <w:r w:rsidR="00B63D29">
        <w:rPr>
          <w:rFonts w:ascii="Times New Roman" w:hAnsi="Times New Roman" w:cs="Times New Roman"/>
          <w:sz w:val="24"/>
          <w:szCs w:val="24"/>
        </w:rPr>
        <w:t>.</w:t>
      </w:r>
    </w:p>
    <w:p w14:paraId="6F7C1039" w14:textId="77777777" w:rsidR="0094237D" w:rsidRDefault="0094237D" w:rsidP="0094237D">
      <w:pPr>
        <w:spacing w:after="0" w:line="360" w:lineRule="auto"/>
        <w:jc w:val="both"/>
        <w:rPr>
          <w:rFonts w:ascii="Times New Roman" w:hAnsi="Times New Roman" w:cs="Times New Roman"/>
          <w:sz w:val="24"/>
          <w:szCs w:val="24"/>
        </w:rPr>
      </w:pPr>
    </w:p>
    <w:p w14:paraId="05875B37" w14:textId="77777777" w:rsidR="0094237D" w:rsidRPr="00084A31" w:rsidRDefault="0094237D" w:rsidP="0094237D">
      <w:pPr>
        <w:spacing w:after="0" w:line="360" w:lineRule="auto"/>
        <w:jc w:val="both"/>
        <w:rPr>
          <w:rFonts w:ascii="Times New Roman" w:hAnsi="Times New Roman" w:cs="Times New Roman"/>
          <w:i/>
          <w:sz w:val="24"/>
          <w:szCs w:val="24"/>
        </w:rPr>
      </w:pPr>
      <w:r w:rsidRPr="00084A31">
        <w:rPr>
          <w:rFonts w:ascii="Times New Roman" w:hAnsi="Times New Roman" w:cs="Times New Roman"/>
          <w:bCs/>
          <w:i/>
          <w:sz w:val="24"/>
          <w:szCs w:val="24"/>
        </w:rPr>
        <w:t xml:space="preserve">Hodnotenie riadiaceho procesu </w:t>
      </w:r>
    </w:p>
    <w:p w14:paraId="34C2EDE0" w14:textId="77777777" w:rsidR="0094237D" w:rsidRDefault="0094237D" w:rsidP="00084A31">
      <w:pPr>
        <w:spacing w:after="0" w:line="360" w:lineRule="auto"/>
        <w:ind w:firstLine="709"/>
        <w:jc w:val="both"/>
        <w:rPr>
          <w:rFonts w:ascii="Times New Roman" w:hAnsi="Times New Roman" w:cs="Times New Roman"/>
          <w:sz w:val="24"/>
          <w:szCs w:val="24"/>
        </w:rPr>
      </w:pPr>
      <w:r w:rsidRPr="00CA19DE">
        <w:rPr>
          <w:rFonts w:ascii="Times New Roman" w:hAnsi="Times New Roman" w:cs="Times New Roman"/>
          <w:sz w:val="24"/>
          <w:szCs w:val="24"/>
        </w:rPr>
        <w:t>Sledovanie a hodnotenie manažmentu, kvality personálnej práce orgánov, plnenie stanovených kvalitatívnych kritér</w:t>
      </w:r>
      <w:r>
        <w:rPr>
          <w:rFonts w:ascii="Times New Roman" w:hAnsi="Times New Roman" w:cs="Times New Roman"/>
          <w:sz w:val="24"/>
          <w:szCs w:val="24"/>
        </w:rPr>
        <w:t xml:space="preserve">ií v obsadzovaní pozícií a pod.. </w:t>
      </w:r>
      <w:r w:rsidRPr="00CA19DE">
        <w:rPr>
          <w:rFonts w:ascii="Times New Roman" w:hAnsi="Times New Roman" w:cs="Times New Roman"/>
          <w:sz w:val="24"/>
          <w:szCs w:val="24"/>
        </w:rPr>
        <w:t>Zdroje údajov sú monitorovacie správy Chodu MAS, vlastné evidencie kanc</w:t>
      </w:r>
      <w:r>
        <w:rPr>
          <w:rFonts w:ascii="Times New Roman" w:hAnsi="Times New Roman" w:cs="Times New Roman"/>
          <w:sz w:val="24"/>
          <w:szCs w:val="24"/>
        </w:rPr>
        <w:t xml:space="preserve">elárie, správy Revíznej komisie. </w:t>
      </w:r>
      <w:r w:rsidRPr="00CA19DE">
        <w:rPr>
          <w:rFonts w:ascii="Times New Roman" w:hAnsi="Times New Roman" w:cs="Times New Roman"/>
          <w:sz w:val="24"/>
          <w:szCs w:val="24"/>
        </w:rPr>
        <w:t>Frekvencia hodnotenia je totožná s frekvenciou podávania monitorovacích správ z implementácie stratégie</w:t>
      </w:r>
      <w:r>
        <w:rPr>
          <w:rFonts w:ascii="Times New Roman" w:hAnsi="Times New Roman" w:cs="Times New Roman"/>
          <w:sz w:val="24"/>
          <w:szCs w:val="24"/>
        </w:rPr>
        <w:t>.</w:t>
      </w:r>
    </w:p>
    <w:p w14:paraId="352C7A40" w14:textId="77777777" w:rsidR="0094237D" w:rsidRDefault="0094237D" w:rsidP="0094237D">
      <w:pPr>
        <w:spacing w:after="0" w:line="360" w:lineRule="auto"/>
        <w:jc w:val="both"/>
        <w:rPr>
          <w:rFonts w:ascii="Times New Roman" w:hAnsi="Times New Roman" w:cs="Times New Roman"/>
          <w:sz w:val="24"/>
          <w:szCs w:val="24"/>
        </w:rPr>
      </w:pPr>
    </w:p>
    <w:p w14:paraId="065AB4DB" w14:textId="77777777" w:rsidR="0094237D" w:rsidRPr="00084A31" w:rsidRDefault="0094237D" w:rsidP="0094237D">
      <w:pPr>
        <w:spacing w:after="0" w:line="360" w:lineRule="auto"/>
        <w:jc w:val="both"/>
        <w:rPr>
          <w:rFonts w:ascii="Times New Roman" w:hAnsi="Times New Roman" w:cs="Times New Roman"/>
          <w:i/>
          <w:sz w:val="24"/>
          <w:szCs w:val="24"/>
        </w:rPr>
      </w:pPr>
      <w:r w:rsidRPr="00084A31">
        <w:rPr>
          <w:rFonts w:ascii="Times New Roman" w:hAnsi="Times New Roman" w:cs="Times New Roman"/>
          <w:i/>
          <w:sz w:val="24"/>
          <w:szCs w:val="24"/>
        </w:rPr>
        <w:t>Hodnotenie propagácie a vzdelávania členov MAS</w:t>
      </w:r>
    </w:p>
    <w:p w14:paraId="60D8F399" w14:textId="77777777" w:rsidR="0094237D" w:rsidRPr="00CA19DE" w:rsidRDefault="0094237D" w:rsidP="00084A31">
      <w:pPr>
        <w:spacing w:after="0" w:line="360" w:lineRule="auto"/>
        <w:ind w:firstLine="709"/>
        <w:jc w:val="both"/>
        <w:rPr>
          <w:rFonts w:ascii="Times New Roman" w:hAnsi="Times New Roman" w:cs="Times New Roman"/>
          <w:sz w:val="24"/>
          <w:szCs w:val="24"/>
        </w:rPr>
      </w:pPr>
      <w:r w:rsidRPr="00CA19DE">
        <w:rPr>
          <w:rFonts w:ascii="Times New Roman" w:hAnsi="Times New Roman" w:cs="Times New Roman"/>
          <w:sz w:val="24"/>
          <w:szCs w:val="24"/>
        </w:rPr>
        <w:lastRenderedPageBreak/>
        <w:t>Sledovanie a hodnotenie počtu, rozsahu a kvality propagačných a informačných aktivít, prípadne počtu účastníkov</w:t>
      </w:r>
      <w:r>
        <w:rPr>
          <w:rFonts w:ascii="Times New Roman" w:hAnsi="Times New Roman" w:cs="Times New Roman"/>
          <w:sz w:val="24"/>
          <w:szCs w:val="24"/>
        </w:rPr>
        <w:t>,</w:t>
      </w:r>
      <w:r w:rsidRPr="00CA19DE">
        <w:rPr>
          <w:rFonts w:ascii="Times New Roman" w:hAnsi="Times New Roman" w:cs="Times New Roman"/>
          <w:sz w:val="24"/>
          <w:szCs w:val="24"/>
        </w:rPr>
        <w:t xml:space="preserve"> ak je to relevantné.</w:t>
      </w:r>
      <w:r>
        <w:rPr>
          <w:rFonts w:ascii="Times New Roman" w:hAnsi="Times New Roman" w:cs="Times New Roman"/>
          <w:sz w:val="24"/>
          <w:szCs w:val="24"/>
        </w:rPr>
        <w:t xml:space="preserve"> </w:t>
      </w:r>
      <w:r w:rsidRPr="00CA19DE">
        <w:rPr>
          <w:rFonts w:ascii="Times New Roman" w:hAnsi="Times New Roman" w:cs="Times New Roman"/>
          <w:sz w:val="24"/>
          <w:szCs w:val="24"/>
        </w:rPr>
        <w:t>Sledovanie a hodnotenie počtu, rozsahu, kvality a počtu účastníkov vzdelávacích aktivít pre členov MAS.</w:t>
      </w:r>
      <w:r>
        <w:rPr>
          <w:rFonts w:ascii="Times New Roman" w:hAnsi="Times New Roman" w:cs="Times New Roman"/>
          <w:sz w:val="24"/>
          <w:szCs w:val="24"/>
        </w:rPr>
        <w:t xml:space="preserve"> </w:t>
      </w:r>
      <w:r w:rsidRPr="00CA19DE">
        <w:rPr>
          <w:rFonts w:ascii="Times New Roman" w:hAnsi="Times New Roman" w:cs="Times New Roman"/>
          <w:sz w:val="24"/>
          <w:szCs w:val="24"/>
        </w:rPr>
        <w:t>Zdroje údajov sú monitorovacie správy Chodu MAS, vlastné evidencie (napr. prezenčné listiny), správy o činnosti MAS.</w:t>
      </w:r>
      <w:r>
        <w:rPr>
          <w:rFonts w:ascii="Times New Roman" w:hAnsi="Times New Roman" w:cs="Times New Roman"/>
          <w:sz w:val="24"/>
          <w:szCs w:val="24"/>
        </w:rPr>
        <w:t xml:space="preserve"> </w:t>
      </w:r>
      <w:r w:rsidRPr="00CA19DE">
        <w:rPr>
          <w:rFonts w:ascii="Times New Roman" w:hAnsi="Times New Roman" w:cs="Times New Roman"/>
          <w:sz w:val="24"/>
          <w:szCs w:val="24"/>
        </w:rPr>
        <w:t>Frekvencia hodnotenia je totožná s frekvenciou podávania monitorovacích správ z implementácie stratégie</w:t>
      </w:r>
      <w:r w:rsidR="00B63D29">
        <w:rPr>
          <w:rFonts w:ascii="Times New Roman" w:hAnsi="Times New Roman" w:cs="Times New Roman"/>
          <w:sz w:val="24"/>
          <w:szCs w:val="24"/>
        </w:rPr>
        <w:t>.</w:t>
      </w:r>
    </w:p>
    <w:p w14:paraId="7E061DB4" w14:textId="77777777" w:rsidR="0094237D" w:rsidRDefault="0094237D" w:rsidP="0094237D">
      <w:pPr>
        <w:spacing w:after="0" w:line="360" w:lineRule="auto"/>
        <w:jc w:val="both"/>
        <w:rPr>
          <w:rFonts w:ascii="Times New Roman" w:hAnsi="Times New Roman" w:cs="Times New Roman"/>
          <w:sz w:val="24"/>
          <w:szCs w:val="24"/>
        </w:rPr>
      </w:pPr>
    </w:p>
    <w:p w14:paraId="4BAE7C86" w14:textId="77777777" w:rsidR="0094237D" w:rsidRPr="00084A31" w:rsidRDefault="0094237D" w:rsidP="0094237D">
      <w:pPr>
        <w:spacing w:after="0" w:line="360" w:lineRule="auto"/>
        <w:jc w:val="both"/>
        <w:rPr>
          <w:rFonts w:ascii="Times New Roman" w:hAnsi="Times New Roman" w:cs="Times New Roman"/>
          <w:i/>
          <w:sz w:val="24"/>
          <w:szCs w:val="24"/>
        </w:rPr>
      </w:pPr>
      <w:r w:rsidRPr="00084A31">
        <w:rPr>
          <w:rFonts w:ascii="Times New Roman" w:hAnsi="Times New Roman" w:cs="Times New Roman"/>
          <w:i/>
          <w:sz w:val="24"/>
          <w:szCs w:val="24"/>
        </w:rPr>
        <w:t>Identifikácia rizík implementácie stratégie:</w:t>
      </w:r>
    </w:p>
    <w:p w14:paraId="7FEBFD83" w14:textId="77777777" w:rsidR="0094237D" w:rsidRPr="0027057A" w:rsidRDefault="0094237D" w:rsidP="00084A31">
      <w:pPr>
        <w:spacing w:after="0" w:line="360" w:lineRule="auto"/>
        <w:ind w:firstLine="360"/>
        <w:jc w:val="both"/>
        <w:rPr>
          <w:rFonts w:ascii="Times New Roman" w:hAnsi="Times New Roman" w:cs="Times New Roman"/>
          <w:sz w:val="24"/>
          <w:szCs w:val="24"/>
        </w:rPr>
      </w:pPr>
      <w:r w:rsidRPr="0027057A">
        <w:rPr>
          <w:rFonts w:ascii="Times New Roman" w:hAnsi="Times New Roman" w:cs="Times New Roman"/>
          <w:sz w:val="24"/>
          <w:szCs w:val="24"/>
        </w:rPr>
        <w:t>Finančné riziká</w:t>
      </w:r>
    </w:p>
    <w:p w14:paraId="1B698CD1"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riziko dvojitého financovania</w:t>
      </w:r>
      <w:r w:rsidR="00B63D29">
        <w:rPr>
          <w:rFonts w:ascii="Times New Roman" w:hAnsi="Times New Roman" w:cs="Times New Roman"/>
          <w:sz w:val="24"/>
          <w:szCs w:val="24"/>
        </w:rPr>
        <w:t>,</w:t>
      </w:r>
    </w:p>
    <w:p w14:paraId="3B4BFC14"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riziká systému implementácie projektov IROP – ŽoNFP je MAS</w:t>
      </w:r>
      <w:r w:rsidR="00B63D29">
        <w:rPr>
          <w:rFonts w:ascii="Times New Roman" w:hAnsi="Times New Roman" w:cs="Times New Roman"/>
          <w:sz w:val="24"/>
          <w:szCs w:val="24"/>
        </w:rPr>
        <w:t>,</w:t>
      </w:r>
    </w:p>
    <w:p w14:paraId="6D12500C"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nečerpanie alokovaných zdrojov z</w:t>
      </w:r>
      <w:r>
        <w:rPr>
          <w:rFonts w:ascii="Times New Roman" w:hAnsi="Times New Roman" w:cs="Times New Roman"/>
          <w:sz w:val="24"/>
          <w:szCs w:val="24"/>
        </w:rPr>
        <w:t> </w:t>
      </w:r>
      <w:r w:rsidRPr="0027057A">
        <w:rPr>
          <w:rFonts w:ascii="Times New Roman" w:hAnsi="Times New Roman" w:cs="Times New Roman"/>
          <w:sz w:val="24"/>
          <w:szCs w:val="24"/>
        </w:rPr>
        <w:t>dôvodu</w:t>
      </w:r>
      <w:r>
        <w:rPr>
          <w:rFonts w:ascii="Times New Roman" w:hAnsi="Times New Roman" w:cs="Times New Roman"/>
          <w:sz w:val="24"/>
          <w:szCs w:val="24"/>
        </w:rPr>
        <w:t>:</w:t>
      </w:r>
    </w:p>
    <w:p w14:paraId="7295D2D1" w14:textId="77777777" w:rsidR="0094237D" w:rsidRPr="0027057A" w:rsidRDefault="0094237D" w:rsidP="00B63D29">
      <w:pPr>
        <w:pStyle w:val="Odsekzoznamu"/>
        <w:numPr>
          <w:ilvl w:val="0"/>
          <w:numId w:val="53"/>
        </w:numPr>
        <w:spacing w:after="0" w:line="360" w:lineRule="auto"/>
        <w:ind w:hanging="11"/>
        <w:jc w:val="both"/>
        <w:rPr>
          <w:rFonts w:ascii="Times New Roman" w:hAnsi="Times New Roman" w:cs="Times New Roman"/>
          <w:sz w:val="24"/>
          <w:szCs w:val="24"/>
        </w:rPr>
      </w:pPr>
      <w:r w:rsidRPr="0027057A">
        <w:rPr>
          <w:rFonts w:ascii="Times New Roman" w:hAnsi="Times New Roman" w:cs="Times New Roman"/>
          <w:sz w:val="24"/>
          <w:szCs w:val="24"/>
        </w:rPr>
        <w:t>nezáujem o realizáciu projektov z dôvodu vysokej administratívnej náročnosti prípravy a vyúčtovania projektov</w:t>
      </w:r>
      <w:r w:rsidR="00B63D29">
        <w:rPr>
          <w:rFonts w:ascii="Times New Roman" w:hAnsi="Times New Roman" w:cs="Times New Roman"/>
          <w:sz w:val="24"/>
          <w:szCs w:val="24"/>
        </w:rPr>
        <w:t>,</w:t>
      </w:r>
    </w:p>
    <w:p w14:paraId="78C5A2DE" w14:textId="77777777" w:rsidR="0094237D" w:rsidRPr="00B63D29" w:rsidRDefault="0094237D" w:rsidP="00B63D29">
      <w:pPr>
        <w:pStyle w:val="Odsekzoznamu"/>
        <w:numPr>
          <w:ilvl w:val="0"/>
          <w:numId w:val="53"/>
        </w:numPr>
        <w:spacing w:after="0" w:line="360" w:lineRule="auto"/>
        <w:ind w:hanging="11"/>
        <w:jc w:val="both"/>
        <w:rPr>
          <w:rFonts w:ascii="Times New Roman" w:hAnsi="Times New Roman" w:cs="Times New Roman"/>
          <w:sz w:val="24"/>
          <w:szCs w:val="24"/>
        </w:rPr>
      </w:pPr>
      <w:r w:rsidRPr="00B63D29">
        <w:rPr>
          <w:rFonts w:ascii="Times New Roman" w:hAnsi="Times New Roman" w:cs="Times New Roman"/>
          <w:sz w:val="24"/>
          <w:szCs w:val="24"/>
        </w:rPr>
        <w:t>nezáujem o realizáciu projektov z dôvodu malých skúseností potencionálnych žiadateľov s prípravou a realizáciou projektov</w:t>
      </w:r>
      <w:r w:rsidR="00B63D29">
        <w:rPr>
          <w:rFonts w:ascii="Times New Roman" w:hAnsi="Times New Roman" w:cs="Times New Roman"/>
          <w:sz w:val="24"/>
          <w:szCs w:val="24"/>
        </w:rPr>
        <w:t>,</w:t>
      </w:r>
    </w:p>
    <w:p w14:paraId="51062418" w14:textId="77777777" w:rsidR="0094237D" w:rsidRDefault="0094237D" w:rsidP="00B63D29">
      <w:pPr>
        <w:pStyle w:val="Odsekzoznamu"/>
        <w:numPr>
          <w:ilvl w:val="0"/>
          <w:numId w:val="53"/>
        </w:numPr>
        <w:spacing w:after="0" w:line="360" w:lineRule="auto"/>
        <w:ind w:hanging="11"/>
        <w:jc w:val="both"/>
        <w:rPr>
          <w:rFonts w:ascii="Times New Roman" w:hAnsi="Times New Roman" w:cs="Times New Roman"/>
          <w:sz w:val="24"/>
          <w:szCs w:val="24"/>
        </w:rPr>
      </w:pPr>
      <w:r w:rsidRPr="0027057A">
        <w:rPr>
          <w:rFonts w:ascii="Times New Roman" w:hAnsi="Times New Roman" w:cs="Times New Roman"/>
          <w:sz w:val="24"/>
          <w:szCs w:val="24"/>
        </w:rPr>
        <w:t>nezáujem o realizáciu projektov z dôvodu nedostatočného prístupu k finančným zdrojom potrebných na prefinancovanie projektov systémom refundácie</w:t>
      </w:r>
      <w:r w:rsidR="00B63D29">
        <w:rPr>
          <w:rFonts w:ascii="Times New Roman" w:hAnsi="Times New Roman" w:cs="Times New Roman"/>
          <w:sz w:val="24"/>
          <w:szCs w:val="24"/>
        </w:rPr>
        <w:t>,</w:t>
      </w:r>
    </w:p>
    <w:p w14:paraId="73A399E3"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neúmerné predlžovanie</w:t>
      </w:r>
      <w:r>
        <w:rPr>
          <w:rFonts w:ascii="Times New Roman" w:hAnsi="Times New Roman" w:cs="Times New Roman"/>
          <w:sz w:val="24"/>
          <w:szCs w:val="24"/>
        </w:rPr>
        <w:t xml:space="preserve"> </w:t>
      </w:r>
      <w:r w:rsidRPr="0027057A">
        <w:rPr>
          <w:rFonts w:ascii="Times New Roman" w:hAnsi="Times New Roman" w:cs="Times New Roman"/>
          <w:sz w:val="24"/>
          <w:szCs w:val="24"/>
        </w:rPr>
        <w:t>úhrady ŽoP na úrovni RO (pre Chod MAS aj projekty žiadateľov)</w:t>
      </w:r>
      <w:r w:rsidR="00B63D29">
        <w:rPr>
          <w:rFonts w:ascii="Times New Roman" w:hAnsi="Times New Roman" w:cs="Times New Roman"/>
          <w:sz w:val="24"/>
          <w:szCs w:val="24"/>
        </w:rPr>
        <w:t>,</w:t>
      </w:r>
    </w:p>
    <w:p w14:paraId="66538C41"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neumožnenie systému financovania Chodu MAS formou zálohových platieb</w:t>
      </w:r>
      <w:r w:rsidR="00B63D29">
        <w:rPr>
          <w:rFonts w:ascii="Times New Roman" w:hAnsi="Times New Roman" w:cs="Times New Roman"/>
          <w:sz w:val="24"/>
          <w:szCs w:val="24"/>
        </w:rPr>
        <w:t>.</w:t>
      </w:r>
    </w:p>
    <w:p w14:paraId="2E387DF2" w14:textId="77777777" w:rsidR="0094237D" w:rsidRDefault="0094237D" w:rsidP="0094237D">
      <w:pPr>
        <w:spacing w:after="0" w:line="360" w:lineRule="auto"/>
        <w:jc w:val="both"/>
        <w:rPr>
          <w:rFonts w:ascii="Times New Roman" w:hAnsi="Times New Roman" w:cs="Times New Roman"/>
          <w:sz w:val="24"/>
          <w:szCs w:val="24"/>
        </w:rPr>
      </w:pPr>
    </w:p>
    <w:p w14:paraId="484468B5" w14:textId="77777777" w:rsidR="0094237D" w:rsidRDefault="0094237D" w:rsidP="0094237D">
      <w:p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Opatrenia</w:t>
      </w:r>
      <w:r>
        <w:rPr>
          <w:rFonts w:ascii="Times New Roman" w:hAnsi="Times New Roman" w:cs="Times New Roman"/>
          <w:sz w:val="24"/>
          <w:szCs w:val="24"/>
        </w:rPr>
        <w:t>:</w:t>
      </w:r>
    </w:p>
    <w:p w14:paraId="0371BFA6"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krížová kontrola PPA, VÚC</w:t>
      </w:r>
      <w:r w:rsidR="00B63D29">
        <w:rPr>
          <w:rFonts w:ascii="Times New Roman" w:hAnsi="Times New Roman" w:cs="Times New Roman"/>
          <w:sz w:val="24"/>
          <w:szCs w:val="24"/>
        </w:rPr>
        <w:t>,</w:t>
      </w:r>
    </w:p>
    <w:p w14:paraId="3DD1F941"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kvalitne ošetrená zmluva medzi MAS a RO v rámci platnej legislatívy a kvalitne ošetrené zmluvy medzi MAS a ReS.</w:t>
      </w:r>
    </w:p>
    <w:p w14:paraId="3B540410"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vzdelávanie žiadateľov v oblasti prípravy a administrácie projektov</w:t>
      </w:r>
      <w:r w:rsidR="00B63D29">
        <w:rPr>
          <w:rFonts w:ascii="Times New Roman" w:hAnsi="Times New Roman" w:cs="Times New Roman"/>
          <w:sz w:val="24"/>
          <w:szCs w:val="24"/>
        </w:rPr>
        <w:t>,</w:t>
      </w:r>
    </w:p>
    <w:p w14:paraId="212C9E4D"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dostatočné vlastné finančné rezervy, spolupráca s miestnymi samosprávami</w:t>
      </w:r>
      <w:r w:rsidR="00B63D29">
        <w:rPr>
          <w:rFonts w:ascii="Times New Roman" w:hAnsi="Times New Roman" w:cs="Times New Roman"/>
          <w:sz w:val="24"/>
          <w:szCs w:val="24"/>
        </w:rPr>
        <w:t>,</w:t>
      </w:r>
    </w:p>
    <w:p w14:paraId="47C1A433"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pravidelný monitoring a vyhodnocovanie realizácie stratégie a včasné prijímanie opatrení na plnenie ukazovateľov (zmeny v hodnotiacich a výberových kritériách, zmena alokácie jednotlivých opatrení, a</w:t>
      </w:r>
      <w:r w:rsidR="00B63D29">
        <w:rPr>
          <w:rFonts w:ascii="Times New Roman" w:hAnsi="Times New Roman" w:cs="Times New Roman"/>
          <w:sz w:val="24"/>
          <w:szCs w:val="24"/>
        </w:rPr>
        <w:t> </w:t>
      </w:r>
      <w:r w:rsidRPr="0027057A">
        <w:rPr>
          <w:rFonts w:ascii="Times New Roman" w:hAnsi="Times New Roman" w:cs="Times New Roman"/>
          <w:sz w:val="24"/>
          <w:szCs w:val="24"/>
        </w:rPr>
        <w:t>pod</w:t>
      </w:r>
      <w:r w:rsidR="00B63D29">
        <w:rPr>
          <w:rFonts w:ascii="Times New Roman" w:hAnsi="Times New Roman" w:cs="Times New Roman"/>
          <w:sz w:val="24"/>
          <w:szCs w:val="24"/>
        </w:rPr>
        <w:t>.</w:t>
      </w:r>
    </w:p>
    <w:p w14:paraId="6AC50327" w14:textId="77777777" w:rsidR="0094237D" w:rsidRDefault="0094237D" w:rsidP="0094237D">
      <w:pPr>
        <w:spacing w:after="0" w:line="360" w:lineRule="auto"/>
        <w:jc w:val="both"/>
        <w:rPr>
          <w:rFonts w:ascii="Times New Roman" w:hAnsi="Times New Roman" w:cs="Times New Roman"/>
          <w:sz w:val="24"/>
          <w:szCs w:val="24"/>
        </w:rPr>
      </w:pPr>
    </w:p>
    <w:p w14:paraId="2316EC13" w14:textId="77777777" w:rsidR="0094237D" w:rsidRPr="0027057A" w:rsidRDefault="0094237D" w:rsidP="0094237D">
      <w:p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Procesné riziká</w:t>
      </w:r>
      <w:r>
        <w:rPr>
          <w:rFonts w:ascii="Times New Roman" w:hAnsi="Times New Roman" w:cs="Times New Roman"/>
          <w:sz w:val="24"/>
          <w:szCs w:val="24"/>
        </w:rPr>
        <w:t>:</w:t>
      </w:r>
    </w:p>
    <w:p w14:paraId="416B66F3"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lastRenderedPageBreak/>
        <w:t>možnosť vzniku konfliktu záujmov, či už na strane orgánov MAS, alebo na strane žiadateľa/prijímateľa</w:t>
      </w:r>
      <w:r w:rsidR="00B63D29">
        <w:rPr>
          <w:rFonts w:ascii="Times New Roman" w:hAnsi="Times New Roman" w:cs="Times New Roman"/>
          <w:sz w:val="24"/>
          <w:szCs w:val="24"/>
        </w:rPr>
        <w:t>,</w:t>
      </w:r>
    </w:p>
    <w:p w14:paraId="50594E25"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riziko zneužitia kompetencie, pozície na úrovni MAS</w:t>
      </w:r>
      <w:r w:rsidR="00B63D29">
        <w:rPr>
          <w:rFonts w:ascii="Times New Roman" w:hAnsi="Times New Roman" w:cs="Times New Roman"/>
          <w:sz w:val="24"/>
          <w:szCs w:val="24"/>
        </w:rPr>
        <w:t>,</w:t>
      </w:r>
    </w:p>
    <w:p w14:paraId="0D17C16E"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neúmerná miera byrokracie v procesoch zúčtovania a</w:t>
      </w:r>
      <w:r w:rsidR="00B63D29">
        <w:rPr>
          <w:rFonts w:ascii="Times New Roman" w:hAnsi="Times New Roman" w:cs="Times New Roman"/>
          <w:sz w:val="24"/>
          <w:szCs w:val="24"/>
        </w:rPr>
        <w:t> </w:t>
      </w:r>
      <w:r w:rsidRPr="0027057A">
        <w:rPr>
          <w:rFonts w:ascii="Times New Roman" w:hAnsi="Times New Roman" w:cs="Times New Roman"/>
          <w:sz w:val="24"/>
          <w:szCs w:val="24"/>
        </w:rPr>
        <w:t>kontroly</w:t>
      </w:r>
      <w:r w:rsidR="00B63D29">
        <w:rPr>
          <w:rFonts w:ascii="Times New Roman" w:hAnsi="Times New Roman" w:cs="Times New Roman"/>
          <w:sz w:val="24"/>
          <w:szCs w:val="24"/>
        </w:rPr>
        <w:t>,</w:t>
      </w:r>
    </w:p>
    <w:p w14:paraId="63644039"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neplnenie míľnikov a</w:t>
      </w:r>
      <w:r w:rsidR="00B63D29">
        <w:rPr>
          <w:rFonts w:ascii="Times New Roman" w:hAnsi="Times New Roman" w:cs="Times New Roman"/>
          <w:sz w:val="24"/>
          <w:szCs w:val="24"/>
        </w:rPr>
        <w:t> </w:t>
      </w:r>
      <w:r w:rsidRPr="0027057A">
        <w:rPr>
          <w:rFonts w:ascii="Times New Roman" w:hAnsi="Times New Roman" w:cs="Times New Roman"/>
          <w:sz w:val="24"/>
          <w:szCs w:val="24"/>
        </w:rPr>
        <w:t>harmonogramov</w:t>
      </w:r>
      <w:r w:rsidR="00B63D29">
        <w:rPr>
          <w:rFonts w:ascii="Times New Roman" w:hAnsi="Times New Roman" w:cs="Times New Roman"/>
          <w:sz w:val="24"/>
          <w:szCs w:val="24"/>
        </w:rPr>
        <w:t>,</w:t>
      </w:r>
    </w:p>
    <w:p w14:paraId="1800AB71"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neplnenie základných kritérií štatútu MAS počas implementácie</w:t>
      </w:r>
      <w:r w:rsidR="00B63D29">
        <w:rPr>
          <w:rFonts w:ascii="Times New Roman" w:hAnsi="Times New Roman" w:cs="Times New Roman"/>
          <w:sz w:val="24"/>
          <w:szCs w:val="24"/>
        </w:rPr>
        <w:t>.</w:t>
      </w:r>
    </w:p>
    <w:p w14:paraId="6CBDD4A1" w14:textId="77777777" w:rsidR="0094237D" w:rsidRDefault="0094237D" w:rsidP="0094237D">
      <w:pPr>
        <w:spacing w:after="0" w:line="360" w:lineRule="auto"/>
        <w:jc w:val="both"/>
        <w:rPr>
          <w:rFonts w:ascii="Times New Roman" w:hAnsi="Times New Roman" w:cs="Times New Roman"/>
          <w:sz w:val="24"/>
          <w:szCs w:val="24"/>
        </w:rPr>
      </w:pPr>
    </w:p>
    <w:p w14:paraId="499328BD" w14:textId="77777777" w:rsidR="0094237D" w:rsidRPr="0027057A" w:rsidRDefault="0094237D" w:rsidP="0094237D">
      <w:p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Opatrenia</w:t>
      </w:r>
      <w:r>
        <w:rPr>
          <w:rFonts w:ascii="Times New Roman" w:hAnsi="Times New Roman" w:cs="Times New Roman"/>
          <w:sz w:val="24"/>
          <w:szCs w:val="24"/>
        </w:rPr>
        <w:t>:</w:t>
      </w:r>
    </w:p>
    <w:p w14:paraId="2D8EA511" w14:textId="77777777" w:rsidR="0094237D" w:rsidRPr="0027057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27057A">
        <w:rPr>
          <w:rFonts w:ascii="Times New Roman" w:hAnsi="Times New Roman" w:cs="Times New Roman"/>
          <w:sz w:val="24"/>
          <w:szCs w:val="24"/>
        </w:rPr>
        <w:t>transparentnosť, zverejňovanie zmlúv, správ, výsledkov</w:t>
      </w:r>
      <w:r w:rsidR="00B63D29">
        <w:rPr>
          <w:rFonts w:ascii="Times New Roman" w:hAnsi="Times New Roman" w:cs="Times New Roman"/>
          <w:sz w:val="24"/>
          <w:szCs w:val="24"/>
        </w:rPr>
        <w:t>,</w:t>
      </w:r>
    </w:p>
    <w:p w14:paraId="545F3ED0" w14:textId="77777777" w:rsidR="0094237D" w:rsidRPr="007B215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vnútorné kontrolné mechanizmy, väzba na územie a vzťahy v</w:t>
      </w:r>
      <w:r w:rsidR="00B63D29">
        <w:rPr>
          <w:rFonts w:ascii="Times New Roman" w:hAnsi="Times New Roman" w:cs="Times New Roman"/>
          <w:sz w:val="24"/>
          <w:szCs w:val="24"/>
        </w:rPr>
        <w:t> </w:t>
      </w:r>
      <w:r w:rsidRPr="007B215A">
        <w:rPr>
          <w:rFonts w:ascii="Times New Roman" w:hAnsi="Times New Roman" w:cs="Times New Roman"/>
          <w:sz w:val="24"/>
          <w:szCs w:val="24"/>
        </w:rPr>
        <w:t>území</w:t>
      </w:r>
      <w:r w:rsidR="00B63D29">
        <w:rPr>
          <w:rFonts w:ascii="Times New Roman" w:hAnsi="Times New Roman" w:cs="Times New Roman"/>
          <w:sz w:val="24"/>
          <w:szCs w:val="24"/>
        </w:rPr>
        <w:t>,</w:t>
      </w:r>
    </w:p>
    <w:p w14:paraId="64F98FE5" w14:textId="77777777" w:rsidR="0094237D" w:rsidRPr="007B215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budovanie psychickej odolnosti a vzdelávanie žiadateľov voči byrokratickej šikane</w:t>
      </w:r>
      <w:r w:rsidR="00B63D29">
        <w:rPr>
          <w:rFonts w:ascii="Times New Roman" w:hAnsi="Times New Roman" w:cs="Times New Roman"/>
          <w:sz w:val="24"/>
          <w:szCs w:val="24"/>
        </w:rPr>
        <w:t>,</w:t>
      </w:r>
    </w:p>
    <w:p w14:paraId="55123854"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pravidelný monitoring a vyhodnocovanie realizácie stratégie a včasné zachytenie prípadného sklzu a nastavenie konkrétnych opatrení</w:t>
      </w:r>
      <w:r w:rsidR="00B63D29">
        <w:rPr>
          <w:rFonts w:ascii="Times New Roman" w:hAnsi="Times New Roman" w:cs="Times New Roman"/>
          <w:sz w:val="24"/>
          <w:szCs w:val="24"/>
        </w:rPr>
        <w:t>.</w:t>
      </w:r>
    </w:p>
    <w:p w14:paraId="3707DD30" w14:textId="77777777" w:rsidR="0094237D" w:rsidRDefault="0094237D" w:rsidP="0094237D">
      <w:pPr>
        <w:spacing w:after="0" w:line="360" w:lineRule="auto"/>
        <w:jc w:val="both"/>
        <w:rPr>
          <w:rFonts w:ascii="Times New Roman" w:hAnsi="Times New Roman" w:cs="Times New Roman"/>
          <w:sz w:val="24"/>
          <w:szCs w:val="24"/>
        </w:rPr>
      </w:pPr>
    </w:p>
    <w:p w14:paraId="43BD38C7" w14:textId="77777777" w:rsidR="0094237D" w:rsidRPr="007B215A" w:rsidRDefault="0094237D" w:rsidP="0094237D">
      <w:p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Riziká ľudských zdrojov</w:t>
      </w:r>
      <w:r>
        <w:rPr>
          <w:rFonts w:ascii="Times New Roman" w:hAnsi="Times New Roman" w:cs="Times New Roman"/>
          <w:sz w:val="24"/>
          <w:szCs w:val="24"/>
        </w:rPr>
        <w:t>:</w:t>
      </w:r>
    </w:p>
    <w:p w14:paraId="4D3808ED" w14:textId="77777777" w:rsidR="0094237D" w:rsidRPr="007B215A"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nedostatok (výpadok) odborných kapacít, obmedzené odborné kapacity na zabezpečenie riadenia a implementácie procesov (odborní hodnotitelia, výberové komisie, manažment...)</w:t>
      </w:r>
    </w:p>
    <w:p w14:paraId="79BB55BE" w14:textId="77777777" w:rsidR="0094237D" w:rsidRDefault="0094237D" w:rsidP="0094237D">
      <w:pPr>
        <w:spacing w:after="0" w:line="360" w:lineRule="auto"/>
        <w:jc w:val="both"/>
        <w:rPr>
          <w:rFonts w:ascii="Times New Roman" w:hAnsi="Times New Roman" w:cs="Times New Roman"/>
          <w:sz w:val="24"/>
          <w:szCs w:val="24"/>
        </w:rPr>
      </w:pPr>
    </w:p>
    <w:p w14:paraId="22D55E93" w14:textId="77777777" w:rsidR="0094237D" w:rsidRPr="007B215A" w:rsidRDefault="0094237D" w:rsidP="0094237D">
      <w:p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Opatrenia</w:t>
      </w:r>
      <w:r>
        <w:rPr>
          <w:rFonts w:ascii="Times New Roman" w:hAnsi="Times New Roman" w:cs="Times New Roman"/>
          <w:sz w:val="24"/>
          <w:szCs w:val="24"/>
        </w:rPr>
        <w:t>:</w:t>
      </w:r>
    </w:p>
    <w:p w14:paraId="6E99ED50" w14:textId="77777777" w:rsidR="0094237D" w:rsidRDefault="0094237D" w:rsidP="0094237D">
      <w:pPr>
        <w:pStyle w:val="Odsekzoznamu"/>
        <w:numPr>
          <w:ilvl w:val="0"/>
          <w:numId w:val="1"/>
        </w:numPr>
        <w:spacing w:after="0" w:line="360" w:lineRule="auto"/>
        <w:jc w:val="both"/>
        <w:rPr>
          <w:rFonts w:ascii="Times New Roman" w:hAnsi="Times New Roman" w:cs="Times New Roman"/>
          <w:sz w:val="24"/>
          <w:szCs w:val="24"/>
        </w:rPr>
      </w:pPr>
      <w:r w:rsidRPr="007B215A">
        <w:rPr>
          <w:rFonts w:ascii="Times New Roman" w:hAnsi="Times New Roman" w:cs="Times New Roman"/>
          <w:sz w:val="24"/>
          <w:szCs w:val="24"/>
        </w:rPr>
        <w:t>priebežné vzdelávanie a príprava vlastných odborných kapacít</w:t>
      </w:r>
    </w:p>
    <w:p w14:paraId="223213F2" w14:textId="77777777" w:rsidR="0094237D" w:rsidRDefault="0094237D" w:rsidP="0082111F">
      <w:pPr>
        <w:spacing w:after="0" w:line="360" w:lineRule="auto"/>
        <w:jc w:val="both"/>
        <w:rPr>
          <w:rFonts w:ascii="Times New Roman" w:hAnsi="Times New Roman" w:cs="Times New Roman"/>
          <w:sz w:val="24"/>
          <w:szCs w:val="24"/>
        </w:rPr>
      </w:pPr>
    </w:p>
    <w:p w14:paraId="7633E462" w14:textId="77777777" w:rsidR="00BB35D3" w:rsidRDefault="00BB35D3" w:rsidP="00E37887">
      <w:pPr>
        <w:pStyle w:val="Odsekzoznamu"/>
        <w:spacing w:after="0" w:line="360" w:lineRule="auto"/>
        <w:jc w:val="both"/>
        <w:rPr>
          <w:rFonts w:ascii="Times New Roman" w:hAnsi="Times New Roman" w:cs="Times New Roman"/>
          <w:sz w:val="24"/>
          <w:szCs w:val="24"/>
        </w:rPr>
      </w:pPr>
    </w:p>
    <w:p w14:paraId="3FCD69A7" w14:textId="77777777" w:rsidR="005202AC" w:rsidRPr="005202AC" w:rsidRDefault="005202AC" w:rsidP="003301D6">
      <w:pPr>
        <w:pStyle w:val="Odsekzoznamu"/>
        <w:keepNext/>
        <w:keepLines/>
        <w:numPr>
          <w:ilvl w:val="0"/>
          <w:numId w:val="22"/>
        </w:numPr>
        <w:spacing w:after="0" w:line="360" w:lineRule="auto"/>
        <w:contextualSpacing w:val="0"/>
        <w:outlineLvl w:val="1"/>
        <w:rPr>
          <w:rFonts w:ascii="Times New Roman" w:eastAsiaTheme="majorEastAsia" w:hAnsi="Times New Roman" w:cstheme="majorBidi"/>
          <w:b/>
          <w:vanish/>
          <w:sz w:val="24"/>
          <w:szCs w:val="26"/>
        </w:rPr>
      </w:pPr>
      <w:bookmarkStart w:id="1900" w:name="_Toc439150057"/>
      <w:bookmarkStart w:id="1901" w:name="_Toc439150413"/>
      <w:bookmarkStart w:id="1902" w:name="_Toc439150612"/>
      <w:bookmarkStart w:id="1903" w:name="_Toc439150058"/>
      <w:bookmarkStart w:id="1904" w:name="_Toc439150414"/>
      <w:bookmarkStart w:id="1905" w:name="_Toc439150613"/>
      <w:bookmarkStart w:id="1906" w:name="_Toc439150059"/>
      <w:bookmarkStart w:id="1907" w:name="_Toc439150415"/>
      <w:bookmarkStart w:id="1908" w:name="_Toc439150614"/>
      <w:bookmarkStart w:id="1909" w:name="_Toc437862896"/>
      <w:bookmarkStart w:id="1910" w:name="_Toc437877482"/>
      <w:bookmarkStart w:id="1911" w:name="_Toc437877680"/>
      <w:bookmarkStart w:id="1912" w:name="_Toc437877880"/>
      <w:bookmarkStart w:id="1913" w:name="_Toc437878080"/>
      <w:bookmarkStart w:id="1914" w:name="_Toc437878283"/>
      <w:bookmarkStart w:id="1915" w:name="_Toc437878487"/>
      <w:bookmarkStart w:id="1916" w:name="_Toc437878691"/>
      <w:bookmarkStart w:id="1917" w:name="_Toc437878895"/>
      <w:bookmarkStart w:id="1918" w:name="_Toc439150060"/>
      <w:bookmarkStart w:id="1919" w:name="_Toc439150416"/>
      <w:bookmarkStart w:id="1920" w:name="_Toc439150615"/>
      <w:bookmarkStart w:id="1921" w:name="_Toc485645702"/>
      <w:bookmarkStart w:id="1922" w:name="_Toc485645861"/>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465B14CB" w14:textId="77777777" w:rsidR="005202AC" w:rsidRPr="005202AC" w:rsidRDefault="005202AC" w:rsidP="003301D6">
      <w:pPr>
        <w:pStyle w:val="Odsekzoznamu"/>
        <w:keepNext/>
        <w:keepLines/>
        <w:numPr>
          <w:ilvl w:val="0"/>
          <w:numId w:val="22"/>
        </w:numPr>
        <w:spacing w:after="0" w:line="360" w:lineRule="auto"/>
        <w:contextualSpacing w:val="0"/>
        <w:outlineLvl w:val="1"/>
        <w:rPr>
          <w:rFonts w:ascii="Times New Roman" w:eastAsiaTheme="majorEastAsia" w:hAnsi="Times New Roman" w:cstheme="majorBidi"/>
          <w:b/>
          <w:vanish/>
          <w:sz w:val="24"/>
          <w:szCs w:val="26"/>
        </w:rPr>
      </w:pPr>
      <w:bookmarkStart w:id="1923" w:name="_Toc437862897"/>
      <w:bookmarkStart w:id="1924" w:name="_Toc437877483"/>
      <w:bookmarkStart w:id="1925" w:name="_Toc437877681"/>
      <w:bookmarkStart w:id="1926" w:name="_Toc437877881"/>
      <w:bookmarkStart w:id="1927" w:name="_Toc437878081"/>
      <w:bookmarkStart w:id="1928" w:name="_Toc437878284"/>
      <w:bookmarkStart w:id="1929" w:name="_Toc437878488"/>
      <w:bookmarkStart w:id="1930" w:name="_Toc437878692"/>
      <w:bookmarkStart w:id="1931" w:name="_Toc437878896"/>
      <w:bookmarkStart w:id="1932" w:name="_Toc439150061"/>
      <w:bookmarkStart w:id="1933" w:name="_Toc439150417"/>
      <w:bookmarkStart w:id="1934" w:name="_Toc439150616"/>
      <w:bookmarkStart w:id="1935" w:name="_Toc485645703"/>
      <w:bookmarkStart w:id="1936" w:name="_Toc48564586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2F398384" w14:textId="77777777" w:rsidR="005202AC" w:rsidRPr="005202AC" w:rsidRDefault="005202AC" w:rsidP="003301D6">
      <w:pPr>
        <w:pStyle w:val="Odsekzoznamu"/>
        <w:keepNext/>
        <w:keepLines/>
        <w:numPr>
          <w:ilvl w:val="0"/>
          <w:numId w:val="22"/>
        </w:numPr>
        <w:spacing w:after="0" w:line="360" w:lineRule="auto"/>
        <w:contextualSpacing w:val="0"/>
        <w:outlineLvl w:val="1"/>
        <w:rPr>
          <w:rFonts w:ascii="Times New Roman" w:eastAsiaTheme="majorEastAsia" w:hAnsi="Times New Roman" w:cstheme="majorBidi"/>
          <w:b/>
          <w:vanish/>
          <w:sz w:val="24"/>
          <w:szCs w:val="26"/>
        </w:rPr>
      </w:pPr>
      <w:bookmarkStart w:id="1937" w:name="_Toc437862898"/>
      <w:bookmarkStart w:id="1938" w:name="_Toc437877484"/>
      <w:bookmarkStart w:id="1939" w:name="_Toc437877682"/>
      <w:bookmarkStart w:id="1940" w:name="_Toc437877882"/>
      <w:bookmarkStart w:id="1941" w:name="_Toc437878082"/>
      <w:bookmarkStart w:id="1942" w:name="_Toc437878285"/>
      <w:bookmarkStart w:id="1943" w:name="_Toc437878489"/>
      <w:bookmarkStart w:id="1944" w:name="_Toc437878693"/>
      <w:bookmarkStart w:id="1945" w:name="_Toc437878897"/>
      <w:bookmarkStart w:id="1946" w:name="_Toc439150062"/>
      <w:bookmarkStart w:id="1947" w:name="_Toc439150418"/>
      <w:bookmarkStart w:id="1948" w:name="_Toc439150617"/>
      <w:bookmarkStart w:id="1949" w:name="_Toc485645704"/>
      <w:bookmarkStart w:id="1950" w:name="_Toc485645863"/>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4C773BA4" w14:textId="77777777" w:rsidR="005202AC" w:rsidRPr="005202AC" w:rsidRDefault="005202AC" w:rsidP="003301D6">
      <w:pPr>
        <w:pStyle w:val="Odsekzoznamu"/>
        <w:keepNext/>
        <w:keepLines/>
        <w:numPr>
          <w:ilvl w:val="0"/>
          <w:numId w:val="22"/>
        </w:numPr>
        <w:spacing w:after="0" w:line="360" w:lineRule="auto"/>
        <w:contextualSpacing w:val="0"/>
        <w:outlineLvl w:val="1"/>
        <w:rPr>
          <w:rFonts w:ascii="Times New Roman" w:eastAsiaTheme="majorEastAsia" w:hAnsi="Times New Roman" w:cstheme="majorBidi"/>
          <w:b/>
          <w:vanish/>
          <w:sz w:val="24"/>
          <w:szCs w:val="26"/>
        </w:rPr>
      </w:pPr>
      <w:bookmarkStart w:id="1951" w:name="_Toc437862899"/>
      <w:bookmarkStart w:id="1952" w:name="_Toc437877485"/>
      <w:bookmarkStart w:id="1953" w:name="_Toc437877683"/>
      <w:bookmarkStart w:id="1954" w:name="_Toc437877883"/>
      <w:bookmarkStart w:id="1955" w:name="_Toc437878083"/>
      <w:bookmarkStart w:id="1956" w:name="_Toc437878286"/>
      <w:bookmarkStart w:id="1957" w:name="_Toc437878490"/>
      <w:bookmarkStart w:id="1958" w:name="_Toc437878694"/>
      <w:bookmarkStart w:id="1959" w:name="_Toc437878898"/>
      <w:bookmarkStart w:id="1960" w:name="_Toc439150063"/>
      <w:bookmarkStart w:id="1961" w:name="_Toc439150419"/>
      <w:bookmarkStart w:id="1962" w:name="_Toc439150618"/>
      <w:bookmarkStart w:id="1963" w:name="_Toc485645705"/>
      <w:bookmarkStart w:id="1964" w:name="_Toc485645864"/>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1537D082" w14:textId="77777777" w:rsidR="005202AC" w:rsidRPr="005202AC" w:rsidRDefault="005202AC" w:rsidP="003301D6">
      <w:pPr>
        <w:pStyle w:val="Odsekzoznamu"/>
        <w:keepNext/>
        <w:keepLines/>
        <w:numPr>
          <w:ilvl w:val="0"/>
          <w:numId w:val="22"/>
        </w:numPr>
        <w:spacing w:after="0" w:line="360" w:lineRule="auto"/>
        <w:contextualSpacing w:val="0"/>
        <w:outlineLvl w:val="1"/>
        <w:rPr>
          <w:rFonts w:ascii="Times New Roman" w:eastAsiaTheme="majorEastAsia" w:hAnsi="Times New Roman" w:cstheme="majorBidi"/>
          <w:b/>
          <w:vanish/>
          <w:sz w:val="24"/>
          <w:szCs w:val="26"/>
        </w:rPr>
      </w:pPr>
      <w:bookmarkStart w:id="1965" w:name="_Toc437862900"/>
      <w:bookmarkStart w:id="1966" w:name="_Toc437877486"/>
      <w:bookmarkStart w:id="1967" w:name="_Toc437877684"/>
      <w:bookmarkStart w:id="1968" w:name="_Toc437877884"/>
      <w:bookmarkStart w:id="1969" w:name="_Toc437878084"/>
      <w:bookmarkStart w:id="1970" w:name="_Toc437878287"/>
      <w:bookmarkStart w:id="1971" w:name="_Toc437878491"/>
      <w:bookmarkStart w:id="1972" w:name="_Toc437878695"/>
      <w:bookmarkStart w:id="1973" w:name="_Toc437878899"/>
      <w:bookmarkStart w:id="1974" w:name="_Toc439150064"/>
      <w:bookmarkStart w:id="1975" w:name="_Toc439150420"/>
      <w:bookmarkStart w:id="1976" w:name="_Toc439150619"/>
      <w:bookmarkStart w:id="1977" w:name="_Toc485645706"/>
      <w:bookmarkStart w:id="1978" w:name="_Toc485645865"/>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1946BB1C" w14:textId="77777777" w:rsidR="005202AC" w:rsidRPr="005202AC" w:rsidRDefault="005202AC" w:rsidP="003301D6">
      <w:pPr>
        <w:pStyle w:val="Odsekzoznamu"/>
        <w:keepNext/>
        <w:keepLines/>
        <w:numPr>
          <w:ilvl w:val="1"/>
          <w:numId w:val="22"/>
        </w:numPr>
        <w:spacing w:after="0" w:line="360" w:lineRule="auto"/>
        <w:contextualSpacing w:val="0"/>
        <w:outlineLvl w:val="1"/>
        <w:rPr>
          <w:rFonts w:ascii="Times New Roman" w:eastAsiaTheme="majorEastAsia" w:hAnsi="Times New Roman" w:cstheme="majorBidi"/>
          <w:b/>
          <w:vanish/>
          <w:sz w:val="24"/>
          <w:szCs w:val="26"/>
        </w:rPr>
      </w:pPr>
      <w:bookmarkStart w:id="1979" w:name="_Toc437862901"/>
      <w:bookmarkStart w:id="1980" w:name="_Toc437877487"/>
      <w:bookmarkStart w:id="1981" w:name="_Toc437877685"/>
      <w:bookmarkStart w:id="1982" w:name="_Toc437877885"/>
      <w:bookmarkStart w:id="1983" w:name="_Toc437878085"/>
      <w:bookmarkStart w:id="1984" w:name="_Toc437878288"/>
      <w:bookmarkStart w:id="1985" w:name="_Toc437878492"/>
      <w:bookmarkStart w:id="1986" w:name="_Toc437878696"/>
      <w:bookmarkStart w:id="1987" w:name="_Toc437878900"/>
      <w:bookmarkStart w:id="1988" w:name="_Toc439150065"/>
      <w:bookmarkStart w:id="1989" w:name="_Toc439150421"/>
      <w:bookmarkStart w:id="1990" w:name="_Toc439150620"/>
      <w:bookmarkStart w:id="1991" w:name="_Toc485645707"/>
      <w:bookmarkStart w:id="1992" w:name="_Toc485645866"/>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4984D745" w14:textId="77777777" w:rsidR="005202AC" w:rsidRPr="005202AC" w:rsidRDefault="005202AC" w:rsidP="003301D6">
      <w:pPr>
        <w:pStyle w:val="Odsekzoznamu"/>
        <w:keepNext/>
        <w:keepLines/>
        <w:numPr>
          <w:ilvl w:val="1"/>
          <w:numId w:val="22"/>
        </w:numPr>
        <w:spacing w:after="0" w:line="360" w:lineRule="auto"/>
        <w:contextualSpacing w:val="0"/>
        <w:outlineLvl w:val="1"/>
        <w:rPr>
          <w:rFonts w:ascii="Times New Roman" w:eastAsiaTheme="majorEastAsia" w:hAnsi="Times New Roman" w:cstheme="majorBidi"/>
          <w:b/>
          <w:vanish/>
          <w:sz w:val="24"/>
          <w:szCs w:val="26"/>
        </w:rPr>
      </w:pPr>
      <w:bookmarkStart w:id="1993" w:name="_Toc437862902"/>
      <w:bookmarkStart w:id="1994" w:name="_Toc437877488"/>
      <w:bookmarkStart w:id="1995" w:name="_Toc437877686"/>
      <w:bookmarkStart w:id="1996" w:name="_Toc437877886"/>
      <w:bookmarkStart w:id="1997" w:name="_Toc437878086"/>
      <w:bookmarkStart w:id="1998" w:name="_Toc437878289"/>
      <w:bookmarkStart w:id="1999" w:name="_Toc437878493"/>
      <w:bookmarkStart w:id="2000" w:name="_Toc437878697"/>
      <w:bookmarkStart w:id="2001" w:name="_Toc437878901"/>
      <w:bookmarkStart w:id="2002" w:name="_Toc439150066"/>
      <w:bookmarkStart w:id="2003" w:name="_Toc439150422"/>
      <w:bookmarkStart w:id="2004" w:name="_Toc439150621"/>
      <w:bookmarkStart w:id="2005" w:name="_Toc485645708"/>
      <w:bookmarkStart w:id="2006" w:name="_Toc485645867"/>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08435174" w14:textId="77777777" w:rsidR="005202AC" w:rsidRPr="005202AC" w:rsidRDefault="005202AC" w:rsidP="003301D6">
      <w:pPr>
        <w:pStyle w:val="Odsekzoznamu"/>
        <w:keepNext/>
        <w:keepLines/>
        <w:numPr>
          <w:ilvl w:val="1"/>
          <w:numId w:val="22"/>
        </w:numPr>
        <w:spacing w:after="0" w:line="360" w:lineRule="auto"/>
        <w:contextualSpacing w:val="0"/>
        <w:outlineLvl w:val="1"/>
        <w:rPr>
          <w:rFonts w:ascii="Times New Roman" w:eastAsiaTheme="majorEastAsia" w:hAnsi="Times New Roman" w:cstheme="majorBidi"/>
          <w:b/>
          <w:vanish/>
          <w:sz w:val="24"/>
          <w:szCs w:val="26"/>
        </w:rPr>
      </w:pPr>
      <w:bookmarkStart w:id="2007" w:name="_Toc437862903"/>
      <w:bookmarkStart w:id="2008" w:name="_Toc437877489"/>
      <w:bookmarkStart w:id="2009" w:name="_Toc437877687"/>
      <w:bookmarkStart w:id="2010" w:name="_Toc437877887"/>
      <w:bookmarkStart w:id="2011" w:name="_Toc437878087"/>
      <w:bookmarkStart w:id="2012" w:name="_Toc437878290"/>
      <w:bookmarkStart w:id="2013" w:name="_Toc437878494"/>
      <w:bookmarkStart w:id="2014" w:name="_Toc437878698"/>
      <w:bookmarkStart w:id="2015" w:name="_Toc437878902"/>
      <w:bookmarkStart w:id="2016" w:name="_Toc439150067"/>
      <w:bookmarkStart w:id="2017" w:name="_Toc439150423"/>
      <w:bookmarkStart w:id="2018" w:name="_Toc439150622"/>
      <w:bookmarkStart w:id="2019" w:name="_Toc485645709"/>
      <w:bookmarkStart w:id="2020" w:name="_Toc485645868"/>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19988B63" w14:textId="77777777" w:rsidR="005202AC" w:rsidRPr="005202AC" w:rsidRDefault="005202AC" w:rsidP="003301D6">
      <w:pPr>
        <w:pStyle w:val="Odsekzoznamu"/>
        <w:keepNext/>
        <w:keepLines/>
        <w:numPr>
          <w:ilvl w:val="2"/>
          <w:numId w:val="22"/>
        </w:numPr>
        <w:spacing w:after="0" w:line="360" w:lineRule="auto"/>
        <w:contextualSpacing w:val="0"/>
        <w:outlineLvl w:val="1"/>
        <w:rPr>
          <w:rFonts w:ascii="Times New Roman" w:eastAsiaTheme="majorEastAsia" w:hAnsi="Times New Roman" w:cstheme="majorBidi"/>
          <w:b/>
          <w:vanish/>
          <w:sz w:val="24"/>
          <w:szCs w:val="26"/>
        </w:rPr>
      </w:pPr>
      <w:bookmarkStart w:id="2021" w:name="_Toc437862904"/>
      <w:bookmarkStart w:id="2022" w:name="_Toc437877490"/>
      <w:bookmarkStart w:id="2023" w:name="_Toc437877688"/>
      <w:bookmarkStart w:id="2024" w:name="_Toc437877888"/>
      <w:bookmarkStart w:id="2025" w:name="_Toc437878088"/>
      <w:bookmarkStart w:id="2026" w:name="_Toc437878291"/>
      <w:bookmarkStart w:id="2027" w:name="_Toc437878495"/>
      <w:bookmarkStart w:id="2028" w:name="_Toc437878699"/>
      <w:bookmarkStart w:id="2029" w:name="_Toc437878903"/>
      <w:bookmarkStart w:id="2030" w:name="_Toc439150068"/>
      <w:bookmarkStart w:id="2031" w:name="_Toc439150424"/>
      <w:bookmarkStart w:id="2032" w:name="_Toc439150623"/>
      <w:bookmarkStart w:id="2033" w:name="_Toc485645710"/>
      <w:bookmarkStart w:id="2034" w:name="_Toc485645869"/>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0C2809F1" w14:textId="77777777" w:rsidR="00B35194" w:rsidRPr="00891B13" w:rsidRDefault="00653C95" w:rsidP="003301D6">
      <w:pPr>
        <w:pStyle w:val="Nadpis2"/>
        <w:numPr>
          <w:ilvl w:val="2"/>
          <w:numId w:val="22"/>
        </w:numPr>
        <w:ind w:hanging="11"/>
      </w:pPr>
      <w:bookmarkStart w:id="2035" w:name="_Toc485645870"/>
      <w:r w:rsidRPr="00891B13">
        <w:t>Monitorovacie ukazovatele</w:t>
      </w:r>
      <w:bookmarkEnd w:id="2035"/>
    </w:p>
    <w:p w14:paraId="77122622" w14:textId="77777777" w:rsidR="00512FE8" w:rsidRPr="00891B13" w:rsidRDefault="00512FE8" w:rsidP="00E37887">
      <w:pPr>
        <w:pStyle w:val="Odsekzoznamu"/>
        <w:spacing w:after="0" w:line="360" w:lineRule="auto"/>
        <w:ind w:left="1224"/>
        <w:rPr>
          <w:rFonts w:ascii="Times New Roman" w:hAnsi="Times New Roman" w:cs="Times New Roman"/>
          <w:b/>
          <w:sz w:val="24"/>
          <w:szCs w:val="24"/>
        </w:rPr>
      </w:pPr>
    </w:p>
    <w:p w14:paraId="0E4DE06A" w14:textId="77777777" w:rsidR="007F174A" w:rsidRDefault="00C3682F" w:rsidP="00E37887">
      <w:pPr>
        <w:spacing w:after="0" w:line="360" w:lineRule="auto"/>
        <w:rPr>
          <w:rFonts w:ascii="Times New Roman" w:hAnsi="Times New Roman" w:cs="Times New Roman"/>
          <w:b/>
        </w:rPr>
      </w:pPr>
      <w:r w:rsidRPr="00891B13">
        <w:rPr>
          <w:rFonts w:ascii="Times New Roman" w:hAnsi="Times New Roman" w:cs="Times New Roman"/>
          <w:b/>
        </w:rPr>
        <w:t>Tabuľka 5</w:t>
      </w:r>
      <w:r w:rsidR="0082111F">
        <w:rPr>
          <w:rFonts w:ascii="Times New Roman" w:hAnsi="Times New Roman" w:cs="Times New Roman"/>
          <w:b/>
        </w:rPr>
        <w:t>.3.</w:t>
      </w:r>
      <w:r w:rsidR="00FD73BF">
        <w:rPr>
          <w:rFonts w:ascii="Times New Roman" w:hAnsi="Times New Roman" w:cs="Times New Roman"/>
          <w:b/>
        </w:rPr>
        <w:t>2</w:t>
      </w:r>
      <w:r w:rsidR="007F174A" w:rsidRPr="00891B13">
        <w:rPr>
          <w:rFonts w:ascii="Times New Roman" w:hAnsi="Times New Roman" w:cs="Times New Roman"/>
          <w:b/>
        </w:rPr>
        <w:t xml:space="preserve"> </w:t>
      </w:r>
      <w:r w:rsidRPr="00891B13">
        <w:rPr>
          <w:rFonts w:ascii="Times New Roman" w:hAnsi="Times New Roman" w:cs="Times New Roman"/>
          <w:b/>
        </w:rPr>
        <w:t>P</w:t>
      </w:r>
      <w:r w:rsidR="007F174A" w:rsidRPr="00891B13">
        <w:rPr>
          <w:rFonts w:ascii="Times New Roman" w:hAnsi="Times New Roman" w:cs="Times New Roman"/>
          <w:b/>
        </w:rPr>
        <w:t xml:space="preserve">ovinné ukazovatele na úrovni programu –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0"/>
        <w:gridCol w:w="1858"/>
      </w:tblGrid>
      <w:tr w:rsidR="000D49B8" w:rsidRPr="003C0D7F" w14:paraId="08B065A4" w14:textId="77777777" w:rsidTr="0082111F">
        <w:trPr>
          <w:trHeight w:val="364"/>
        </w:trPr>
        <w:tc>
          <w:tcPr>
            <w:tcW w:w="4000" w:type="pct"/>
            <w:shd w:val="clear" w:color="auto" w:fill="C0C0C0"/>
            <w:tcMar>
              <w:top w:w="60" w:type="dxa"/>
            </w:tcMar>
            <w:vAlign w:val="center"/>
          </w:tcPr>
          <w:p w14:paraId="5CA6F1F0" w14:textId="77777777" w:rsidR="000D49B8" w:rsidRPr="003C0D7F" w:rsidRDefault="000D49B8" w:rsidP="0082111F">
            <w:pPr>
              <w:spacing w:after="60" w:line="312" w:lineRule="auto"/>
              <w:jc w:val="center"/>
              <w:rPr>
                <w:rFonts w:ascii="Times New Roman" w:eastAsia="Times New Roman" w:hAnsi="Times New Roman" w:cs="Times New Roman"/>
                <w:b/>
                <w:sz w:val="24"/>
                <w:szCs w:val="24"/>
              </w:rPr>
            </w:pPr>
            <w:r w:rsidRPr="003C0D7F">
              <w:rPr>
                <w:rFonts w:ascii="Times New Roman" w:eastAsia="Times New Roman" w:hAnsi="Times New Roman" w:cs="Times New Roman"/>
                <w:b/>
                <w:sz w:val="24"/>
                <w:szCs w:val="24"/>
              </w:rPr>
              <w:t>Názov cieľového ukazovateľa</w:t>
            </w:r>
          </w:p>
        </w:tc>
        <w:tc>
          <w:tcPr>
            <w:tcW w:w="1000" w:type="pct"/>
            <w:shd w:val="clear" w:color="auto" w:fill="C0C0C0"/>
            <w:tcMar>
              <w:top w:w="60" w:type="dxa"/>
            </w:tcMar>
            <w:vAlign w:val="center"/>
          </w:tcPr>
          <w:p w14:paraId="0B9C5D35" w14:textId="77777777" w:rsidR="000D49B8" w:rsidRPr="003C0D7F" w:rsidRDefault="000D49B8" w:rsidP="0082111F">
            <w:pPr>
              <w:spacing w:after="60" w:line="312" w:lineRule="auto"/>
              <w:jc w:val="center"/>
              <w:rPr>
                <w:rFonts w:ascii="Times New Roman" w:eastAsia="Times New Roman" w:hAnsi="Times New Roman" w:cs="Times New Roman"/>
                <w:b/>
                <w:sz w:val="24"/>
                <w:szCs w:val="24"/>
              </w:rPr>
            </w:pPr>
            <w:r w:rsidRPr="003C0D7F">
              <w:rPr>
                <w:rFonts w:ascii="Times New Roman" w:eastAsia="Times New Roman" w:hAnsi="Times New Roman" w:cs="Times New Roman"/>
                <w:b/>
                <w:sz w:val="24"/>
                <w:szCs w:val="24"/>
              </w:rPr>
              <w:t>Cieľová hodnota v roku 2023</w:t>
            </w:r>
          </w:p>
        </w:tc>
      </w:tr>
      <w:tr w:rsidR="000D49B8" w:rsidRPr="003C0D7F" w14:paraId="2848A26E" w14:textId="77777777" w:rsidTr="0082111F">
        <w:trPr>
          <w:trHeight w:val="264"/>
        </w:trPr>
        <w:tc>
          <w:tcPr>
            <w:tcW w:w="4000" w:type="pct"/>
            <w:shd w:val="clear" w:color="auto" w:fill="FFFFFF"/>
            <w:tcMar>
              <w:top w:w="60" w:type="dxa"/>
            </w:tcMar>
            <w:vAlign w:val="center"/>
          </w:tcPr>
          <w:p w14:paraId="7237FE92" w14:textId="77777777" w:rsidR="000D49B8" w:rsidRPr="003C0D7F" w:rsidRDefault="000D49B8" w:rsidP="0082111F">
            <w:pPr>
              <w:spacing w:after="60" w:line="312" w:lineRule="auto"/>
              <w:rPr>
                <w:rFonts w:ascii="Times New Roman" w:eastAsia="Times New Roman" w:hAnsi="Times New Roman" w:cs="Times New Roman"/>
                <w:sz w:val="24"/>
                <w:szCs w:val="24"/>
              </w:rPr>
            </w:pPr>
            <w:r w:rsidRPr="003C0D7F">
              <w:rPr>
                <w:rFonts w:ascii="Times New Roman" w:eastAsia="Times New Roman" w:hAnsi="Times New Roman" w:cs="Times New Roman"/>
                <w:sz w:val="24"/>
                <w:szCs w:val="24"/>
              </w:rPr>
              <w:t xml:space="preserve">Čistý počet obyvateľov, ktorý má prospech zo zlepšenia služieb </w:t>
            </w:r>
          </w:p>
        </w:tc>
        <w:tc>
          <w:tcPr>
            <w:tcW w:w="1000" w:type="pct"/>
            <w:shd w:val="clear" w:color="auto" w:fill="FFFFFF"/>
            <w:tcMar>
              <w:top w:w="60" w:type="dxa"/>
            </w:tcMar>
            <w:vAlign w:val="center"/>
          </w:tcPr>
          <w:p w14:paraId="692E1781" w14:textId="77777777" w:rsidR="000D49B8" w:rsidRPr="003C0D7F" w:rsidRDefault="00647704" w:rsidP="0082111F">
            <w:pPr>
              <w:spacing w:after="60" w:line="312"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D49B8">
              <w:rPr>
                <w:rFonts w:ascii="Times New Roman" w:eastAsia="Times New Roman" w:hAnsi="Times New Roman" w:cs="Times New Roman"/>
                <w:sz w:val="24"/>
                <w:szCs w:val="24"/>
              </w:rPr>
              <w:t xml:space="preserve"> 400</w:t>
            </w:r>
          </w:p>
        </w:tc>
      </w:tr>
      <w:tr w:rsidR="000D49B8" w:rsidRPr="003C0D7F" w14:paraId="7AE7EF07" w14:textId="77777777" w:rsidTr="0082111F">
        <w:trPr>
          <w:trHeight w:val="264"/>
        </w:trPr>
        <w:tc>
          <w:tcPr>
            <w:tcW w:w="4000" w:type="pct"/>
            <w:shd w:val="clear" w:color="auto" w:fill="FFFFFF"/>
            <w:tcMar>
              <w:top w:w="60" w:type="dxa"/>
            </w:tcMar>
            <w:vAlign w:val="center"/>
          </w:tcPr>
          <w:p w14:paraId="058C2564" w14:textId="77777777" w:rsidR="000D49B8" w:rsidRPr="003C0D7F" w:rsidRDefault="000D49B8" w:rsidP="0082111F">
            <w:pPr>
              <w:spacing w:after="60" w:line="312" w:lineRule="auto"/>
              <w:rPr>
                <w:rFonts w:ascii="Times New Roman" w:eastAsia="Times New Roman" w:hAnsi="Times New Roman" w:cs="Times New Roman"/>
                <w:sz w:val="24"/>
                <w:szCs w:val="24"/>
              </w:rPr>
            </w:pPr>
            <w:r w:rsidRPr="003C0D7F">
              <w:rPr>
                <w:rFonts w:ascii="Times New Roman" w:eastAsia="Times New Roman" w:hAnsi="Times New Roman" w:cs="Times New Roman"/>
                <w:sz w:val="24"/>
                <w:szCs w:val="24"/>
              </w:rPr>
              <w:t>Počet obyvateľov podporenej MAS</w:t>
            </w:r>
          </w:p>
        </w:tc>
        <w:tc>
          <w:tcPr>
            <w:tcW w:w="1000" w:type="pct"/>
            <w:shd w:val="clear" w:color="auto" w:fill="FFFFFF"/>
            <w:tcMar>
              <w:top w:w="60" w:type="dxa"/>
            </w:tcMar>
            <w:vAlign w:val="center"/>
          </w:tcPr>
          <w:p w14:paraId="6C830F1E" w14:textId="77777777" w:rsidR="000D49B8" w:rsidRPr="003C0D7F" w:rsidRDefault="000D49B8" w:rsidP="0082111F">
            <w:pPr>
              <w:spacing w:after="60" w:line="312" w:lineRule="auto"/>
              <w:jc w:val="right"/>
              <w:rPr>
                <w:rFonts w:ascii="Times New Roman" w:eastAsia="Times New Roman" w:hAnsi="Times New Roman" w:cs="Times New Roman"/>
                <w:sz w:val="24"/>
                <w:szCs w:val="24"/>
              </w:rPr>
            </w:pPr>
            <w:r w:rsidRPr="00244975">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244975">
              <w:rPr>
                <w:rFonts w:ascii="Times New Roman" w:eastAsia="Times New Roman" w:hAnsi="Times New Roman" w:cs="Times New Roman"/>
                <w:sz w:val="24"/>
                <w:szCs w:val="24"/>
              </w:rPr>
              <w:t> 0</w:t>
            </w:r>
            <w:r>
              <w:rPr>
                <w:rFonts w:ascii="Times New Roman" w:eastAsia="Times New Roman" w:hAnsi="Times New Roman" w:cs="Times New Roman"/>
                <w:sz w:val="24"/>
                <w:szCs w:val="24"/>
              </w:rPr>
              <w:t>00</w:t>
            </w:r>
          </w:p>
        </w:tc>
      </w:tr>
      <w:tr w:rsidR="000D49B8" w:rsidRPr="003C0D7F" w14:paraId="0A9E2173" w14:textId="77777777" w:rsidTr="0082111F">
        <w:tc>
          <w:tcPr>
            <w:tcW w:w="4000" w:type="pct"/>
            <w:shd w:val="clear" w:color="auto" w:fill="FFFFFF"/>
            <w:tcMar>
              <w:top w:w="60" w:type="dxa"/>
            </w:tcMar>
            <w:vAlign w:val="center"/>
          </w:tcPr>
          <w:p w14:paraId="2EC9C692" w14:textId="77777777" w:rsidR="000D49B8" w:rsidRPr="003C0D7F" w:rsidRDefault="000D49B8" w:rsidP="0082111F">
            <w:pPr>
              <w:spacing w:after="60" w:line="312" w:lineRule="auto"/>
              <w:rPr>
                <w:rFonts w:ascii="Times New Roman" w:eastAsia="Times New Roman" w:hAnsi="Times New Roman" w:cs="Times New Roman"/>
                <w:sz w:val="24"/>
                <w:szCs w:val="24"/>
              </w:rPr>
            </w:pPr>
            <w:r w:rsidRPr="003C0D7F">
              <w:rPr>
                <w:rFonts w:ascii="Times New Roman" w:eastAsia="Times New Roman" w:hAnsi="Times New Roman" w:cs="Times New Roman"/>
                <w:sz w:val="24"/>
                <w:szCs w:val="24"/>
              </w:rPr>
              <w:t>Pracovné miesta vytvorené v podporovaných projektoch (LEADER/PRV) (oblasť zamerania 6B)</w:t>
            </w:r>
          </w:p>
        </w:tc>
        <w:tc>
          <w:tcPr>
            <w:tcW w:w="1000" w:type="pct"/>
            <w:shd w:val="clear" w:color="auto" w:fill="FFFFFF"/>
            <w:tcMar>
              <w:top w:w="60" w:type="dxa"/>
            </w:tcMar>
            <w:vAlign w:val="center"/>
          </w:tcPr>
          <w:p w14:paraId="0DD39F97" w14:textId="77777777" w:rsidR="000D49B8" w:rsidRPr="004A69E6" w:rsidRDefault="00C544CF" w:rsidP="0082111F">
            <w:pPr>
              <w:spacing w:after="60" w:line="312"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6F75F817" w14:textId="77777777" w:rsidR="000D49B8" w:rsidRDefault="000D49B8" w:rsidP="00E37887">
      <w:pPr>
        <w:spacing w:after="0" w:line="360" w:lineRule="auto"/>
        <w:rPr>
          <w:rFonts w:ascii="Times New Roman" w:hAnsi="Times New Roman" w:cs="Times New Roman"/>
          <w:b/>
        </w:rPr>
      </w:pPr>
    </w:p>
    <w:p w14:paraId="1BBB76DB" w14:textId="77777777" w:rsidR="0084068A" w:rsidRPr="00891B13" w:rsidRDefault="0084068A" w:rsidP="00E37887">
      <w:pPr>
        <w:spacing w:after="0" w:line="360" w:lineRule="auto"/>
        <w:rPr>
          <w:rFonts w:ascii="Times New Roman" w:hAnsi="Times New Roman" w:cs="Times New Roman"/>
          <w:b/>
          <w:sz w:val="24"/>
          <w:szCs w:val="24"/>
        </w:rPr>
      </w:pPr>
    </w:p>
    <w:p w14:paraId="01CB63A3" w14:textId="77777777" w:rsidR="00D3111F" w:rsidRPr="00891B13" w:rsidRDefault="00C3682F" w:rsidP="00E37887">
      <w:pPr>
        <w:spacing w:after="0" w:line="360" w:lineRule="auto"/>
        <w:rPr>
          <w:rFonts w:ascii="Times New Roman" w:hAnsi="Times New Roman" w:cs="Times New Roman"/>
          <w:b/>
        </w:rPr>
      </w:pPr>
      <w:r w:rsidRPr="00891B13">
        <w:rPr>
          <w:rFonts w:ascii="Times New Roman" w:hAnsi="Times New Roman" w:cs="Times New Roman"/>
          <w:b/>
        </w:rPr>
        <w:t xml:space="preserve">Tabuľka </w:t>
      </w:r>
      <w:r w:rsidR="00FD73BF">
        <w:rPr>
          <w:rFonts w:ascii="Times New Roman" w:hAnsi="Times New Roman" w:cs="Times New Roman"/>
          <w:b/>
        </w:rPr>
        <w:t>5.3.3</w:t>
      </w:r>
      <w:r w:rsidRPr="00891B13">
        <w:rPr>
          <w:rFonts w:ascii="Times New Roman" w:hAnsi="Times New Roman" w:cs="Times New Roman"/>
          <w:b/>
        </w:rPr>
        <w:t xml:space="preserve"> Celkové verejné výdavky </w:t>
      </w:r>
      <w:r w:rsidR="0051508D" w:rsidRPr="00891B13">
        <w:rPr>
          <w:rFonts w:ascii="Times New Roman" w:hAnsi="Times New Roman" w:cs="Times New Roman"/>
          <w:b/>
        </w:rPr>
        <w:t xml:space="preserve">–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0"/>
        <w:gridCol w:w="1858"/>
      </w:tblGrid>
      <w:tr w:rsidR="007F174A" w:rsidRPr="00891B13" w14:paraId="6B52CB66" w14:textId="77777777" w:rsidTr="00E2417E">
        <w:trPr>
          <w:trHeight w:val="364"/>
        </w:trPr>
        <w:tc>
          <w:tcPr>
            <w:tcW w:w="4000" w:type="pct"/>
            <w:shd w:val="clear" w:color="auto" w:fill="C0C0C0"/>
            <w:tcMar>
              <w:top w:w="60" w:type="dxa"/>
            </w:tcMar>
            <w:vAlign w:val="center"/>
          </w:tcPr>
          <w:p w14:paraId="72BA20E7" w14:textId="77777777" w:rsidR="007F174A" w:rsidRPr="00891B13" w:rsidRDefault="007F174A" w:rsidP="00E37887">
            <w:pPr>
              <w:spacing w:after="0" w:line="360" w:lineRule="auto"/>
              <w:jc w:val="center"/>
              <w:rPr>
                <w:rFonts w:ascii="Times New Roman" w:eastAsia="Times New Roman" w:hAnsi="Times New Roman" w:cs="Times New Roman"/>
                <w:b/>
              </w:rPr>
            </w:pPr>
            <w:r w:rsidRPr="00891B13">
              <w:rPr>
                <w:rFonts w:ascii="Times New Roman" w:eastAsia="Times New Roman" w:hAnsi="Times New Roman" w:cs="Times New Roman"/>
                <w:b/>
              </w:rPr>
              <w:t>Názov ukazovateľa výstupu</w:t>
            </w:r>
          </w:p>
        </w:tc>
        <w:tc>
          <w:tcPr>
            <w:tcW w:w="1000" w:type="pct"/>
            <w:shd w:val="clear" w:color="auto" w:fill="C0C0C0"/>
            <w:tcMar>
              <w:top w:w="60" w:type="dxa"/>
            </w:tcMar>
            <w:vAlign w:val="center"/>
          </w:tcPr>
          <w:p w14:paraId="698D4311" w14:textId="77777777" w:rsidR="007F174A" w:rsidRPr="00891B13" w:rsidRDefault="007F174A" w:rsidP="00E37887">
            <w:pPr>
              <w:spacing w:after="0" w:line="360" w:lineRule="auto"/>
              <w:jc w:val="center"/>
              <w:rPr>
                <w:rFonts w:ascii="Times New Roman" w:eastAsia="Times New Roman" w:hAnsi="Times New Roman" w:cs="Times New Roman"/>
                <w:b/>
              </w:rPr>
            </w:pPr>
            <w:r w:rsidRPr="00891B13">
              <w:rPr>
                <w:rFonts w:ascii="Times New Roman" w:eastAsia="Times New Roman" w:hAnsi="Times New Roman" w:cs="Times New Roman"/>
                <w:b/>
              </w:rPr>
              <w:t>Cieľová hodnota v roku 2023</w:t>
            </w:r>
          </w:p>
        </w:tc>
      </w:tr>
      <w:tr w:rsidR="004A69E6" w:rsidRPr="00891B13" w14:paraId="609B95BD" w14:textId="77777777" w:rsidTr="00E2417E">
        <w:trPr>
          <w:trHeight w:val="264"/>
        </w:trPr>
        <w:tc>
          <w:tcPr>
            <w:tcW w:w="4000" w:type="pct"/>
            <w:shd w:val="clear" w:color="auto" w:fill="FFFFFF"/>
            <w:tcMar>
              <w:top w:w="60" w:type="dxa"/>
            </w:tcMar>
            <w:vAlign w:val="center"/>
          </w:tcPr>
          <w:p w14:paraId="6251FB4B"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Celkové verejné výdavky (v EUR) – podpora na vykonávanie operácií v rámci stratégie CLLD (len časť z PRV)</w:t>
            </w:r>
          </w:p>
        </w:tc>
        <w:tc>
          <w:tcPr>
            <w:tcW w:w="1000" w:type="pct"/>
            <w:shd w:val="clear" w:color="auto" w:fill="FFFFFF"/>
            <w:tcMar>
              <w:top w:w="60" w:type="dxa"/>
            </w:tcMar>
            <w:vAlign w:val="center"/>
          </w:tcPr>
          <w:p w14:paraId="7E22542B" w14:textId="77777777" w:rsidR="00647704" w:rsidRDefault="00647704" w:rsidP="00817F6A">
            <w:pPr>
              <w:spacing w:after="0" w:line="360" w:lineRule="auto"/>
              <w:jc w:val="right"/>
              <w:rPr>
                <w:rFonts w:ascii="Times New Roman" w:hAnsi="Times New Roman" w:cs="Times New Roman"/>
              </w:rPr>
            </w:pPr>
          </w:p>
          <w:p w14:paraId="0603F35B" w14:textId="77777777" w:rsidR="00817F6A" w:rsidRPr="00891B13" w:rsidRDefault="00817F6A" w:rsidP="00E37887">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761 096,00</w:t>
            </w:r>
          </w:p>
        </w:tc>
      </w:tr>
      <w:tr w:rsidR="004A69E6" w:rsidRPr="00891B13" w14:paraId="07B03A92" w14:textId="77777777" w:rsidTr="00E2417E">
        <w:tc>
          <w:tcPr>
            <w:tcW w:w="4000" w:type="pct"/>
            <w:shd w:val="clear" w:color="auto" w:fill="FFFFFF"/>
            <w:tcMar>
              <w:top w:w="60" w:type="dxa"/>
            </w:tcMar>
            <w:vAlign w:val="center"/>
          </w:tcPr>
          <w:p w14:paraId="4BCC6FE4"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Celkové verejné výdavky (v EUR) – podpora pri prevádzkových nákladoch a oživení - (len časť z PRV)</w:t>
            </w:r>
          </w:p>
        </w:tc>
        <w:tc>
          <w:tcPr>
            <w:tcW w:w="1000" w:type="pct"/>
            <w:shd w:val="clear" w:color="auto" w:fill="FFFFFF"/>
            <w:tcMar>
              <w:top w:w="60" w:type="dxa"/>
            </w:tcMar>
            <w:vAlign w:val="center"/>
          </w:tcPr>
          <w:p w14:paraId="7CED5DCF" w14:textId="77777777" w:rsidR="00647704" w:rsidRDefault="00647704" w:rsidP="00E37887">
            <w:pPr>
              <w:spacing w:after="0" w:line="360" w:lineRule="auto"/>
              <w:jc w:val="right"/>
              <w:rPr>
                <w:rFonts w:ascii="Times New Roman" w:hAnsi="Times New Roman" w:cs="Times New Roman"/>
              </w:rPr>
            </w:pPr>
          </w:p>
          <w:p w14:paraId="3934C230" w14:textId="77777777" w:rsidR="004A69E6" w:rsidRDefault="004A69E6" w:rsidP="00E37887">
            <w:pPr>
              <w:spacing w:after="0" w:line="360" w:lineRule="auto"/>
              <w:jc w:val="right"/>
              <w:rPr>
                <w:rFonts w:ascii="Times New Roman" w:hAnsi="Times New Roman" w:cs="Times New Roman"/>
              </w:rPr>
            </w:pPr>
          </w:p>
          <w:p w14:paraId="380A8C2C" w14:textId="77777777" w:rsidR="00BA3251" w:rsidRPr="00891B13" w:rsidRDefault="00BA3251" w:rsidP="00E37887">
            <w:pPr>
              <w:spacing w:after="0" w:line="360" w:lineRule="auto"/>
              <w:jc w:val="right"/>
              <w:rPr>
                <w:rFonts w:ascii="Times New Roman" w:eastAsia="Times New Roman" w:hAnsi="Times New Roman" w:cs="Times New Roman"/>
                <w:b/>
              </w:rPr>
            </w:pPr>
            <w:r>
              <w:rPr>
                <w:rFonts w:ascii="Times New Roman" w:hAnsi="Times New Roman" w:cs="Times New Roman"/>
              </w:rPr>
              <w:t>43 100,00</w:t>
            </w:r>
          </w:p>
        </w:tc>
      </w:tr>
    </w:tbl>
    <w:p w14:paraId="0EC3AA90" w14:textId="77777777" w:rsidR="00896275" w:rsidRDefault="00896275" w:rsidP="00E37887">
      <w:pPr>
        <w:spacing w:after="0" w:line="360" w:lineRule="auto"/>
        <w:rPr>
          <w:rFonts w:ascii="Times New Roman" w:hAnsi="Times New Roman" w:cs="Times New Roman"/>
          <w:b/>
        </w:rPr>
      </w:pPr>
    </w:p>
    <w:p w14:paraId="037320A5" w14:textId="77777777" w:rsidR="009F4B75" w:rsidRPr="00891B13" w:rsidRDefault="009F4B75" w:rsidP="00E37887">
      <w:pPr>
        <w:spacing w:after="0" w:line="360" w:lineRule="auto"/>
        <w:rPr>
          <w:rFonts w:ascii="Times New Roman" w:hAnsi="Times New Roman" w:cs="Times New Roman"/>
          <w:b/>
        </w:rPr>
      </w:pPr>
    </w:p>
    <w:p w14:paraId="72B8149C" w14:textId="77777777" w:rsidR="00B35194" w:rsidRPr="00891B13" w:rsidRDefault="000712DB" w:rsidP="00E37887">
      <w:pPr>
        <w:spacing w:after="0" w:line="360" w:lineRule="auto"/>
        <w:rPr>
          <w:rFonts w:ascii="Times New Roman" w:hAnsi="Times New Roman" w:cs="Times New Roman"/>
        </w:rPr>
      </w:pPr>
      <w:r w:rsidRPr="00891B13">
        <w:rPr>
          <w:rFonts w:ascii="Times New Roman" w:hAnsi="Times New Roman" w:cs="Times New Roman"/>
          <w:b/>
        </w:rPr>
        <w:t>Tabuľka</w:t>
      </w:r>
      <w:r w:rsidR="0051508D" w:rsidRPr="00891B13">
        <w:rPr>
          <w:rFonts w:ascii="Times New Roman" w:hAnsi="Times New Roman" w:cs="Times New Roman"/>
          <w:b/>
        </w:rPr>
        <w:t xml:space="preserve"> </w:t>
      </w:r>
      <w:r w:rsidR="0082111F">
        <w:rPr>
          <w:rFonts w:ascii="Times New Roman" w:hAnsi="Times New Roman" w:cs="Times New Roman"/>
          <w:b/>
        </w:rPr>
        <w:t>5.3.</w:t>
      </w:r>
      <w:r w:rsidR="005B0404">
        <w:rPr>
          <w:rFonts w:ascii="Times New Roman" w:hAnsi="Times New Roman" w:cs="Times New Roman"/>
          <w:b/>
        </w:rPr>
        <w:t>4</w:t>
      </w:r>
      <w:r w:rsidRPr="00891B13">
        <w:rPr>
          <w:rFonts w:ascii="Times New Roman" w:hAnsi="Times New Roman" w:cs="Times New Roman"/>
          <w:b/>
        </w:rPr>
        <w:t xml:space="preserve"> </w:t>
      </w:r>
      <w:r w:rsidR="0051508D" w:rsidRPr="00891B13">
        <w:rPr>
          <w:rFonts w:ascii="Times New Roman" w:hAnsi="Times New Roman" w:cs="Times New Roman"/>
          <w:b/>
        </w:rPr>
        <w:t>P</w:t>
      </w:r>
      <w:r w:rsidRPr="00891B13">
        <w:rPr>
          <w:rFonts w:ascii="Times New Roman" w:hAnsi="Times New Roman" w:cs="Times New Roman"/>
          <w:b/>
        </w:rPr>
        <w:t>ovinné</w:t>
      </w:r>
      <w:r w:rsidRPr="00891B13">
        <w:rPr>
          <w:rFonts w:ascii="Times New Roman" w:hAnsi="Times New Roman" w:cs="Times New Roman"/>
        </w:rPr>
        <w:t xml:space="preserve"> </w:t>
      </w:r>
      <w:r w:rsidRPr="00891B13">
        <w:rPr>
          <w:rFonts w:ascii="Times New Roman" w:hAnsi="Times New Roman" w:cs="Times New Roman"/>
          <w:b/>
        </w:rPr>
        <w:t xml:space="preserve">ukazovatele na úrovni IROP </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125"/>
        <w:gridCol w:w="2271"/>
      </w:tblGrid>
      <w:tr w:rsidR="000712DB" w:rsidRPr="00891B13" w14:paraId="19BAE743" w14:textId="77777777" w:rsidTr="000712DB">
        <w:trPr>
          <w:trHeight w:val="364"/>
        </w:trPr>
        <w:tc>
          <w:tcPr>
            <w:tcW w:w="2530" w:type="pct"/>
            <w:shd w:val="clear" w:color="auto" w:fill="C0C0C0"/>
            <w:tcMar>
              <w:top w:w="60" w:type="dxa"/>
            </w:tcMar>
            <w:vAlign w:val="center"/>
          </w:tcPr>
          <w:p w14:paraId="1AFB8721" w14:textId="77777777" w:rsidR="000712DB" w:rsidRPr="00891B13" w:rsidRDefault="000712DB" w:rsidP="00E37887">
            <w:pPr>
              <w:spacing w:after="0" w:line="360" w:lineRule="auto"/>
              <w:jc w:val="center"/>
              <w:rPr>
                <w:rFonts w:ascii="Times New Roman" w:eastAsia="Times New Roman" w:hAnsi="Times New Roman" w:cs="Times New Roman"/>
                <w:b/>
              </w:rPr>
            </w:pPr>
            <w:r w:rsidRPr="00891B13">
              <w:rPr>
                <w:rFonts w:ascii="Times New Roman" w:eastAsia="Times New Roman" w:hAnsi="Times New Roman" w:cs="Times New Roman"/>
                <w:b/>
              </w:rPr>
              <w:t>Názov ukazovateľa výstupu</w:t>
            </w:r>
          </w:p>
        </w:tc>
        <w:tc>
          <w:tcPr>
            <w:tcW w:w="1194" w:type="pct"/>
            <w:shd w:val="clear" w:color="auto" w:fill="C0C0C0"/>
          </w:tcPr>
          <w:p w14:paraId="3E7BCA8A" w14:textId="77777777" w:rsidR="000712DB" w:rsidRPr="00891B13" w:rsidRDefault="000712DB" w:rsidP="00E37887">
            <w:pPr>
              <w:spacing w:after="0" w:line="360" w:lineRule="auto"/>
              <w:jc w:val="center"/>
              <w:rPr>
                <w:rFonts w:ascii="Times New Roman" w:eastAsia="Times New Roman" w:hAnsi="Times New Roman" w:cs="Times New Roman"/>
                <w:b/>
              </w:rPr>
            </w:pPr>
            <w:r w:rsidRPr="00891B13">
              <w:rPr>
                <w:rFonts w:ascii="Times New Roman" w:eastAsia="Times New Roman" w:hAnsi="Times New Roman" w:cs="Times New Roman"/>
                <w:b/>
              </w:rPr>
              <w:t>Merná jednotka</w:t>
            </w:r>
          </w:p>
        </w:tc>
        <w:tc>
          <w:tcPr>
            <w:tcW w:w="1276" w:type="pct"/>
            <w:shd w:val="clear" w:color="auto" w:fill="C0C0C0"/>
            <w:tcMar>
              <w:top w:w="60" w:type="dxa"/>
            </w:tcMar>
            <w:vAlign w:val="center"/>
          </w:tcPr>
          <w:p w14:paraId="2E15E9E6" w14:textId="77777777" w:rsidR="000712DB" w:rsidRPr="00891B13" w:rsidRDefault="000712DB" w:rsidP="00E37887">
            <w:pPr>
              <w:spacing w:after="0" w:line="360" w:lineRule="auto"/>
              <w:jc w:val="center"/>
              <w:rPr>
                <w:rFonts w:ascii="Times New Roman" w:eastAsia="Times New Roman" w:hAnsi="Times New Roman" w:cs="Times New Roman"/>
                <w:b/>
              </w:rPr>
            </w:pPr>
            <w:r w:rsidRPr="00891B13">
              <w:rPr>
                <w:rFonts w:ascii="Times New Roman" w:eastAsia="Times New Roman" w:hAnsi="Times New Roman" w:cs="Times New Roman"/>
                <w:b/>
              </w:rPr>
              <w:t>Cieľová hodnota v roku 2023</w:t>
            </w:r>
          </w:p>
        </w:tc>
      </w:tr>
      <w:tr w:rsidR="004A69E6" w:rsidRPr="00891B13" w14:paraId="1750299F" w14:textId="77777777" w:rsidTr="000712DB">
        <w:tc>
          <w:tcPr>
            <w:tcW w:w="2530" w:type="pct"/>
            <w:shd w:val="clear" w:color="auto" w:fill="FFFFFF"/>
            <w:tcMar>
              <w:top w:w="60" w:type="dxa"/>
            </w:tcMar>
          </w:tcPr>
          <w:p w14:paraId="3246AC7D"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Počet podporených podnikov</w:t>
            </w:r>
          </w:p>
        </w:tc>
        <w:tc>
          <w:tcPr>
            <w:tcW w:w="1194" w:type="pct"/>
            <w:shd w:val="clear" w:color="auto" w:fill="FFFFFF"/>
          </w:tcPr>
          <w:p w14:paraId="5C540542" w14:textId="77777777" w:rsidR="004A69E6" w:rsidRPr="00891B13" w:rsidRDefault="004A69E6" w:rsidP="00E37887">
            <w:pPr>
              <w:spacing w:after="0" w:line="360" w:lineRule="auto"/>
              <w:jc w:val="right"/>
              <w:rPr>
                <w:rFonts w:ascii="Times New Roman" w:eastAsia="Times New Roman" w:hAnsi="Times New Roman" w:cs="Times New Roman"/>
              </w:rPr>
            </w:pPr>
            <w:r w:rsidRPr="00891B13">
              <w:rPr>
                <w:rFonts w:ascii="Times New Roman" w:eastAsia="Times New Roman" w:hAnsi="Times New Roman" w:cs="Times New Roman"/>
              </w:rPr>
              <w:t>podnik</w:t>
            </w:r>
          </w:p>
        </w:tc>
        <w:tc>
          <w:tcPr>
            <w:tcW w:w="1276" w:type="pct"/>
            <w:shd w:val="clear" w:color="auto" w:fill="FFFFFF"/>
            <w:tcMar>
              <w:top w:w="60" w:type="dxa"/>
            </w:tcMar>
            <w:vAlign w:val="center"/>
          </w:tcPr>
          <w:p w14:paraId="1E5AAA9E" w14:textId="77777777" w:rsidR="004A69E6" w:rsidRPr="004A69E6" w:rsidRDefault="00C544CF" w:rsidP="00E37887">
            <w:pPr>
              <w:spacing w:after="0" w:line="360" w:lineRule="auto"/>
              <w:jc w:val="right"/>
              <w:rPr>
                <w:rFonts w:ascii="Times New Roman" w:eastAsia="Times New Roman" w:hAnsi="Times New Roman" w:cs="Times New Roman"/>
              </w:rPr>
            </w:pPr>
            <w:r>
              <w:rPr>
                <w:rFonts w:ascii="Times New Roman" w:eastAsia="Times New Roman" w:hAnsi="Times New Roman" w:cs="Times New Roman"/>
                <w:sz w:val="24"/>
                <w:szCs w:val="24"/>
              </w:rPr>
              <w:t>6</w:t>
            </w:r>
          </w:p>
        </w:tc>
      </w:tr>
      <w:tr w:rsidR="004A69E6" w:rsidRPr="00891B13" w14:paraId="07577EBB" w14:textId="77777777" w:rsidTr="000712DB">
        <w:tc>
          <w:tcPr>
            <w:tcW w:w="2530" w:type="pct"/>
            <w:shd w:val="clear" w:color="auto" w:fill="FFFFFF"/>
            <w:tcMar>
              <w:top w:w="60" w:type="dxa"/>
            </w:tcMar>
            <w:vAlign w:val="center"/>
          </w:tcPr>
          <w:p w14:paraId="79597168"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Zamestnanosť v podporených podnikoch</w:t>
            </w:r>
          </w:p>
        </w:tc>
        <w:tc>
          <w:tcPr>
            <w:tcW w:w="1194" w:type="pct"/>
            <w:shd w:val="clear" w:color="auto" w:fill="FFFFFF"/>
          </w:tcPr>
          <w:p w14:paraId="776088E8" w14:textId="77777777" w:rsidR="004A69E6" w:rsidRPr="00891B13" w:rsidRDefault="004A69E6" w:rsidP="00E37887">
            <w:pPr>
              <w:spacing w:after="0" w:line="360" w:lineRule="auto"/>
              <w:jc w:val="right"/>
              <w:rPr>
                <w:rFonts w:ascii="Times New Roman" w:eastAsia="Times New Roman" w:hAnsi="Times New Roman" w:cs="Times New Roman"/>
              </w:rPr>
            </w:pPr>
            <w:r w:rsidRPr="00891B13">
              <w:rPr>
                <w:rFonts w:ascii="Times New Roman" w:eastAsia="Times New Roman" w:hAnsi="Times New Roman" w:cs="Times New Roman"/>
              </w:rPr>
              <w:t>FTE</w:t>
            </w:r>
          </w:p>
        </w:tc>
        <w:tc>
          <w:tcPr>
            <w:tcW w:w="1276" w:type="pct"/>
            <w:shd w:val="clear" w:color="auto" w:fill="FFFFFF"/>
            <w:tcMar>
              <w:top w:w="60" w:type="dxa"/>
            </w:tcMar>
            <w:vAlign w:val="center"/>
          </w:tcPr>
          <w:p w14:paraId="4D711C4C" w14:textId="77777777" w:rsidR="004A69E6" w:rsidRPr="004A69E6" w:rsidRDefault="00C544CF" w:rsidP="00E37887">
            <w:pPr>
              <w:spacing w:after="0" w:line="360" w:lineRule="auto"/>
              <w:jc w:val="right"/>
              <w:rPr>
                <w:rFonts w:ascii="Times New Roman" w:eastAsia="Times New Roman" w:hAnsi="Times New Roman" w:cs="Times New Roman"/>
              </w:rPr>
            </w:pPr>
            <w:r>
              <w:rPr>
                <w:rFonts w:ascii="Times New Roman" w:eastAsia="Times New Roman" w:hAnsi="Times New Roman" w:cs="Times New Roman"/>
                <w:sz w:val="24"/>
                <w:szCs w:val="24"/>
              </w:rPr>
              <w:t>6</w:t>
            </w:r>
          </w:p>
        </w:tc>
      </w:tr>
      <w:tr w:rsidR="004A69E6" w:rsidRPr="00891B13" w14:paraId="546D9761" w14:textId="77777777" w:rsidTr="000712DB">
        <w:tc>
          <w:tcPr>
            <w:tcW w:w="2530" w:type="pct"/>
            <w:shd w:val="clear" w:color="auto" w:fill="FFFFFF"/>
            <w:tcMar>
              <w:top w:w="60" w:type="dxa"/>
            </w:tcMar>
            <w:vAlign w:val="center"/>
          </w:tcPr>
          <w:p w14:paraId="42A58DB9"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Počet podnikov, ktoré dostávajú podporu s cieľom predstaviť výrobky, ktoré sú pre firmu nové</w:t>
            </w:r>
          </w:p>
        </w:tc>
        <w:tc>
          <w:tcPr>
            <w:tcW w:w="1194" w:type="pct"/>
            <w:shd w:val="clear" w:color="auto" w:fill="FFFFFF"/>
          </w:tcPr>
          <w:p w14:paraId="643AB81D" w14:textId="77777777" w:rsidR="004A69E6" w:rsidRPr="00891B13" w:rsidRDefault="004A69E6" w:rsidP="00E37887">
            <w:pPr>
              <w:spacing w:after="0" w:line="360" w:lineRule="auto"/>
              <w:jc w:val="right"/>
              <w:rPr>
                <w:rFonts w:ascii="Times New Roman" w:eastAsia="Times New Roman" w:hAnsi="Times New Roman" w:cs="Times New Roman"/>
              </w:rPr>
            </w:pPr>
            <w:r w:rsidRPr="00891B13">
              <w:rPr>
                <w:rFonts w:ascii="Times New Roman" w:eastAsia="Times New Roman" w:hAnsi="Times New Roman" w:cs="Times New Roman"/>
              </w:rPr>
              <w:t>podnik</w:t>
            </w:r>
          </w:p>
        </w:tc>
        <w:tc>
          <w:tcPr>
            <w:tcW w:w="1276" w:type="pct"/>
            <w:shd w:val="clear" w:color="auto" w:fill="FFFFFF"/>
            <w:tcMar>
              <w:top w:w="60" w:type="dxa"/>
            </w:tcMar>
            <w:vAlign w:val="center"/>
          </w:tcPr>
          <w:p w14:paraId="3BB61C6F" w14:textId="77777777" w:rsidR="004A69E6" w:rsidRPr="004A69E6" w:rsidRDefault="00C544CF" w:rsidP="00E37887">
            <w:pPr>
              <w:spacing w:after="0" w:line="360" w:lineRule="auto"/>
              <w:jc w:val="right"/>
              <w:rPr>
                <w:rFonts w:ascii="Times New Roman" w:eastAsia="Times New Roman" w:hAnsi="Times New Roman" w:cs="Times New Roman"/>
              </w:rPr>
            </w:pPr>
            <w:r>
              <w:rPr>
                <w:rFonts w:ascii="Times New Roman" w:eastAsia="Times New Roman" w:hAnsi="Times New Roman" w:cs="Times New Roman"/>
                <w:sz w:val="24"/>
                <w:szCs w:val="24"/>
              </w:rPr>
              <w:t>1</w:t>
            </w:r>
          </w:p>
        </w:tc>
      </w:tr>
      <w:tr w:rsidR="004A69E6" w:rsidRPr="00891B13" w14:paraId="6A070C54" w14:textId="77777777" w:rsidTr="000712DB">
        <w:tc>
          <w:tcPr>
            <w:tcW w:w="2530" w:type="pct"/>
            <w:shd w:val="clear" w:color="auto" w:fill="FFFFFF"/>
            <w:tcMar>
              <w:top w:w="60" w:type="dxa"/>
            </w:tcMar>
            <w:vAlign w:val="center"/>
          </w:tcPr>
          <w:p w14:paraId="0B5541E7"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Počet podnikov, ktoré dostávajú podporu s cieľom predstaviť výrobky, ktoré sú pre trh nové</w:t>
            </w:r>
          </w:p>
        </w:tc>
        <w:tc>
          <w:tcPr>
            <w:tcW w:w="1194" w:type="pct"/>
            <w:shd w:val="clear" w:color="auto" w:fill="FFFFFF"/>
          </w:tcPr>
          <w:p w14:paraId="60CDF057" w14:textId="77777777" w:rsidR="004A69E6" w:rsidRPr="00891B13" w:rsidRDefault="004A69E6" w:rsidP="00E37887">
            <w:pPr>
              <w:spacing w:after="0" w:line="360" w:lineRule="auto"/>
              <w:jc w:val="right"/>
              <w:rPr>
                <w:rFonts w:ascii="Times New Roman" w:eastAsia="Times New Roman" w:hAnsi="Times New Roman" w:cs="Times New Roman"/>
              </w:rPr>
            </w:pPr>
            <w:r w:rsidRPr="00891B13">
              <w:rPr>
                <w:rFonts w:ascii="Times New Roman" w:eastAsia="Times New Roman" w:hAnsi="Times New Roman" w:cs="Times New Roman"/>
              </w:rPr>
              <w:t>podnik</w:t>
            </w:r>
          </w:p>
        </w:tc>
        <w:tc>
          <w:tcPr>
            <w:tcW w:w="1276" w:type="pct"/>
            <w:shd w:val="clear" w:color="auto" w:fill="FFFFFF"/>
            <w:tcMar>
              <w:top w:w="60" w:type="dxa"/>
            </w:tcMar>
            <w:vAlign w:val="center"/>
          </w:tcPr>
          <w:p w14:paraId="578A2700" w14:textId="77777777" w:rsidR="004A69E6" w:rsidRPr="004A69E6" w:rsidRDefault="004A69E6" w:rsidP="00E37887">
            <w:pPr>
              <w:spacing w:after="0" w:line="360" w:lineRule="auto"/>
              <w:jc w:val="right"/>
              <w:rPr>
                <w:rFonts w:ascii="Times New Roman" w:eastAsia="Times New Roman" w:hAnsi="Times New Roman" w:cs="Times New Roman"/>
              </w:rPr>
            </w:pPr>
            <w:r w:rsidRPr="004A69E6">
              <w:rPr>
                <w:rFonts w:ascii="Times New Roman" w:eastAsia="Times New Roman" w:hAnsi="Times New Roman" w:cs="Times New Roman"/>
                <w:sz w:val="24"/>
                <w:szCs w:val="24"/>
              </w:rPr>
              <w:t>1</w:t>
            </w:r>
          </w:p>
        </w:tc>
      </w:tr>
      <w:tr w:rsidR="004A69E6" w:rsidRPr="00891B13" w14:paraId="4835E420" w14:textId="77777777" w:rsidTr="000712DB">
        <w:tc>
          <w:tcPr>
            <w:tcW w:w="2530" w:type="pct"/>
            <w:shd w:val="clear" w:color="auto" w:fill="FFFFFF"/>
            <w:tcMar>
              <w:top w:w="60" w:type="dxa"/>
            </w:tcMar>
            <w:vAlign w:val="center"/>
          </w:tcPr>
          <w:p w14:paraId="2B70F0D9" w14:textId="77777777" w:rsidR="004A69E6" w:rsidRPr="00891B13" w:rsidRDefault="004A69E6" w:rsidP="00E37887">
            <w:pPr>
              <w:spacing w:after="0" w:line="360" w:lineRule="auto"/>
              <w:rPr>
                <w:rFonts w:ascii="Times New Roman" w:hAnsi="Times New Roman" w:cs="Times New Roman"/>
              </w:rPr>
            </w:pPr>
            <w:r w:rsidRPr="00891B13">
              <w:rPr>
                <w:rFonts w:ascii="Times New Roman" w:hAnsi="Times New Roman" w:cs="Times New Roman"/>
              </w:rPr>
              <w:t>Počet nových služieb a prvkov verejnej infraštruktúry</w:t>
            </w:r>
          </w:p>
        </w:tc>
        <w:tc>
          <w:tcPr>
            <w:tcW w:w="1194" w:type="pct"/>
            <w:shd w:val="clear" w:color="auto" w:fill="FFFFFF"/>
          </w:tcPr>
          <w:p w14:paraId="26D471C0" w14:textId="77777777" w:rsidR="004A69E6" w:rsidRPr="00891B13" w:rsidRDefault="004A69E6" w:rsidP="00E37887">
            <w:pPr>
              <w:spacing w:after="0" w:line="360" w:lineRule="auto"/>
              <w:jc w:val="right"/>
              <w:rPr>
                <w:rFonts w:ascii="Times New Roman" w:eastAsia="Times New Roman" w:hAnsi="Times New Roman" w:cs="Times New Roman"/>
              </w:rPr>
            </w:pPr>
            <w:r w:rsidRPr="00891B13">
              <w:rPr>
                <w:rFonts w:ascii="Times New Roman" w:eastAsia="Times New Roman" w:hAnsi="Times New Roman" w:cs="Times New Roman"/>
              </w:rPr>
              <w:t>počet</w:t>
            </w:r>
          </w:p>
        </w:tc>
        <w:tc>
          <w:tcPr>
            <w:tcW w:w="1276" w:type="pct"/>
            <w:shd w:val="clear" w:color="auto" w:fill="FFFFFF"/>
            <w:tcMar>
              <w:top w:w="60" w:type="dxa"/>
            </w:tcMar>
            <w:vAlign w:val="center"/>
          </w:tcPr>
          <w:p w14:paraId="3F1CA014" w14:textId="77777777" w:rsidR="004A69E6" w:rsidRPr="004A69E6" w:rsidRDefault="00C544CF" w:rsidP="00EB021B">
            <w:pPr>
              <w:spacing w:after="0" w:line="360" w:lineRule="auto"/>
              <w:jc w:val="right"/>
              <w:rPr>
                <w:rFonts w:ascii="Times New Roman" w:eastAsia="Times New Roman" w:hAnsi="Times New Roman" w:cs="Times New Roman"/>
              </w:rPr>
            </w:pPr>
            <w:r>
              <w:rPr>
                <w:rFonts w:ascii="Times New Roman" w:eastAsia="Times New Roman" w:hAnsi="Times New Roman" w:cs="Times New Roman"/>
                <w:sz w:val="24"/>
                <w:szCs w:val="24"/>
              </w:rPr>
              <w:t>8</w:t>
            </w:r>
          </w:p>
        </w:tc>
      </w:tr>
    </w:tbl>
    <w:p w14:paraId="567D76B1" w14:textId="77777777" w:rsidR="009F4B75" w:rsidRDefault="009F4B75" w:rsidP="009F4B75">
      <w:pPr>
        <w:pStyle w:val="Odsekzoznamu"/>
        <w:keepNext/>
        <w:keepLines/>
        <w:spacing w:after="0" w:line="360" w:lineRule="auto"/>
        <w:ind w:left="0"/>
        <w:contextualSpacing w:val="0"/>
        <w:outlineLvl w:val="0"/>
        <w:rPr>
          <w:rFonts w:ascii="Times New Roman" w:eastAsiaTheme="majorEastAsia" w:hAnsi="Times New Roman" w:cstheme="majorBidi"/>
          <w:b/>
          <w:sz w:val="28"/>
          <w:szCs w:val="32"/>
        </w:rPr>
      </w:pPr>
      <w:bookmarkStart w:id="2036" w:name="_Toc437877492"/>
      <w:bookmarkStart w:id="2037" w:name="_Toc437877690"/>
      <w:bookmarkStart w:id="2038" w:name="_Toc437877890"/>
      <w:bookmarkStart w:id="2039" w:name="_Toc437878090"/>
      <w:bookmarkStart w:id="2040" w:name="_Toc437878293"/>
      <w:bookmarkStart w:id="2041" w:name="_Toc437878497"/>
      <w:bookmarkStart w:id="2042" w:name="_Toc437878701"/>
      <w:bookmarkStart w:id="2043" w:name="_Toc437878905"/>
      <w:bookmarkStart w:id="2044" w:name="_Toc437877493"/>
      <w:bookmarkStart w:id="2045" w:name="_Toc437877691"/>
      <w:bookmarkStart w:id="2046" w:name="_Toc437877891"/>
      <w:bookmarkStart w:id="2047" w:name="_Toc437878091"/>
      <w:bookmarkStart w:id="2048" w:name="_Toc437878294"/>
      <w:bookmarkStart w:id="2049" w:name="_Toc437878498"/>
      <w:bookmarkStart w:id="2050" w:name="_Toc437878702"/>
      <w:bookmarkStart w:id="2051" w:name="_Toc437878906"/>
      <w:bookmarkStart w:id="2052" w:name="_Toc437877494"/>
      <w:bookmarkStart w:id="2053" w:name="_Toc437877692"/>
      <w:bookmarkStart w:id="2054" w:name="_Toc437877892"/>
      <w:bookmarkStart w:id="2055" w:name="_Toc437878092"/>
      <w:bookmarkStart w:id="2056" w:name="_Toc437878295"/>
      <w:bookmarkStart w:id="2057" w:name="_Toc437878499"/>
      <w:bookmarkStart w:id="2058" w:name="_Toc437878703"/>
      <w:bookmarkStart w:id="2059" w:name="_Toc437878907"/>
      <w:bookmarkStart w:id="2060" w:name="_Toc437877495"/>
      <w:bookmarkStart w:id="2061" w:name="_Toc437877693"/>
      <w:bookmarkStart w:id="2062" w:name="_Toc437877893"/>
      <w:bookmarkStart w:id="2063" w:name="_Toc437878093"/>
      <w:bookmarkStart w:id="2064" w:name="_Toc437878296"/>
      <w:bookmarkStart w:id="2065" w:name="_Toc437878500"/>
      <w:bookmarkStart w:id="2066" w:name="_Toc437878704"/>
      <w:bookmarkStart w:id="2067" w:name="_Toc437878908"/>
      <w:bookmarkStart w:id="2068" w:name="_Toc437877496"/>
      <w:bookmarkStart w:id="2069" w:name="_Toc437877694"/>
      <w:bookmarkStart w:id="2070" w:name="_Toc437877894"/>
      <w:bookmarkStart w:id="2071" w:name="_Toc437878094"/>
      <w:bookmarkStart w:id="2072" w:name="_Toc437878297"/>
      <w:bookmarkStart w:id="2073" w:name="_Toc437878501"/>
      <w:bookmarkStart w:id="2074" w:name="_Toc437878705"/>
      <w:bookmarkStart w:id="2075" w:name="_Toc437878909"/>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263F40B0" w14:textId="77777777" w:rsidR="009F4B75" w:rsidRDefault="009F4B75" w:rsidP="002F14FF">
      <w:pPr>
        <w:pStyle w:val="Odsekzoznamu"/>
        <w:keepNext/>
        <w:keepLines/>
        <w:spacing w:after="0" w:line="360" w:lineRule="auto"/>
        <w:ind w:left="360"/>
        <w:contextualSpacing w:val="0"/>
        <w:outlineLvl w:val="0"/>
        <w:rPr>
          <w:rFonts w:ascii="Times New Roman" w:eastAsiaTheme="majorEastAsia" w:hAnsi="Times New Roman" w:cstheme="majorBidi"/>
          <w:b/>
          <w:sz w:val="28"/>
          <w:szCs w:val="32"/>
        </w:rPr>
      </w:pPr>
    </w:p>
    <w:p w14:paraId="63A1785A" w14:textId="77777777" w:rsidR="009F4B75" w:rsidRDefault="009F4B75" w:rsidP="002F14FF">
      <w:pPr>
        <w:pStyle w:val="Odsekzoznamu"/>
        <w:keepNext/>
        <w:keepLines/>
        <w:spacing w:after="0" w:line="360" w:lineRule="auto"/>
        <w:ind w:left="360"/>
        <w:contextualSpacing w:val="0"/>
        <w:outlineLvl w:val="0"/>
        <w:rPr>
          <w:rFonts w:ascii="Times New Roman" w:eastAsiaTheme="majorEastAsia" w:hAnsi="Times New Roman" w:cstheme="majorBidi"/>
          <w:b/>
          <w:sz w:val="28"/>
          <w:szCs w:val="32"/>
        </w:rPr>
      </w:pPr>
    </w:p>
    <w:p w14:paraId="4492FB6C" w14:textId="77777777" w:rsidR="009F4B75" w:rsidRDefault="009F4B75">
      <w:pPr>
        <w:rPr>
          <w:rFonts w:ascii="Times New Roman" w:eastAsiaTheme="majorEastAsia" w:hAnsi="Times New Roman" w:cstheme="majorBidi"/>
          <w:b/>
          <w:sz w:val="28"/>
          <w:szCs w:val="32"/>
        </w:rPr>
      </w:pPr>
      <w:r>
        <w:rPr>
          <w:rFonts w:ascii="Times New Roman" w:eastAsiaTheme="majorEastAsia" w:hAnsi="Times New Roman" w:cstheme="majorBidi"/>
          <w:b/>
          <w:sz w:val="28"/>
          <w:szCs w:val="32"/>
        </w:rPr>
        <w:br w:type="page"/>
      </w:r>
    </w:p>
    <w:p w14:paraId="55C43932" w14:textId="77777777" w:rsidR="00B569F2" w:rsidRPr="00891B13" w:rsidRDefault="000527A2" w:rsidP="009F4B75">
      <w:pPr>
        <w:pStyle w:val="Nadpis1"/>
        <w:numPr>
          <w:ilvl w:val="0"/>
          <w:numId w:val="7"/>
        </w:numPr>
        <w:spacing w:before="120"/>
      </w:pPr>
      <w:bookmarkStart w:id="2076" w:name="_Toc485645871"/>
      <w:r w:rsidRPr="00891B13">
        <w:lastRenderedPageBreak/>
        <w:t>Finančný rámec</w:t>
      </w:r>
      <w:bookmarkEnd w:id="2076"/>
    </w:p>
    <w:p w14:paraId="63D320A2" w14:textId="77777777" w:rsidR="000527A2" w:rsidRPr="00891B13" w:rsidRDefault="000527A2" w:rsidP="009F4B75">
      <w:pPr>
        <w:pStyle w:val="Nadpis2"/>
        <w:numPr>
          <w:ilvl w:val="1"/>
          <w:numId w:val="41"/>
        </w:numPr>
        <w:ind w:left="709"/>
      </w:pPr>
      <w:bookmarkStart w:id="2077" w:name="_Toc437877498"/>
      <w:bookmarkStart w:id="2078" w:name="_Toc437877696"/>
      <w:bookmarkStart w:id="2079" w:name="_Toc437877896"/>
      <w:bookmarkStart w:id="2080" w:name="_Toc437878096"/>
      <w:bookmarkStart w:id="2081" w:name="_Toc437878299"/>
      <w:bookmarkStart w:id="2082" w:name="_Toc437878503"/>
      <w:bookmarkStart w:id="2083" w:name="_Toc437878707"/>
      <w:bookmarkStart w:id="2084" w:name="_Toc437878911"/>
      <w:bookmarkStart w:id="2085" w:name="_Toc439150071"/>
      <w:bookmarkStart w:id="2086" w:name="_Toc439150427"/>
      <w:bookmarkStart w:id="2087" w:name="_Toc439150626"/>
      <w:bookmarkStart w:id="2088" w:name="_Toc485645713"/>
      <w:bookmarkStart w:id="2089" w:name="_Toc485645872"/>
      <w:bookmarkStart w:id="2090" w:name="_Toc437877499"/>
      <w:bookmarkStart w:id="2091" w:name="_Toc437877697"/>
      <w:bookmarkStart w:id="2092" w:name="_Toc437877897"/>
      <w:bookmarkStart w:id="2093" w:name="_Toc437878097"/>
      <w:bookmarkStart w:id="2094" w:name="_Toc437878300"/>
      <w:bookmarkStart w:id="2095" w:name="_Toc437878504"/>
      <w:bookmarkStart w:id="2096" w:name="_Toc437878708"/>
      <w:bookmarkStart w:id="2097" w:name="_Toc437878912"/>
      <w:bookmarkStart w:id="2098" w:name="_Toc439150072"/>
      <w:bookmarkStart w:id="2099" w:name="_Toc439150428"/>
      <w:bookmarkStart w:id="2100" w:name="_Toc439150627"/>
      <w:bookmarkStart w:id="2101" w:name="_Toc485645714"/>
      <w:bookmarkStart w:id="2102" w:name="_Toc485645873"/>
      <w:bookmarkStart w:id="2103" w:name="_Toc437877500"/>
      <w:bookmarkStart w:id="2104" w:name="_Toc437877698"/>
      <w:bookmarkStart w:id="2105" w:name="_Toc437877898"/>
      <w:bookmarkStart w:id="2106" w:name="_Toc437878098"/>
      <w:bookmarkStart w:id="2107" w:name="_Toc437878301"/>
      <w:bookmarkStart w:id="2108" w:name="_Toc437878505"/>
      <w:bookmarkStart w:id="2109" w:name="_Toc437878709"/>
      <w:bookmarkStart w:id="2110" w:name="_Toc437878913"/>
      <w:bookmarkStart w:id="2111" w:name="_Toc439150073"/>
      <w:bookmarkStart w:id="2112" w:name="_Toc439150429"/>
      <w:bookmarkStart w:id="2113" w:name="_Toc439150628"/>
      <w:bookmarkStart w:id="2114" w:name="_Toc485645715"/>
      <w:bookmarkStart w:id="2115" w:name="_Toc485645874"/>
      <w:bookmarkStart w:id="2116" w:name="_Toc437877501"/>
      <w:bookmarkStart w:id="2117" w:name="_Toc437877699"/>
      <w:bookmarkStart w:id="2118" w:name="_Toc437877899"/>
      <w:bookmarkStart w:id="2119" w:name="_Toc437878099"/>
      <w:bookmarkStart w:id="2120" w:name="_Toc437878302"/>
      <w:bookmarkStart w:id="2121" w:name="_Toc437878506"/>
      <w:bookmarkStart w:id="2122" w:name="_Toc437878710"/>
      <w:bookmarkStart w:id="2123" w:name="_Toc437878914"/>
      <w:bookmarkStart w:id="2124" w:name="_Toc439150074"/>
      <w:bookmarkStart w:id="2125" w:name="_Toc439150430"/>
      <w:bookmarkStart w:id="2126" w:name="_Toc439150629"/>
      <w:bookmarkStart w:id="2127" w:name="_Toc485645716"/>
      <w:bookmarkStart w:id="2128" w:name="_Toc485645875"/>
      <w:bookmarkStart w:id="2129" w:name="_Toc437877502"/>
      <w:bookmarkStart w:id="2130" w:name="_Toc437877700"/>
      <w:bookmarkStart w:id="2131" w:name="_Toc437877900"/>
      <w:bookmarkStart w:id="2132" w:name="_Toc437878100"/>
      <w:bookmarkStart w:id="2133" w:name="_Toc437878303"/>
      <w:bookmarkStart w:id="2134" w:name="_Toc437878507"/>
      <w:bookmarkStart w:id="2135" w:name="_Toc437878711"/>
      <w:bookmarkStart w:id="2136" w:name="_Toc437878915"/>
      <w:bookmarkStart w:id="2137" w:name="_Toc439150075"/>
      <w:bookmarkStart w:id="2138" w:name="_Toc439150431"/>
      <w:bookmarkStart w:id="2139" w:name="_Toc439150630"/>
      <w:bookmarkStart w:id="2140" w:name="_Toc485645717"/>
      <w:bookmarkStart w:id="2141" w:name="_Toc485645876"/>
      <w:bookmarkStart w:id="2142" w:name="_Toc437877503"/>
      <w:bookmarkStart w:id="2143" w:name="_Toc437877701"/>
      <w:bookmarkStart w:id="2144" w:name="_Toc437877901"/>
      <w:bookmarkStart w:id="2145" w:name="_Toc437878101"/>
      <w:bookmarkStart w:id="2146" w:name="_Toc437878304"/>
      <w:bookmarkStart w:id="2147" w:name="_Toc437878508"/>
      <w:bookmarkStart w:id="2148" w:name="_Toc437878712"/>
      <w:bookmarkStart w:id="2149" w:name="_Toc437878916"/>
      <w:bookmarkStart w:id="2150" w:name="_Toc439150076"/>
      <w:bookmarkStart w:id="2151" w:name="_Toc439150432"/>
      <w:bookmarkStart w:id="2152" w:name="_Toc439150631"/>
      <w:bookmarkStart w:id="2153" w:name="_Toc485645718"/>
      <w:bookmarkStart w:id="2154" w:name="_Toc485645877"/>
      <w:bookmarkStart w:id="2155" w:name="_Toc485645878"/>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891B13">
        <w:t>Financovanie stratégie CLLD</w:t>
      </w:r>
      <w:bookmarkEnd w:id="2155"/>
    </w:p>
    <w:p w14:paraId="3597CF27" w14:textId="77777777" w:rsidR="00447D6B" w:rsidRDefault="00447D6B" w:rsidP="00E37887">
      <w:pPr>
        <w:spacing w:after="0" w:line="360" w:lineRule="auto"/>
        <w:rPr>
          <w:rFonts w:ascii="Times New Roman" w:hAnsi="Times New Roman" w:cs="Times New Roman"/>
          <w:sz w:val="24"/>
          <w:szCs w:val="24"/>
        </w:rPr>
      </w:pPr>
    </w:p>
    <w:p w14:paraId="1BF2DF04" w14:textId="77777777" w:rsidR="008530FD" w:rsidRPr="00891B13" w:rsidRDefault="008530FD" w:rsidP="008530FD">
      <w:pPr>
        <w:pStyle w:val="Odsekzoznamu"/>
        <w:spacing w:after="0"/>
        <w:ind w:left="0"/>
        <w:rPr>
          <w:rFonts w:ascii="Times New Roman" w:hAnsi="Times New Roman" w:cs="Times New Roman"/>
          <w:b/>
        </w:rPr>
      </w:pPr>
      <w:r>
        <w:rPr>
          <w:rFonts w:ascii="Times New Roman" w:hAnsi="Times New Roman" w:cs="Times New Roman"/>
          <w:b/>
        </w:rPr>
        <w:t>Tabuľka 6.1.1</w:t>
      </w:r>
      <w:r w:rsidRPr="00891B13">
        <w:rPr>
          <w:rFonts w:ascii="Times New Roman" w:hAnsi="Times New Roman" w:cs="Times New Roman"/>
          <w:b/>
        </w:rPr>
        <w:t xml:space="preserve"> Celkové zdroje pre MAS z PRV a IROP</w:t>
      </w:r>
    </w:p>
    <w:tbl>
      <w:tblPr>
        <w:tblStyle w:val="Mriekatabuky"/>
        <w:tblW w:w="0" w:type="auto"/>
        <w:tblInd w:w="720" w:type="dxa"/>
        <w:tblLook w:val="04A0" w:firstRow="1" w:lastRow="0" w:firstColumn="1" w:lastColumn="0" w:noHBand="0" w:noVBand="1"/>
      </w:tblPr>
      <w:tblGrid>
        <w:gridCol w:w="5625"/>
        <w:gridCol w:w="2127"/>
      </w:tblGrid>
      <w:tr w:rsidR="008530FD" w:rsidRPr="00891B13" w14:paraId="75A2346A" w14:textId="77777777" w:rsidTr="008530FD">
        <w:tc>
          <w:tcPr>
            <w:tcW w:w="5625" w:type="dxa"/>
          </w:tcPr>
          <w:p w14:paraId="4F6259BE" w14:textId="77777777" w:rsidR="008530FD" w:rsidRPr="00891B13" w:rsidRDefault="008530FD" w:rsidP="008530FD">
            <w:pPr>
              <w:pStyle w:val="Odsekzoznamu"/>
              <w:spacing w:line="276" w:lineRule="auto"/>
              <w:ind w:left="0"/>
              <w:rPr>
                <w:rFonts w:ascii="Times New Roman" w:hAnsi="Times New Roman" w:cs="Times New Roman"/>
                <w:b/>
              </w:rPr>
            </w:pPr>
          </w:p>
        </w:tc>
        <w:tc>
          <w:tcPr>
            <w:tcW w:w="2127" w:type="dxa"/>
          </w:tcPr>
          <w:p w14:paraId="0B19BE32" w14:textId="77777777" w:rsidR="008530FD" w:rsidRPr="00891B13" w:rsidRDefault="008530FD" w:rsidP="008530FD">
            <w:pPr>
              <w:pStyle w:val="Odsekzoznamu"/>
              <w:spacing w:line="276" w:lineRule="auto"/>
              <w:ind w:left="0"/>
              <w:rPr>
                <w:rFonts w:ascii="Times New Roman" w:hAnsi="Times New Roman" w:cs="Times New Roman"/>
                <w:b/>
              </w:rPr>
            </w:pPr>
            <w:r w:rsidRPr="00891B13">
              <w:rPr>
                <w:rFonts w:ascii="Times New Roman" w:hAnsi="Times New Roman" w:cs="Times New Roman"/>
                <w:b/>
              </w:rPr>
              <w:t>SPOLU EUR</w:t>
            </w:r>
          </w:p>
        </w:tc>
      </w:tr>
      <w:tr w:rsidR="008530FD" w:rsidRPr="00891B13" w14:paraId="65E8F49C" w14:textId="77777777" w:rsidTr="008530FD">
        <w:tc>
          <w:tcPr>
            <w:tcW w:w="5625" w:type="dxa"/>
          </w:tcPr>
          <w:p w14:paraId="6AC1C5CF" w14:textId="77777777" w:rsidR="008530FD" w:rsidRPr="00891B13" w:rsidRDefault="008530FD" w:rsidP="007E73EB">
            <w:pPr>
              <w:pStyle w:val="Odsekzoznamu"/>
              <w:spacing w:line="276" w:lineRule="auto"/>
              <w:ind w:left="0"/>
              <w:rPr>
                <w:rFonts w:ascii="Times New Roman" w:hAnsi="Times New Roman" w:cs="Times New Roman"/>
                <w:b/>
              </w:rPr>
            </w:pPr>
            <w:r w:rsidRPr="00891B13">
              <w:rPr>
                <w:rFonts w:ascii="Times New Roman" w:hAnsi="Times New Roman" w:cs="Times New Roman"/>
                <w:b/>
              </w:rPr>
              <w:t>Celkové zdroje z PRV (EPFRV) a IROP (EFRR) (</w:t>
            </w:r>
            <w:r w:rsidR="007E73EB">
              <w:rPr>
                <w:rFonts w:ascii="Times New Roman" w:hAnsi="Times New Roman" w:cs="Times New Roman"/>
                <w:b/>
              </w:rPr>
              <w:t>základná alokácia</w:t>
            </w:r>
            <w:r w:rsidRPr="00891B13">
              <w:rPr>
                <w:rFonts w:ascii="Times New Roman" w:hAnsi="Times New Roman" w:cs="Times New Roman"/>
                <w:b/>
              </w:rPr>
              <w:t xml:space="preserve"> podľa vzorca pre MAS v súlade s kapitolou 6.4 Systému riadenia CLLD), z toho:</w:t>
            </w:r>
          </w:p>
        </w:tc>
        <w:tc>
          <w:tcPr>
            <w:tcW w:w="2127" w:type="dxa"/>
          </w:tcPr>
          <w:p w14:paraId="26CE876B" w14:textId="77777777" w:rsidR="00322E05" w:rsidRDefault="00322E05" w:rsidP="008530FD">
            <w:pPr>
              <w:pStyle w:val="Odsekzoznamu"/>
              <w:spacing w:line="276" w:lineRule="auto"/>
              <w:ind w:left="0"/>
              <w:rPr>
                <w:rFonts w:ascii="Times New Roman" w:hAnsi="Times New Roman" w:cs="Times New Roman"/>
              </w:rPr>
            </w:pPr>
          </w:p>
          <w:p w14:paraId="5C2DD8F4"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1 723 242,34</w:t>
            </w:r>
          </w:p>
        </w:tc>
      </w:tr>
      <w:tr w:rsidR="008530FD" w:rsidRPr="00891B13" w14:paraId="578D343C" w14:textId="77777777" w:rsidTr="008530FD">
        <w:tc>
          <w:tcPr>
            <w:tcW w:w="5625" w:type="dxa"/>
          </w:tcPr>
          <w:p w14:paraId="34FCFB0F" w14:textId="77777777" w:rsidR="008530FD" w:rsidRPr="00891B13" w:rsidRDefault="008530FD" w:rsidP="008530FD">
            <w:pPr>
              <w:pStyle w:val="Odsekzoznamu"/>
              <w:spacing w:line="276" w:lineRule="auto"/>
              <w:ind w:left="0"/>
              <w:rPr>
                <w:rFonts w:ascii="Times New Roman" w:hAnsi="Times New Roman" w:cs="Times New Roman"/>
                <w:b/>
              </w:rPr>
            </w:pPr>
            <w:r w:rsidRPr="00891B13">
              <w:rPr>
                <w:rFonts w:ascii="Times New Roman" w:hAnsi="Times New Roman" w:cs="Times New Roman"/>
                <w:b/>
              </w:rPr>
              <w:t>Operácie v rámci implementácie stratégie CLLD</w:t>
            </w:r>
          </w:p>
        </w:tc>
        <w:tc>
          <w:tcPr>
            <w:tcW w:w="2127" w:type="dxa"/>
          </w:tcPr>
          <w:p w14:paraId="683847FD" w14:textId="77777777" w:rsidR="008530FD" w:rsidRDefault="008530FD" w:rsidP="008530FD">
            <w:pPr>
              <w:pStyle w:val="Odsekzoznamu"/>
              <w:spacing w:line="276" w:lineRule="auto"/>
              <w:ind w:left="0"/>
              <w:rPr>
                <w:rFonts w:ascii="Times New Roman" w:hAnsi="Times New Roman" w:cs="Times New Roman"/>
              </w:rPr>
            </w:pPr>
          </w:p>
          <w:p w14:paraId="522E9112" w14:textId="77777777" w:rsidR="00322E05" w:rsidRDefault="00322E05" w:rsidP="008530FD">
            <w:pPr>
              <w:pStyle w:val="Odsekzoznamu"/>
              <w:spacing w:line="276" w:lineRule="auto"/>
              <w:ind w:left="0"/>
              <w:rPr>
                <w:rFonts w:ascii="Times New Roman" w:hAnsi="Times New Roman" w:cs="Times New Roman"/>
              </w:rPr>
            </w:pPr>
          </w:p>
          <w:p w14:paraId="5F804969"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1 436 036,00</w:t>
            </w:r>
          </w:p>
        </w:tc>
      </w:tr>
      <w:tr w:rsidR="008530FD" w:rsidRPr="00891B13" w14:paraId="2CB7F3A5" w14:textId="77777777" w:rsidTr="008530FD">
        <w:tc>
          <w:tcPr>
            <w:tcW w:w="5625" w:type="dxa"/>
          </w:tcPr>
          <w:p w14:paraId="5F19BBA2" w14:textId="77777777" w:rsidR="008530FD" w:rsidRPr="00891B13" w:rsidRDefault="008530FD" w:rsidP="008530FD">
            <w:pPr>
              <w:pStyle w:val="Odsekzoznamu"/>
              <w:spacing w:line="276" w:lineRule="auto"/>
              <w:ind w:left="0"/>
              <w:rPr>
                <w:rFonts w:ascii="Times New Roman" w:hAnsi="Times New Roman" w:cs="Times New Roman"/>
                <w:b/>
              </w:rPr>
            </w:pPr>
            <w:r w:rsidRPr="00891B13">
              <w:rPr>
                <w:rFonts w:ascii="Times New Roman" w:hAnsi="Times New Roman" w:cs="Times New Roman"/>
                <w:b/>
              </w:rPr>
              <w:t>Chod MAS a animácie</w:t>
            </w:r>
          </w:p>
        </w:tc>
        <w:tc>
          <w:tcPr>
            <w:tcW w:w="2127" w:type="dxa"/>
          </w:tcPr>
          <w:p w14:paraId="79402DE2" w14:textId="77777777" w:rsidR="008530FD" w:rsidRDefault="008530FD" w:rsidP="008530FD">
            <w:pPr>
              <w:pStyle w:val="Odsekzoznamu"/>
              <w:spacing w:line="276" w:lineRule="auto"/>
              <w:ind w:left="0"/>
              <w:rPr>
                <w:rFonts w:ascii="Times New Roman" w:hAnsi="Times New Roman" w:cs="Times New Roman"/>
              </w:rPr>
            </w:pPr>
          </w:p>
          <w:p w14:paraId="2E2D36DB" w14:textId="77777777" w:rsidR="00322E05" w:rsidRDefault="00322E05" w:rsidP="008530FD">
            <w:pPr>
              <w:pStyle w:val="Odsekzoznamu"/>
              <w:spacing w:line="276" w:lineRule="auto"/>
              <w:ind w:left="0"/>
              <w:rPr>
                <w:rFonts w:ascii="Times New Roman" w:hAnsi="Times New Roman" w:cs="Times New Roman"/>
              </w:rPr>
            </w:pPr>
          </w:p>
          <w:p w14:paraId="179E3DDD"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287 206,34</w:t>
            </w:r>
          </w:p>
        </w:tc>
      </w:tr>
    </w:tbl>
    <w:p w14:paraId="280AC8CD" w14:textId="77777777" w:rsidR="008530FD" w:rsidRDefault="008530FD" w:rsidP="008530FD">
      <w:pPr>
        <w:pStyle w:val="Odsekzoznamu"/>
        <w:spacing w:after="0"/>
        <w:ind w:left="0"/>
        <w:rPr>
          <w:rFonts w:ascii="Times New Roman" w:hAnsi="Times New Roman" w:cs="Times New Roman"/>
          <w:b/>
        </w:rPr>
      </w:pPr>
    </w:p>
    <w:p w14:paraId="40C61B5E" w14:textId="77777777" w:rsidR="008530FD" w:rsidRPr="00891B13" w:rsidRDefault="008530FD" w:rsidP="008530FD">
      <w:pPr>
        <w:pStyle w:val="Odsekzoznamu"/>
        <w:spacing w:after="0"/>
        <w:ind w:left="0"/>
        <w:rPr>
          <w:rFonts w:ascii="Times New Roman" w:hAnsi="Times New Roman" w:cs="Times New Roman"/>
          <w:b/>
        </w:rPr>
      </w:pPr>
    </w:p>
    <w:p w14:paraId="0B14B626" w14:textId="77777777" w:rsidR="008530FD" w:rsidRPr="00891B13" w:rsidRDefault="008530FD" w:rsidP="008530FD">
      <w:pPr>
        <w:pStyle w:val="Odsekzoznamu"/>
        <w:spacing w:after="0"/>
        <w:ind w:left="0"/>
        <w:rPr>
          <w:rFonts w:ascii="Times New Roman" w:hAnsi="Times New Roman" w:cs="Times New Roman"/>
          <w:b/>
        </w:rPr>
      </w:pPr>
      <w:r>
        <w:rPr>
          <w:rFonts w:ascii="Times New Roman" w:hAnsi="Times New Roman" w:cs="Times New Roman"/>
          <w:b/>
        </w:rPr>
        <w:t>Tabuľka 6.1.2</w:t>
      </w:r>
      <w:r w:rsidRPr="00891B13">
        <w:rPr>
          <w:rFonts w:ascii="Times New Roman" w:hAnsi="Times New Roman" w:cs="Times New Roman"/>
          <w:b/>
        </w:rPr>
        <w:t xml:space="preserve"> Celkové zdroje pre MAS z PRV a IROP rozdelené podľa fondov </w:t>
      </w:r>
    </w:p>
    <w:tbl>
      <w:tblPr>
        <w:tblStyle w:val="Mriekatabuky"/>
        <w:tblW w:w="0" w:type="auto"/>
        <w:tblInd w:w="108" w:type="dxa"/>
        <w:tblLook w:val="04A0" w:firstRow="1" w:lastRow="0" w:firstColumn="1" w:lastColumn="0" w:noHBand="0" w:noVBand="1"/>
      </w:tblPr>
      <w:tblGrid>
        <w:gridCol w:w="4678"/>
        <w:gridCol w:w="773"/>
        <w:gridCol w:w="1375"/>
        <w:gridCol w:w="2153"/>
      </w:tblGrid>
      <w:tr w:rsidR="008530FD" w:rsidRPr="00891B13" w14:paraId="09AB7A03" w14:textId="77777777" w:rsidTr="008530FD">
        <w:tc>
          <w:tcPr>
            <w:tcW w:w="4678" w:type="dxa"/>
          </w:tcPr>
          <w:p w14:paraId="349C90D8"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756D7B6B"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Fond</w:t>
            </w:r>
          </w:p>
        </w:tc>
        <w:tc>
          <w:tcPr>
            <w:tcW w:w="1375" w:type="dxa"/>
          </w:tcPr>
          <w:p w14:paraId="0424A69E"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Typ regiónu</w:t>
            </w:r>
          </w:p>
        </w:tc>
        <w:tc>
          <w:tcPr>
            <w:tcW w:w="2153" w:type="dxa"/>
          </w:tcPr>
          <w:p w14:paraId="0D18C0DC"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Spolu v EUR</w:t>
            </w:r>
          </w:p>
        </w:tc>
      </w:tr>
      <w:tr w:rsidR="008530FD" w:rsidRPr="00891B13" w14:paraId="5EE5162F" w14:textId="77777777" w:rsidTr="008530FD">
        <w:tc>
          <w:tcPr>
            <w:tcW w:w="4678" w:type="dxa"/>
            <w:vMerge w:val="restart"/>
          </w:tcPr>
          <w:p w14:paraId="12748083" w14:textId="77777777" w:rsidR="008530FD" w:rsidRPr="00891B13" w:rsidRDefault="008530FD" w:rsidP="008530FD">
            <w:pPr>
              <w:pStyle w:val="Odsekzoznamu"/>
              <w:spacing w:line="276" w:lineRule="auto"/>
              <w:ind w:left="0"/>
              <w:rPr>
                <w:rFonts w:ascii="Times New Roman" w:hAnsi="Times New Roman" w:cs="Times New Roman"/>
                <w:b/>
              </w:rPr>
            </w:pPr>
            <w:r w:rsidRPr="00891B13">
              <w:rPr>
                <w:rFonts w:ascii="Times New Roman" w:hAnsi="Times New Roman" w:cs="Times New Roman"/>
                <w:b/>
              </w:rPr>
              <w:t>Celkové zdroje z PRV (EPFRV) a IROP (EFRR) (</w:t>
            </w:r>
            <w:r w:rsidR="007E73EB">
              <w:rPr>
                <w:rFonts w:ascii="Times New Roman" w:hAnsi="Times New Roman" w:cs="Times New Roman"/>
                <w:b/>
              </w:rPr>
              <w:t>základná alokácia</w:t>
            </w:r>
            <w:r w:rsidRPr="00891B13">
              <w:rPr>
                <w:rFonts w:ascii="Times New Roman" w:hAnsi="Times New Roman" w:cs="Times New Roman"/>
                <w:b/>
              </w:rPr>
              <w:t xml:space="preserve"> podľa vzorca pre MAS v súlade s kapitolou 6.4 Systému riadenia CLLD), z toho:</w:t>
            </w:r>
          </w:p>
          <w:p w14:paraId="1A72D6A4"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42A11C22" w14:textId="77777777" w:rsidR="008530FD" w:rsidRPr="00891B13" w:rsidRDefault="008530FD" w:rsidP="008530FD">
            <w:pPr>
              <w:pStyle w:val="Odsekzoznamu"/>
              <w:spacing w:line="276" w:lineRule="auto"/>
              <w:ind w:left="0"/>
              <w:rPr>
                <w:rFonts w:ascii="Times New Roman" w:hAnsi="Times New Roman" w:cs="Times New Roman"/>
              </w:rPr>
            </w:pPr>
            <w:r>
              <w:rPr>
                <w:rFonts w:ascii="Times New Roman" w:hAnsi="Times New Roman" w:cs="Times New Roman"/>
              </w:rPr>
              <w:t>IROP, PRV</w:t>
            </w:r>
          </w:p>
        </w:tc>
        <w:tc>
          <w:tcPr>
            <w:tcW w:w="1375" w:type="dxa"/>
          </w:tcPr>
          <w:p w14:paraId="39C113ED" w14:textId="77777777" w:rsidR="008530FD"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menej rozvinutý</w:t>
            </w:r>
          </w:p>
          <w:p w14:paraId="3F264131" w14:textId="77777777" w:rsidR="008530FD" w:rsidRPr="00891B13" w:rsidRDefault="008530FD" w:rsidP="008530FD">
            <w:pPr>
              <w:pStyle w:val="Odsekzoznamu"/>
              <w:spacing w:line="276" w:lineRule="auto"/>
              <w:ind w:left="0"/>
              <w:rPr>
                <w:rFonts w:ascii="Times New Roman" w:hAnsi="Times New Roman" w:cs="Times New Roman"/>
              </w:rPr>
            </w:pPr>
          </w:p>
        </w:tc>
        <w:tc>
          <w:tcPr>
            <w:tcW w:w="2153" w:type="dxa"/>
          </w:tcPr>
          <w:p w14:paraId="399FC354" w14:textId="77777777" w:rsidR="008530FD" w:rsidRDefault="008530FD" w:rsidP="008530FD">
            <w:pPr>
              <w:pStyle w:val="Odsekzoznamu"/>
              <w:spacing w:line="276" w:lineRule="auto"/>
              <w:ind w:left="0"/>
              <w:rPr>
                <w:rFonts w:ascii="Times New Roman" w:hAnsi="Times New Roman" w:cs="Times New Roman"/>
              </w:rPr>
            </w:pPr>
          </w:p>
          <w:p w14:paraId="41152EC7" w14:textId="77777777" w:rsidR="00322E05" w:rsidRDefault="00322E05" w:rsidP="008530FD">
            <w:pPr>
              <w:pStyle w:val="Odsekzoznamu"/>
              <w:spacing w:line="276" w:lineRule="auto"/>
              <w:ind w:left="0"/>
              <w:rPr>
                <w:rFonts w:ascii="Times New Roman" w:hAnsi="Times New Roman" w:cs="Times New Roman"/>
              </w:rPr>
            </w:pPr>
          </w:p>
          <w:p w14:paraId="64B06A26"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1 723 242,34</w:t>
            </w:r>
          </w:p>
        </w:tc>
      </w:tr>
      <w:tr w:rsidR="008530FD" w:rsidRPr="00891B13" w14:paraId="49CAD2BF" w14:textId="77777777" w:rsidTr="008530FD">
        <w:tc>
          <w:tcPr>
            <w:tcW w:w="4678" w:type="dxa"/>
            <w:vMerge/>
          </w:tcPr>
          <w:p w14:paraId="1590F5DF"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75353BF5" w14:textId="77777777" w:rsidR="008530FD" w:rsidRPr="00891B13" w:rsidRDefault="008530FD" w:rsidP="008530FD">
            <w:pPr>
              <w:pStyle w:val="Odsekzoznamu"/>
              <w:spacing w:line="276" w:lineRule="auto"/>
              <w:ind w:left="0"/>
              <w:rPr>
                <w:rFonts w:ascii="Times New Roman" w:hAnsi="Times New Roman" w:cs="Times New Roman"/>
              </w:rPr>
            </w:pPr>
          </w:p>
        </w:tc>
        <w:tc>
          <w:tcPr>
            <w:tcW w:w="1375" w:type="dxa"/>
          </w:tcPr>
          <w:p w14:paraId="164A1EF1" w14:textId="77777777" w:rsidR="008530FD"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viac rozvinutý</w:t>
            </w:r>
          </w:p>
          <w:p w14:paraId="3491BD9F" w14:textId="77777777" w:rsidR="008530FD" w:rsidRPr="00891B13" w:rsidRDefault="008530FD" w:rsidP="008530FD">
            <w:pPr>
              <w:pStyle w:val="Odsekzoznamu"/>
              <w:spacing w:line="276" w:lineRule="auto"/>
              <w:ind w:left="0"/>
              <w:rPr>
                <w:rFonts w:ascii="Times New Roman" w:hAnsi="Times New Roman" w:cs="Times New Roman"/>
              </w:rPr>
            </w:pPr>
          </w:p>
        </w:tc>
        <w:tc>
          <w:tcPr>
            <w:tcW w:w="2153" w:type="dxa"/>
          </w:tcPr>
          <w:p w14:paraId="56244DD5" w14:textId="77777777" w:rsidR="008530FD" w:rsidRPr="00891B13" w:rsidRDefault="008530FD" w:rsidP="008530FD">
            <w:pPr>
              <w:pStyle w:val="Odsekzoznamu"/>
              <w:spacing w:line="276" w:lineRule="auto"/>
              <w:ind w:left="0"/>
              <w:rPr>
                <w:rFonts w:ascii="Times New Roman" w:hAnsi="Times New Roman" w:cs="Times New Roman"/>
              </w:rPr>
            </w:pPr>
          </w:p>
        </w:tc>
      </w:tr>
      <w:tr w:rsidR="008530FD" w:rsidRPr="00891B13" w14:paraId="69A4C555" w14:textId="77777777" w:rsidTr="008530FD">
        <w:tc>
          <w:tcPr>
            <w:tcW w:w="4678" w:type="dxa"/>
            <w:vMerge w:val="restart"/>
          </w:tcPr>
          <w:p w14:paraId="0503D896"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b/>
              </w:rPr>
              <w:t>Operácie v rámci implementácie stratégie CLLD</w:t>
            </w:r>
          </w:p>
        </w:tc>
        <w:tc>
          <w:tcPr>
            <w:tcW w:w="725" w:type="dxa"/>
          </w:tcPr>
          <w:p w14:paraId="7F9894E1" w14:textId="77777777" w:rsidR="008530FD" w:rsidRPr="00891B13" w:rsidRDefault="008530FD" w:rsidP="008530FD">
            <w:pPr>
              <w:pStyle w:val="Odsekzoznamu"/>
              <w:spacing w:line="276" w:lineRule="auto"/>
              <w:ind w:left="0"/>
              <w:rPr>
                <w:rFonts w:ascii="Times New Roman" w:hAnsi="Times New Roman" w:cs="Times New Roman"/>
              </w:rPr>
            </w:pPr>
            <w:r>
              <w:rPr>
                <w:rFonts w:ascii="Times New Roman" w:hAnsi="Times New Roman" w:cs="Times New Roman"/>
              </w:rPr>
              <w:t>PRV</w:t>
            </w:r>
          </w:p>
        </w:tc>
        <w:tc>
          <w:tcPr>
            <w:tcW w:w="1375" w:type="dxa"/>
          </w:tcPr>
          <w:p w14:paraId="1B948A41"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 xml:space="preserve">menej rozvinutý </w:t>
            </w:r>
          </w:p>
        </w:tc>
        <w:tc>
          <w:tcPr>
            <w:tcW w:w="2153" w:type="dxa"/>
          </w:tcPr>
          <w:p w14:paraId="2C88A5AC" w14:textId="77777777" w:rsidR="008530FD" w:rsidRDefault="008530FD" w:rsidP="008530FD">
            <w:pPr>
              <w:pStyle w:val="Odsekzoznamu"/>
              <w:spacing w:line="276" w:lineRule="auto"/>
              <w:ind w:left="0"/>
              <w:rPr>
                <w:rFonts w:ascii="Times New Roman" w:hAnsi="Times New Roman" w:cs="Times New Roman"/>
              </w:rPr>
            </w:pPr>
          </w:p>
          <w:p w14:paraId="11488AF5" w14:textId="77777777" w:rsidR="00322E05" w:rsidRDefault="00322E05" w:rsidP="008530FD">
            <w:pPr>
              <w:pStyle w:val="Odsekzoznamu"/>
              <w:spacing w:line="276" w:lineRule="auto"/>
              <w:ind w:left="0"/>
              <w:rPr>
                <w:rFonts w:ascii="Times New Roman" w:hAnsi="Times New Roman" w:cs="Times New Roman"/>
              </w:rPr>
            </w:pPr>
          </w:p>
          <w:p w14:paraId="270799D2"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761 096,00</w:t>
            </w:r>
          </w:p>
        </w:tc>
      </w:tr>
      <w:tr w:rsidR="008530FD" w:rsidRPr="00891B13" w14:paraId="0E951FAF" w14:textId="77777777" w:rsidTr="008530FD">
        <w:tc>
          <w:tcPr>
            <w:tcW w:w="4678" w:type="dxa"/>
            <w:vMerge/>
          </w:tcPr>
          <w:p w14:paraId="713348FC"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5783D618" w14:textId="77777777" w:rsidR="008530FD" w:rsidRPr="00891B13" w:rsidRDefault="008530FD" w:rsidP="008530FD">
            <w:pPr>
              <w:pStyle w:val="Odsekzoznamu"/>
              <w:spacing w:line="276" w:lineRule="auto"/>
              <w:ind w:left="0"/>
              <w:rPr>
                <w:rFonts w:ascii="Times New Roman" w:hAnsi="Times New Roman" w:cs="Times New Roman"/>
              </w:rPr>
            </w:pPr>
          </w:p>
        </w:tc>
        <w:tc>
          <w:tcPr>
            <w:tcW w:w="1375" w:type="dxa"/>
          </w:tcPr>
          <w:p w14:paraId="77B93BF2"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viac rozvinutý</w:t>
            </w:r>
          </w:p>
        </w:tc>
        <w:tc>
          <w:tcPr>
            <w:tcW w:w="2153" w:type="dxa"/>
          </w:tcPr>
          <w:p w14:paraId="183D9BF7" w14:textId="77777777" w:rsidR="008530FD" w:rsidRPr="00891B13" w:rsidRDefault="008530FD" w:rsidP="008530FD">
            <w:pPr>
              <w:pStyle w:val="Odsekzoznamu"/>
              <w:spacing w:line="276" w:lineRule="auto"/>
              <w:ind w:left="0"/>
              <w:rPr>
                <w:rFonts w:ascii="Times New Roman" w:hAnsi="Times New Roman" w:cs="Times New Roman"/>
              </w:rPr>
            </w:pPr>
          </w:p>
        </w:tc>
      </w:tr>
      <w:tr w:rsidR="008530FD" w:rsidRPr="00891B13" w14:paraId="1A83E7F0" w14:textId="77777777" w:rsidTr="008530FD">
        <w:tc>
          <w:tcPr>
            <w:tcW w:w="4678" w:type="dxa"/>
            <w:vMerge w:val="restart"/>
          </w:tcPr>
          <w:p w14:paraId="09ED44F5"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b/>
              </w:rPr>
              <w:t>Operácie v rámci implementácie stratégie CLLD</w:t>
            </w:r>
          </w:p>
        </w:tc>
        <w:tc>
          <w:tcPr>
            <w:tcW w:w="725" w:type="dxa"/>
          </w:tcPr>
          <w:p w14:paraId="6E7B304F" w14:textId="77777777" w:rsidR="008530FD" w:rsidRPr="00891B13" w:rsidRDefault="008530FD" w:rsidP="008530FD">
            <w:pPr>
              <w:pStyle w:val="Odsekzoznamu"/>
              <w:spacing w:line="276" w:lineRule="auto"/>
              <w:ind w:left="0"/>
              <w:rPr>
                <w:rFonts w:ascii="Times New Roman" w:hAnsi="Times New Roman" w:cs="Times New Roman"/>
              </w:rPr>
            </w:pPr>
            <w:r>
              <w:rPr>
                <w:rFonts w:ascii="Times New Roman" w:hAnsi="Times New Roman" w:cs="Times New Roman"/>
              </w:rPr>
              <w:t>IROP</w:t>
            </w:r>
          </w:p>
        </w:tc>
        <w:tc>
          <w:tcPr>
            <w:tcW w:w="1375" w:type="dxa"/>
          </w:tcPr>
          <w:p w14:paraId="06F94794"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 xml:space="preserve">menej rozvinutý </w:t>
            </w:r>
          </w:p>
        </w:tc>
        <w:tc>
          <w:tcPr>
            <w:tcW w:w="2153" w:type="dxa"/>
          </w:tcPr>
          <w:p w14:paraId="243BBC6E" w14:textId="77777777" w:rsidR="00322E05" w:rsidRDefault="00322E05" w:rsidP="008530FD">
            <w:pPr>
              <w:pStyle w:val="Odsekzoznamu"/>
              <w:spacing w:line="276" w:lineRule="auto"/>
              <w:ind w:left="0"/>
              <w:rPr>
                <w:rFonts w:ascii="Times New Roman" w:hAnsi="Times New Roman" w:cs="Times New Roman"/>
              </w:rPr>
            </w:pPr>
          </w:p>
          <w:p w14:paraId="22B87C43"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674 940,00</w:t>
            </w:r>
          </w:p>
        </w:tc>
      </w:tr>
      <w:tr w:rsidR="008530FD" w:rsidRPr="00891B13" w14:paraId="1F3657E2" w14:textId="77777777" w:rsidTr="008530FD">
        <w:tc>
          <w:tcPr>
            <w:tcW w:w="4678" w:type="dxa"/>
            <w:vMerge/>
          </w:tcPr>
          <w:p w14:paraId="5165B49C"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45CE9705" w14:textId="77777777" w:rsidR="008530FD" w:rsidRPr="00891B13" w:rsidRDefault="008530FD" w:rsidP="008530FD">
            <w:pPr>
              <w:pStyle w:val="Odsekzoznamu"/>
              <w:spacing w:line="276" w:lineRule="auto"/>
              <w:ind w:left="0"/>
              <w:rPr>
                <w:rFonts w:ascii="Times New Roman" w:hAnsi="Times New Roman" w:cs="Times New Roman"/>
              </w:rPr>
            </w:pPr>
          </w:p>
        </w:tc>
        <w:tc>
          <w:tcPr>
            <w:tcW w:w="1375" w:type="dxa"/>
          </w:tcPr>
          <w:p w14:paraId="21846632"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viac rozvinutý</w:t>
            </w:r>
          </w:p>
        </w:tc>
        <w:tc>
          <w:tcPr>
            <w:tcW w:w="2153" w:type="dxa"/>
          </w:tcPr>
          <w:p w14:paraId="6F515BA9" w14:textId="77777777" w:rsidR="008530FD" w:rsidRPr="00891B13" w:rsidRDefault="008530FD" w:rsidP="008530FD">
            <w:pPr>
              <w:pStyle w:val="Odsekzoznamu"/>
              <w:spacing w:line="276" w:lineRule="auto"/>
              <w:ind w:left="0"/>
              <w:rPr>
                <w:rFonts w:ascii="Times New Roman" w:hAnsi="Times New Roman" w:cs="Times New Roman"/>
              </w:rPr>
            </w:pPr>
          </w:p>
        </w:tc>
      </w:tr>
      <w:tr w:rsidR="008530FD" w:rsidRPr="00891B13" w14:paraId="06161135" w14:textId="77777777" w:rsidTr="008530FD">
        <w:tc>
          <w:tcPr>
            <w:tcW w:w="4678" w:type="dxa"/>
            <w:vMerge w:val="restart"/>
          </w:tcPr>
          <w:p w14:paraId="02D64BC0"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b/>
              </w:rPr>
              <w:t xml:space="preserve">Chod MAS </w:t>
            </w:r>
          </w:p>
        </w:tc>
        <w:tc>
          <w:tcPr>
            <w:tcW w:w="725" w:type="dxa"/>
          </w:tcPr>
          <w:p w14:paraId="7224C5A3" w14:textId="77777777" w:rsidR="008530FD" w:rsidRPr="00891B13" w:rsidRDefault="008530FD" w:rsidP="008530FD">
            <w:pPr>
              <w:pStyle w:val="Odsekzoznamu"/>
              <w:spacing w:line="276" w:lineRule="auto"/>
              <w:ind w:left="0"/>
              <w:rPr>
                <w:rFonts w:ascii="Times New Roman" w:hAnsi="Times New Roman" w:cs="Times New Roman"/>
              </w:rPr>
            </w:pPr>
            <w:r>
              <w:rPr>
                <w:rFonts w:ascii="Times New Roman" w:hAnsi="Times New Roman" w:cs="Times New Roman"/>
              </w:rPr>
              <w:t>IROP</w:t>
            </w:r>
          </w:p>
        </w:tc>
        <w:tc>
          <w:tcPr>
            <w:tcW w:w="1375" w:type="dxa"/>
          </w:tcPr>
          <w:p w14:paraId="07BEE399"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menej rozvinutý</w:t>
            </w:r>
          </w:p>
        </w:tc>
        <w:tc>
          <w:tcPr>
            <w:tcW w:w="2153" w:type="dxa"/>
          </w:tcPr>
          <w:p w14:paraId="412E25D8" w14:textId="77777777" w:rsidR="008530FD" w:rsidRDefault="008530FD" w:rsidP="008530FD">
            <w:pPr>
              <w:pStyle w:val="Odsekzoznamu"/>
              <w:spacing w:line="276" w:lineRule="auto"/>
              <w:ind w:left="0"/>
              <w:rPr>
                <w:rFonts w:ascii="Times New Roman" w:hAnsi="Times New Roman" w:cs="Times New Roman"/>
              </w:rPr>
            </w:pPr>
          </w:p>
          <w:p w14:paraId="226EB154" w14:textId="77777777" w:rsidR="00BA3251" w:rsidRDefault="00BA3251" w:rsidP="008530FD">
            <w:pPr>
              <w:pStyle w:val="Odsekzoznamu"/>
              <w:spacing w:line="276" w:lineRule="auto"/>
              <w:ind w:left="0"/>
              <w:rPr>
                <w:rFonts w:ascii="Times New Roman" w:hAnsi="Times New Roman" w:cs="Times New Roman"/>
              </w:rPr>
            </w:pPr>
          </w:p>
          <w:p w14:paraId="0B959F89" w14:textId="77777777" w:rsidR="00322E05"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244 106,34</w:t>
            </w:r>
          </w:p>
        </w:tc>
      </w:tr>
      <w:tr w:rsidR="008530FD" w:rsidRPr="00891B13" w14:paraId="0150B8AA" w14:textId="77777777" w:rsidTr="008530FD">
        <w:tc>
          <w:tcPr>
            <w:tcW w:w="4678" w:type="dxa"/>
            <w:vMerge/>
          </w:tcPr>
          <w:p w14:paraId="179EC7D8"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416555AD" w14:textId="77777777" w:rsidR="008530FD" w:rsidRPr="00891B13" w:rsidRDefault="008530FD" w:rsidP="008530FD">
            <w:pPr>
              <w:pStyle w:val="Odsekzoznamu"/>
              <w:spacing w:line="276" w:lineRule="auto"/>
              <w:ind w:left="0"/>
              <w:rPr>
                <w:rFonts w:ascii="Times New Roman" w:hAnsi="Times New Roman" w:cs="Times New Roman"/>
              </w:rPr>
            </w:pPr>
          </w:p>
        </w:tc>
        <w:tc>
          <w:tcPr>
            <w:tcW w:w="1375" w:type="dxa"/>
          </w:tcPr>
          <w:p w14:paraId="6794AE21"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viac rozvinutý</w:t>
            </w:r>
          </w:p>
        </w:tc>
        <w:tc>
          <w:tcPr>
            <w:tcW w:w="2153" w:type="dxa"/>
          </w:tcPr>
          <w:p w14:paraId="4DE9117D" w14:textId="77777777" w:rsidR="008530FD" w:rsidRPr="00891B13" w:rsidRDefault="008530FD" w:rsidP="008530FD">
            <w:pPr>
              <w:pStyle w:val="Odsekzoznamu"/>
              <w:spacing w:line="276" w:lineRule="auto"/>
              <w:ind w:left="0"/>
              <w:rPr>
                <w:rFonts w:ascii="Times New Roman" w:hAnsi="Times New Roman" w:cs="Times New Roman"/>
              </w:rPr>
            </w:pPr>
          </w:p>
        </w:tc>
      </w:tr>
      <w:tr w:rsidR="008530FD" w:rsidRPr="00891B13" w14:paraId="2A7F4ECB" w14:textId="77777777" w:rsidTr="008530FD">
        <w:tc>
          <w:tcPr>
            <w:tcW w:w="4678" w:type="dxa"/>
            <w:vMerge w:val="restart"/>
          </w:tcPr>
          <w:p w14:paraId="10C8F37B" w14:textId="77777777" w:rsidR="008530FD" w:rsidRPr="00891B13" w:rsidRDefault="008530FD" w:rsidP="008530FD">
            <w:pPr>
              <w:pStyle w:val="Odsekzoznamu"/>
              <w:spacing w:line="276" w:lineRule="auto"/>
              <w:ind w:left="0"/>
              <w:rPr>
                <w:rFonts w:ascii="Times New Roman" w:hAnsi="Times New Roman" w:cs="Times New Roman"/>
                <w:b/>
              </w:rPr>
            </w:pPr>
          </w:p>
          <w:p w14:paraId="08315F20"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b/>
              </w:rPr>
              <w:t>Animácie</w:t>
            </w:r>
          </w:p>
        </w:tc>
        <w:tc>
          <w:tcPr>
            <w:tcW w:w="725" w:type="dxa"/>
          </w:tcPr>
          <w:p w14:paraId="691AF865" w14:textId="77777777" w:rsidR="008530FD" w:rsidRPr="00891B13" w:rsidRDefault="008530FD" w:rsidP="008530FD">
            <w:pPr>
              <w:pStyle w:val="Odsekzoznamu"/>
              <w:spacing w:line="276" w:lineRule="auto"/>
              <w:ind w:left="0"/>
              <w:rPr>
                <w:rFonts w:ascii="Times New Roman" w:hAnsi="Times New Roman" w:cs="Times New Roman"/>
              </w:rPr>
            </w:pPr>
            <w:r>
              <w:rPr>
                <w:rFonts w:ascii="Times New Roman" w:hAnsi="Times New Roman" w:cs="Times New Roman"/>
              </w:rPr>
              <w:t>PRV</w:t>
            </w:r>
          </w:p>
        </w:tc>
        <w:tc>
          <w:tcPr>
            <w:tcW w:w="1375" w:type="dxa"/>
          </w:tcPr>
          <w:p w14:paraId="4AB831DD"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menej rozvinutý</w:t>
            </w:r>
          </w:p>
        </w:tc>
        <w:tc>
          <w:tcPr>
            <w:tcW w:w="2153" w:type="dxa"/>
          </w:tcPr>
          <w:p w14:paraId="175DD47D" w14:textId="77777777" w:rsidR="008530FD" w:rsidRDefault="008530FD" w:rsidP="008530FD">
            <w:pPr>
              <w:pStyle w:val="Odsekzoznamu"/>
              <w:spacing w:line="276" w:lineRule="auto"/>
              <w:ind w:left="0"/>
              <w:rPr>
                <w:rFonts w:ascii="Times New Roman" w:hAnsi="Times New Roman" w:cs="Times New Roman"/>
              </w:rPr>
            </w:pPr>
          </w:p>
          <w:p w14:paraId="05AD73CA" w14:textId="77777777" w:rsidR="00322E05" w:rsidRDefault="00322E05" w:rsidP="008530FD">
            <w:pPr>
              <w:pStyle w:val="Odsekzoznamu"/>
              <w:spacing w:line="276" w:lineRule="auto"/>
              <w:ind w:left="0"/>
              <w:rPr>
                <w:rFonts w:ascii="Times New Roman" w:hAnsi="Times New Roman" w:cs="Times New Roman"/>
              </w:rPr>
            </w:pPr>
          </w:p>
          <w:p w14:paraId="6A3FBE95" w14:textId="77777777" w:rsidR="00BA3251" w:rsidRPr="00891B13" w:rsidRDefault="00BA3251" w:rsidP="008530FD">
            <w:pPr>
              <w:pStyle w:val="Odsekzoznamu"/>
              <w:spacing w:line="276" w:lineRule="auto"/>
              <w:ind w:left="0"/>
              <w:rPr>
                <w:rFonts w:ascii="Times New Roman" w:hAnsi="Times New Roman" w:cs="Times New Roman"/>
              </w:rPr>
            </w:pPr>
            <w:r>
              <w:rPr>
                <w:rFonts w:ascii="Times New Roman" w:hAnsi="Times New Roman" w:cs="Times New Roman"/>
              </w:rPr>
              <w:t>43 100,00</w:t>
            </w:r>
          </w:p>
        </w:tc>
      </w:tr>
      <w:tr w:rsidR="008530FD" w:rsidRPr="00891B13" w14:paraId="17240BDE" w14:textId="77777777" w:rsidTr="008530FD">
        <w:tc>
          <w:tcPr>
            <w:tcW w:w="4678" w:type="dxa"/>
            <w:vMerge/>
          </w:tcPr>
          <w:p w14:paraId="70FE9477" w14:textId="77777777" w:rsidR="008530FD" w:rsidRPr="00891B13" w:rsidRDefault="008530FD" w:rsidP="008530FD">
            <w:pPr>
              <w:pStyle w:val="Odsekzoznamu"/>
              <w:spacing w:line="276" w:lineRule="auto"/>
              <w:ind w:left="0"/>
              <w:rPr>
                <w:rFonts w:ascii="Times New Roman" w:hAnsi="Times New Roman" w:cs="Times New Roman"/>
              </w:rPr>
            </w:pPr>
          </w:p>
        </w:tc>
        <w:tc>
          <w:tcPr>
            <w:tcW w:w="725" w:type="dxa"/>
          </w:tcPr>
          <w:p w14:paraId="71928773" w14:textId="77777777" w:rsidR="008530FD" w:rsidRPr="00891B13" w:rsidRDefault="008530FD" w:rsidP="008530FD">
            <w:pPr>
              <w:pStyle w:val="Odsekzoznamu"/>
              <w:spacing w:line="276" w:lineRule="auto"/>
              <w:ind w:left="0"/>
              <w:rPr>
                <w:rFonts w:ascii="Times New Roman" w:hAnsi="Times New Roman" w:cs="Times New Roman"/>
              </w:rPr>
            </w:pPr>
          </w:p>
        </w:tc>
        <w:tc>
          <w:tcPr>
            <w:tcW w:w="1375" w:type="dxa"/>
          </w:tcPr>
          <w:p w14:paraId="1D63281D" w14:textId="77777777" w:rsidR="008530FD" w:rsidRPr="00891B13" w:rsidRDefault="008530FD" w:rsidP="008530FD">
            <w:pPr>
              <w:pStyle w:val="Odsekzoznamu"/>
              <w:spacing w:line="276" w:lineRule="auto"/>
              <w:ind w:left="0"/>
              <w:rPr>
                <w:rFonts w:ascii="Times New Roman" w:hAnsi="Times New Roman" w:cs="Times New Roman"/>
              </w:rPr>
            </w:pPr>
            <w:r w:rsidRPr="00891B13">
              <w:rPr>
                <w:rFonts w:ascii="Times New Roman" w:hAnsi="Times New Roman" w:cs="Times New Roman"/>
              </w:rPr>
              <w:t>viac rozvinutý</w:t>
            </w:r>
          </w:p>
        </w:tc>
        <w:tc>
          <w:tcPr>
            <w:tcW w:w="2153" w:type="dxa"/>
          </w:tcPr>
          <w:p w14:paraId="00069238" w14:textId="77777777" w:rsidR="008530FD" w:rsidRPr="00891B13" w:rsidRDefault="008530FD" w:rsidP="008530FD">
            <w:pPr>
              <w:pStyle w:val="Odsekzoznamu"/>
              <w:spacing w:line="276" w:lineRule="auto"/>
              <w:ind w:left="0"/>
              <w:rPr>
                <w:rFonts w:ascii="Times New Roman" w:hAnsi="Times New Roman" w:cs="Times New Roman"/>
              </w:rPr>
            </w:pPr>
          </w:p>
        </w:tc>
      </w:tr>
    </w:tbl>
    <w:p w14:paraId="5CE80CDA" w14:textId="77777777" w:rsidR="008530FD" w:rsidRDefault="008530FD" w:rsidP="008530FD">
      <w:pPr>
        <w:pStyle w:val="Odsekzoznamu"/>
        <w:spacing w:after="0"/>
        <w:ind w:left="0"/>
        <w:rPr>
          <w:rFonts w:ascii="Times New Roman" w:hAnsi="Times New Roman" w:cs="Times New Roman"/>
        </w:rPr>
      </w:pPr>
      <w:r>
        <w:rPr>
          <w:rFonts w:ascii="Times New Roman" w:hAnsi="Times New Roman" w:cs="Times New Roman"/>
        </w:rPr>
        <w:t xml:space="preserve">Pozn.: Financovanie chodu MAS vrátane animácií musí byť v súlade s kapitolou 6.2 Systému riadenia CLLD. </w:t>
      </w:r>
    </w:p>
    <w:p w14:paraId="4D420073" w14:textId="77777777" w:rsidR="008530FD" w:rsidRPr="00891B13" w:rsidRDefault="008530FD" w:rsidP="008530FD">
      <w:pPr>
        <w:pStyle w:val="Odsekzoznamu"/>
        <w:spacing w:after="0"/>
        <w:ind w:left="0"/>
        <w:rPr>
          <w:rFonts w:ascii="Times New Roman" w:hAnsi="Times New Roman" w:cs="Times New Roman"/>
        </w:rPr>
      </w:pPr>
    </w:p>
    <w:p w14:paraId="781809B3" w14:textId="77777777" w:rsidR="008530FD" w:rsidRDefault="008530FD" w:rsidP="008530FD">
      <w:pPr>
        <w:pStyle w:val="Odsekzoznamu"/>
        <w:spacing w:after="0"/>
        <w:ind w:left="0"/>
        <w:rPr>
          <w:rFonts w:ascii="Times New Roman" w:hAnsi="Times New Roman" w:cs="Times New Roman"/>
          <w:b/>
        </w:rPr>
        <w:sectPr w:rsidR="008530FD" w:rsidSect="008530FD">
          <w:pgSz w:w="11906" w:h="16838"/>
          <w:pgMar w:top="1417" w:right="1417" w:bottom="1417" w:left="1417" w:header="708" w:footer="708" w:gutter="0"/>
          <w:cols w:space="708"/>
          <w:docGrid w:linePitch="360"/>
        </w:sectPr>
      </w:pPr>
    </w:p>
    <w:p w14:paraId="4D3914A2" w14:textId="77777777" w:rsidR="008530FD" w:rsidRPr="00891B13" w:rsidRDefault="008530FD" w:rsidP="008530FD">
      <w:pPr>
        <w:pStyle w:val="Odsekzoznamu"/>
        <w:spacing w:after="0"/>
        <w:ind w:left="0"/>
        <w:rPr>
          <w:rFonts w:ascii="Times New Roman" w:hAnsi="Times New Roman" w:cs="Times New Roman"/>
          <w:b/>
        </w:rPr>
      </w:pPr>
      <w:r>
        <w:rPr>
          <w:rFonts w:ascii="Times New Roman" w:hAnsi="Times New Roman" w:cs="Times New Roman"/>
          <w:b/>
        </w:rPr>
        <w:lastRenderedPageBreak/>
        <w:t>Tabuľka 6.1.3</w:t>
      </w:r>
      <w:r w:rsidRPr="00891B13">
        <w:rPr>
          <w:rFonts w:ascii="Times New Roman" w:hAnsi="Times New Roman" w:cs="Times New Roman"/>
          <w:b/>
        </w:rPr>
        <w:t xml:space="preserve"> Rozdelenie zdrojov na jednotlivé typy výdavkov  v rámci príslušných programov</w:t>
      </w:r>
    </w:p>
    <w:tbl>
      <w:tblPr>
        <w:tblStyle w:val="Mriekatabuky"/>
        <w:tblW w:w="0" w:type="auto"/>
        <w:tblInd w:w="-459" w:type="dxa"/>
        <w:tblLayout w:type="fixed"/>
        <w:tblLook w:val="04A0" w:firstRow="1" w:lastRow="0" w:firstColumn="1" w:lastColumn="0" w:noHBand="0" w:noVBand="1"/>
      </w:tblPr>
      <w:tblGrid>
        <w:gridCol w:w="983"/>
        <w:gridCol w:w="983"/>
        <w:gridCol w:w="1011"/>
        <w:gridCol w:w="992"/>
        <w:gridCol w:w="1134"/>
        <w:gridCol w:w="1276"/>
        <w:gridCol w:w="1135"/>
        <w:gridCol w:w="567"/>
        <w:gridCol w:w="991"/>
        <w:gridCol w:w="1133"/>
        <w:gridCol w:w="1133"/>
        <w:gridCol w:w="983"/>
        <w:gridCol w:w="1133"/>
        <w:gridCol w:w="1133"/>
      </w:tblGrid>
      <w:tr w:rsidR="008530FD" w:rsidRPr="00472258" w14:paraId="693F917F" w14:textId="77777777" w:rsidTr="00084A31">
        <w:tc>
          <w:tcPr>
            <w:tcW w:w="983" w:type="dxa"/>
            <w:vMerge w:val="restart"/>
          </w:tcPr>
          <w:p w14:paraId="21D96764"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83" w:type="dxa"/>
            <w:vMerge w:val="restart"/>
          </w:tcPr>
          <w:p w14:paraId="2C602752"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región</w:t>
            </w:r>
          </w:p>
        </w:tc>
        <w:tc>
          <w:tcPr>
            <w:tcW w:w="4413" w:type="dxa"/>
            <w:gridSpan w:val="4"/>
          </w:tcPr>
          <w:p w14:paraId="7FD12CE8"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PRV</w:t>
            </w:r>
          </w:p>
        </w:tc>
        <w:tc>
          <w:tcPr>
            <w:tcW w:w="3826" w:type="dxa"/>
            <w:gridSpan w:val="4"/>
          </w:tcPr>
          <w:p w14:paraId="16B4C25C"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IROP</w:t>
            </w:r>
          </w:p>
        </w:tc>
        <w:tc>
          <w:tcPr>
            <w:tcW w:w="4382" w:type="dxa"/>
            <w:gridSpan w:val="4"/>
          </w:tcPr>
          <w:p w14:paraId="2F91037D"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SPOLU</w:t>
            </w:r>
          </w:p>
        </w:tc>
      </w:tr>
      <w:tr w:rsidR="008530FD" w:rsidRPr="00472258" w14:paraId="7A3B40BE" w14:textId="77777777" w:rsidTr="00084A31">
        <w:tc>
          <w:tcPr>
            <w:tcW w:w="983" w:type="dxa"/>
            <w:vMerge/>
          </w:tcPr>
          <w:p w14:paraId="46BDB317"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83" w:type="dxa"/>
            <w:vMerge/>
          </w:tcPr>
          <w:p w14:paraId="768C6027"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p>
        </w:tc>
        <w:tc>
          <w:tcPr>
            <w:tcW w:w="1011" w:type="dxa"/>
          </w:tcPr>
          <w:p w14:paraId="0251C077"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EPFRV</w:t>
            </w:r>
          </w:p>
        </w:tc>
        <w:tc>
          <w:tcPr>
            <w:tcW w:w="992" w:type="dxa"/>
          </w:tcPr>
          <w:p w14:paraId="1551584B"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ŠR</w:t>
            </w:r>
          </w:p>
        </w:tc>
        <w:tc>
          <w:tcPr>
            <w:tcW w:w="1134" w:type="dxa"/>
          </w:tcPr>
          <w:p w14:paraId="6CB4FE87"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VZ</w:t>
            </w:r>
          </w:p>
        </w:tc>
        <w:tc>
          <w:tcPr>
            <w:tcW w:w="1276" w:type="dxa"/>
          </w:tcPr>
          <w:p w14:paraId="7695643F"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spolu</w:t>
            </w:r>
          </w:p>
        </w:tc>
        <w:tc>
          <w:tcPr>
            <w:tcW w:w="1135" w:type="dxa"/>
          </w:tcPr>
          <w:p w14:paraId="5C33B19B"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EFRR</w:t>
            </w:r>
          </w:p>
        </w:tc>
        <w:tc>
          <w:tcPr>
            <w:tcW w:w="567" w:type="dxa"/>
          </w:tcPr>
          <w:p w14:paraId="463176BA"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ŠR</w:t>
            </w:r>
          </w:p>
        </w:tc>
        <w:tc>
          <w:tcPr>
            <w:tcW w:w="991" w:type="dxa"/>
          </w:tcPr>
          <w:p w14:paraId="72A49B3A"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VZ</w:t>
            </w:r>
          </w:p>
        </w:tc>
        <w:tc>
          <w:tcPr>
            <w:tcW w:w="1133" w:type="dxa"/>
          </w:tcPr>
          <w:p w14:paraId="2FE40239"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spolu</w:t>
            </w:r>
          </w:p>
        </w:tc>
        <w:tc>
          <w:tcPr>
            <w:tcW w:w="1133" w:type="dxa"/>
          </w:tcPr>
          <w:p w14:paraId="59360BD0"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fondy</w:t>
            </w:r>
          </w:p>
        </w:tc>
        <w:tc>
          <w:tcPr>
            <w:tcW w:w="983" w:type="dxa"/>
          </w:tcPr>
          <w:p w14:paraId="097012DE"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ŠR</w:t>
            </w:r>
          </w:p>
        </w:tc>
        <w:tc>
          <w:tcPr>
            <w:tcW w:w="1133" w:type="dxa"/>
          </w:tcPr>
          <w:p w14:paraId="2B907C22"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VZ</w:t>
            </w:r>
          </w:p>
        </w:tc>
        <w:tc>
          <w:tcPr>
            <w:tcW w:w="1133" w:type="dxa"/>
          </w:tcPr>
          <w:p w14:paraId="60F6E1A4" w14:textId="77777777" w:rsidR="008530FD" w:rsidRPr="00472258" w:rsidRDefault="008530FD" w:rsidP="008530FD">
            <w:pPr>
              <w:pStyle w:val="Odsekzoznamu"/>
              <w:spacing w:line="276" w:lineRule="auto"/>
              <w:ind w:left="0"/>
              <w:jc w:val="center"/>
              <w:rPr>
                <w:rFonts w:ascii="Times New Roman" w:hAnsi="Times New Roman" w:cs="Times New Roman"/>
                <w:b/>
                <w:sz w:val="20"/>
                <w:szCs w:val="20"/>
              </w:rPr>
            </w:pPr>
            <w:r w:rsidRPr="00472258">
              <w:rPr>
                <w:rFonts w:ascii="Times New Roman" w:hAnsi="Times New Roman" w:cs="Times New Roman"/>
                <w:b/>
                <w:sz w:val="20"/>
                <w:szCs w:val="20"/>
              </w:rPr>
              <w:t>spolu</w:t>
            </w:r>
          </w:p>
        </w:tc>
      </w:tr>
      <w:tr w:rsidR="008530FD" w:rsidRPr="00472258" w14:paraId="2AEDDE5A" w14:textId="77777777" w:rsidTr="00084A31">
        <w:tc>
          <w:tcPr>
            <w:tcW w:w="983" w:type="dxa"/>
            <w:vMerge w:val="restart"/>
            <w:vAlign w:val="bottom"/>
          </w:tcPr>
          <w:p w14:paraId="4E2FB601"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r w:rsidRPr="00472258">
              <w:rPr>
                <w:rFonts w:ascii="Times New Roman" w:eastAsia="Times New Roman" w:hAnsi="Times New Roman" w:cs="Times New Roman"/>
                <w:color w:val="000000"/>
                <w:sz w:val="20"/>
                <w:szCs w:val="20"/>
                <w:lang w:eastAsia="sk-SK"/>
              </w:rPr>
              <w:t>operácie v rámci stratégie CLLD</w:t>
            </w:r>
          </w:p>
        </w:tc>
        <w:tc>
          <w:tcPr>
            <w:tcW w:w="983" w:type="dxa"/>
          </w:tcPr>
          <w:p w14:paraId="17661D4E"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MR</w:t>
            </w:r>
          </w:p>
        </w:tc>
        <w:tc>
          <w:tcPr>
            <w:tcW w:w="1011" w:type="dxa"/>
          </w:tcPr>
          <w:p w14:paraId="437F041D" w14:textId="77777777" w:rsidR="008530FD" w:rsidRDefault="008530FD" w:rsidP="008530FD">
            <w:pPr>
              <w:pStyle w:val="Odsekzoznamu"/>
              <w:spacing w:line="276" w:lineRule="auto"/>
              <w:ind w:left="0"/>
              <w:rPr>
                <w:rFonts w:ascii="Times New Roman" w:hAnsi="Times New Roman" w:cs="Times New Roman"/>
                <w:sz w:val="20"/>
                <w:szCs w:val="20"/>
              </w:rPr>
            </w:pPr>
          </w:p>
          <w:p w14:paraId="7ACDB103" w14:textId="77777777" w:rsidR="00322E05"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570 822,-</w:t>
            </w:r>
          </w:p>
        </w:tc>
        <w:tc>
          <w:tcPr>
            <w:tcW w:w="992" w:type="dxa"/>
          </w:tcPr>
          <w:p w14:paraId="400CB02F" w14:textId="77777777" w:rsidR="00322E05" w:rsidRDefault="00322E05" w:rsidP="008530FD">
            <w:pPr>
              <w:pStyle w:val="Odsekzoznamu"/>
              <w:spacing w:line="276" w:lineRule="auto"/>
              <w:ind w:left="0"/>
              <w:rPr>
                <w:rFonts w:ascii="Times New Roman" w:hAnsi="Times New Roman" w:cs="Times New Roman"/>
                <w:sz w:val="20"/>
                <w:szCs w:val="20"/>
              </w:rPr>
            </w:pPr>
          </w:p>
          <w:p w14:paraId="41CFCAB9"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190 274,-</w:t>
            </w:r>
          </w:p>
        </w:tc>
        <w:tc>
          <w:tcPr>
            <w:tcW w:w="1134" w:type="dxa"/>
          </w:tcPr>
          <w:p w14:paraId="5BA0F844" w14:textId="77777777" w:rsidR="008530FD" w:rsidRDefault="008530FD" w:rsidP="008530FD">
            <w:pPr>
              <w:pStyle w:val="Odsekzoznamu"/>
              <w:spacing w:line="276" w:lineRule="auto"/>
              <w:ind w:left="0"/>
              <w:rPr>
                <w:rFonts w:ascii="Times New Roman" w:hAnsi="Times New Roman" w:cs="Times New Roman"/>
                <w:sz w:val="20"/>
                <w:szCs w:val="20"/>
              </w:rPr>
            </w:pPr>
          </w:p>
          <w:p w14:paraId="49613978"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459 773,51</w:t>
            </w:r>
          </w:p>
        </w:tc>
        <w:tc>
          <w:tcPr>
            <w:tcW w:w="1276" w:type="dxa"/>
          </w:tcPr>
          <w:p w14:paraId="31E69898" w14:textId="77777777" w:rsidR="00322E05" w:rsidRDefault="00322E05" w:rsidP="008530FD">
            <w:pPr>
              <w:pStyle w:val="Odsekzoznamu"/>
              <w:spacing w:line="276" w:lineRule="auto"/>
              <w:ind w:left="0"/>
              <w:rPr>
                <w:rFonts w:ascii="Times New Roman" w:hAnsi="Times New Roman" w:cs="Times New Roman"/>
                <w:sz w:val="20"/>
                <w:szCs w:val="20"/>
              </w:rPr>
            </w:pPr>
          </w:p>
          <w:p w14:paraId="7678DD8D"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1 220 869,51</w:t>
            </w:r>
          </w:p>
        </w:tc>
        <w:tc>
          <w:tcPr>
            <w:tcW w:w="1135" w:type="dxa"/>
          </w:tcPr>
          <w:p w14:paraId="15D85E5D" w14:textId="77777777" w:rsidR="00322E05" w:rsidRDefault="00322E05" w:rsidP="008530FD">
            <w:pPr>
              <w:pStyle w:val="Odsekzoznamu"/>
              <w:spacing w:line="276" w:lineRule="auto"/>
              <w:ind w:left="0"/>
              <w:rPr>
                <w:rFonts w:ascii="Times New Roman" w:hAnsi="Times New Roman" w:cs="Times New Roman"/>
                <w:sz w:val="20"/>
                <w:szCs w:val="20"/>
              </w:rPr>
            </w:pPr>
          </w:p>
          <w:p w14:paraId="28A8DE3E"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674 940,-</w:t>
            </w:r>
          </w:p>
        </w:tc>
        <w:tc>
          <w:tcPr>
            <w:tcW w:w="567" w:type="dxa"/>
          </w:tcPr>
          <w:p w14:paraId="7162BCCC" w14:textId="77777777" w:rsidR="00084A31" w:rsidRDefault="00084A31" w:rsidP="008530FD">
            <w:pPr>
              <w:pStyle w:val="Odsekzoznamu"/>
              <w:spacing w:line="276" w:lineRule="auto"/>
              <w:ind w:left="0"/>
              <w:rPr>
                <w:rFonts w:ascii="Times New Roman" w:hAnsi="Times New Roman" w:cs="Times New Roman"/>
                <w:sz w:val="20"/>
                <w:szCs w:val="20"/>
              </w:rPr>
            </w:pPr>
          </w:p>
          <w:p w14:paraId="73F1DADD" w14:textId="77777777" w:rsidR="008530FD" w:rsidRPr="00472258" w:rsidRDefault="008530FD" w:rsidP="008530FD">
            <w:pPr>
              <w:pStyle w:val="Odsekzoznamu"/>
              <w:spacing w:line="276" w:lineRule="auto"/>
              <w:ind w:left="0"/>
              <w:rPr>
                <w:rFonts w:ascii="Times New Roman" w:hAnsi="Times New Roman" w:cs="Times New Roman"/>
                <w:sz w:val="20"/>
                <w:szCs w:val="20"/>
              </w:rPr>
            </w:pPr>
            <w:r w:rsidRPr="00472258">
              <w:rPr>
                <w:rFonts w:ascii="Times New Roman" w:hAnsi="Times New Roman" w:cs="Times New Roman"/>
                <w:sz w:val="20"/>
                <w:szCs w:val="20"/>
              </w:rPr>
              <w:t>0</w:t>
            </w:r>
          </w:p>
        </w:tc>
        <w:tc>
          <w:tcPr>
            <w:tcW w:w="991" w:type="dxa"/>
          </w:tcPr>
          <w:p w14:paraId="20663AC3" w14:textId="77777777" w:rsidR="00084A31" w:rsidRDefault="00084A31" w:rsidP="00786B33">
            <w:pPr>
              <w:pStyle w:val="Odsekzoznamu"/>
              <w:spacing w:line="276" w:lineRule="auto"/>
              <w:ind w:left="0"/>
              <w:rPr>
                <w:rFonts w:ascii="Times New Roman" w:hAnsi="Times New Roman" w:cs="Times New Roman"/>
                <w:sz w:val="20"/>
                <w:szCs w:val="20"/>
              </w:rPr>
            </w:pPr>
          </w:p>
          <w:p w14:paraId="0CE902AA" w14:textId="77777777" w:rsidR="00322E05" w:rsidRPr="00472258" w:rsidRDefault="00BA3251" w:rsidP="00786B33">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293 873,</w:t>
            </w:r>
            <w:r w:rsidR="00786B33">
              <w:rPr>
                <w:rFonts w:ascii="Times New Roman" w:hAnsi="Times New Roman" w:cs="Times New Roman"/>
                <w:sz w:val="20"/>
                <w:szCs w:val="20"/>
              </w:rPr>
              <w:t>40</w:t>
            </w:r>
          </w:p>
        </w:tc>
        <w:tc>
          <w:tcPr>
            <w:tcW w:w="1133" w:type="dxa"/>
          </w:tcPr>
          <w:p w14:paraId="6217F398" w14:textId="77777777" w:rsidR="008530FD" w:rsidRDefault="008530FD" w:rsidP="008530FD">
            <w:pPr>
              <w:pStyle w:val="Odsekzoznamu"/>
              <w:spacing w:line="276" w:lineRule="auto"/>
              <w:ind w:left="0"/>
              <w:rPr>
                <w:rFonts w:ascii="Times New Roman" w:hAnsi="Times New Roman" w:cs="Times New Roman"/>
                <w:sz w:val="20"/>
                <w:szCs w:val="20"/>
              </w:rPr>
            </w:pPr>
          </w:p>
          <w:p w14:paraId="4BE90521"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968 813,40</w:t>
            </w:r>
          </w:p>
        </w:tc>
        <w:tc>
          <w:tcPr>
            <w:tcW w:w="1133" w:type="dxa"/>
          </w:tcPr>
          <w:p w14:paraId="4576A6F1" w14:textId="77777777" w:rsidR="008530FD" w:rsidRDefault="008530FD" w:rsidP="008530FD">
            <w:pPr>
              <w:pStyle w:val="Odsekzoznamu"/>
              <w:spacing w:line="276" w:lineRule="auto"/>
              <w:ind w:left="0"/>
              <w:rPr>
                <w:rFonts w:ascii="Times New Roman" w:hAnsi="Times New Roman" w:cs="Times New Roman"/>
                <w:sz w:val="20"/>
                <w:szCs w:val="20"/>
              </w:rPr>
            </w:pPr>
          </w:p>
          <w:p w14:paraId="73EF513A"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1 245 762,-</w:t>
            </w:r>
          </w:p>
        </w:tc>
        <w:tc>
          <w:tcPr>
            <w:tcW w:w="983" w:type="dxa"/>
          </w:tcPr>
          <w:p w14:paraId="3F0C0A91" w14:textId="77777777" w:rsidR="008530FD" w:rsidRDefault="008530FD" w:rsidP="008530FD">
            <w:pPr>
              <w:pStyle w:val="Odsekzoznamu"/>
              <w:spacing w:line="276" w:lineRule="auto"/>
              <w:ind w:left="0"/>
              <w:rPr>
                <w:rFonts w:ascii="Times New Roman" w:hAnsi="Times New Roman" w:cs="Times New Roman"/>
                <w:sz w:val="20"/>
                <w:szCs w:val="20"/>
              </w:rPr>
            </w:pPr>
          </w:p>
          <w:p w14:paraId="4BFE371D" w14:textId="77777777" w:rsidR="00322E05"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190 </w:t>
            </w:r>
            <w:r w:rsidR="0075714E">
              <w:rPr>
                <w:rFonts w:ascii="Times New Roman" w:hAnsi="Times New Roman" w:cs="Times New Roman"/>
                <w:sz w:val="20"/>
                <w:szCs w:val="20"/>
              </w:rPr>
              <w:t>274</w:t>
            </w:r>
            <w:r>
              <w:rPr>
                <w:rFonts w:ascii="Times New Roman" w:hAnsi="Times New Roman" w:cs="Times New Roman"/>
                <w:sz w:val="20"/>
                <w:szCs w:val="20"/>
              </w:rPr>
              <w:t>,-</w:t>
            </w:r>
          </w:p>
        </w:tc>
        <w:tc>
          <w:tcPr>
            <w:tcW w:w="1133" w:type="dxa"/>
          </w:tcPr>
          <w:p w14:paraId="72953696" w14:textId="77777777" w:rsidR="00BA3251" w:rsidRDefault="00BA3251" w:rsidP="008530FD">
            <w:pPr>
              <w:pStyle w:val="Odsekzoznamu"/>
              <w:spacing w:line="276" w:lineRule="auto"/>
              <w:ind w:left="0"/>
              <w:rPr>
                <w:rFonts w:ascii="Times New Roman" w:hAnsi="Times New Roman" w:cs="Times New Roman"/>
                <w:sz w:val="20"/>
                <w:szCs w:val="20"/>
              </w:rPr>
            </w:pPr>
          </w:p>
          <w:p w14:paraId="615C1DA3" w14:textId="77777777" w:rsidR="008530FD" w:rsidRPr="00472258" w:rsidRDefault="00BA3251" w:rsidP="00786B33">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753 64</w:t>
            </w:r>
            <w:r w:rsidR="00786B33">
              <w:rPr>
                <w:rFonts w:ascii="Times New Roman" w:hAnsi="Times New Roman" w:cs="Times New Roman"/>
                <w:sz w:val="20"/>
                <w:szCs w:val="20"/>
              </w:rPr>
              <w:t>6</w:t>
            </w:r>
            <w:r>
              <w:rPr>
                <w:rFonts w:ascii="Times New Roman" w:hAnsi="Times New Roman" w:cs="Times New Roman"/>
                <w:sz w:val="20"/>
                <w:szCs w:val="20"/>
              </w:rPr>
              <w:t>,91</w:t>
            </w:r>
          </w:p>
        </w:tc>
        <w:tc>
          <w:tcPr>
            <w:tcW w:w="1133" w:type="dxa"/>
          </w:tcPr>
          <w:p w14:paraId="25E9EDE1" w14:textId="77777777" w:rsidR="00BA3251" w:rsidRDefault="00BA3251" w:rsidP="008530FD">
            <w:pPr>
              <w:pStyle w:val="Odsekzoznamu"/>
              <w:spacing w:line="276" w:lineRule="auto"/>
              <w:ind w:left="0"/>
              <w:rPr>
                <w:rFonts w:ascii="Times New Roman" w:hAnsi="Times New Roman" w:cs="Times New Roman"/>
                <w:sz w:val="20"/>
                <w:szCs w:val="20"/>
              </w:rPr>
            </w:pPr>
          </w:p>
          <w:p w14:paraId="1A57874A" w14:textId="77777777" w:rsidR="00322E05" w:rsidRPr="00472258" w:rsidRDefault="00BA3251" w:rsidP="0075714E">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2 189 6</w:t>
            </w:r>
            <w:r w:rsidR="0075714E">
              <w:rPr>
                <w:rFonts w:ascii="Times New Roman" w:hAnsi="Times New Roman" w:cs="Times New Roman"/>
                <w:sz w:val="20"/>
                <w:szCs w:val="20"/>
              </w:rPr>
              <w:t>82</w:t>
            </w:r>
            <w:r>
              <w:rPr>
                <w:rFonts w:ascii="Times New Roman" w:hAnsi="Times New Roman" w:cs="Times New Roman"/>
                <w:sz w:val="20"/>
                <w:szCs w:val="20"/>
              </w:rPr>
              <w:t>,91</w:t>
            </w:r>
          </w:p>
        </w:tc>
      </w:tr>
      <w:tr w:rsidR="008530FD" w:rsidRPr="00472258" w14:paraId="076549AA" w14:textId="77777777" w:rsidTr="00084A31">
        <w:tc>
          <w:tcPr>
            <w:tcW w:w="983" w:type="dxa"/>
            <w:vMerge/>
            <w:vAlign w:val="bottom"/>
          </w:tcPr>
          <w:p w14:paraId="0277EC94"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4DBBA0FD"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VR</w:t>
            </w:r>
          </w:p>
        </w:tc>
        <w:tc>
          <w:tcPr>
            <w:tcW w:w="1011" w:type="dxa"/>
          </w:tcPr>
          <w:p w14:paraId="321BDEBC"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2" w:type="dxa"/>
          </w:tcPr>
          <w:p w14:paraId="723C8E16"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4" w:type="dxa"/>
          </w:tcPr>
          <w:p w14:paraId="1823E04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276" w:type="dxa"/>
          </w:tcPr>
          <w:p w14:paraId="335EAD46"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5" w:type="dxa"/>
          </w:tcPr>
          <w:p w14:paraId="522A2ED8"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567" w:type="dxa"/>
          </w:tcPr>
          <w:p w14:paraId="3753FB32"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1" w:type="dxa"/>
          </w:tcPr>
          <w:p w14:paraId="2BD88821"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2CEB2119"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53617E05"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83" w:type="dxa"/>
          </w:tcPr>
          <w:p w14:paraId="5E2C59A9"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66788C0C"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39A19887"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r>
      <w:tr w:rsidR="008530FD" w:rsidRPr="00472258" w14:paraId="71299D82" w14:textId="77777777" w:rsidTr="00084A31">
        <w:tc>
          <w:tcPr>
            <w:tcW w:w="983" w:type="dxa"/>
            <w:vMerge w:val="restart"/>
            <w:vAlign w:val="center"/>
          </w:tcPr>
          <w:p w14:paraId="53C7B155"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r w:rsidRPr="00472258">
              <w:rPr>
                <w:rFonts w:ascii="Times New Roman" w:eastAsia="Times New Roman" w:hAnsi="Times New Roman" w:cs="Times New Roman"/>
                <w:color w:val="000000"/>
                <w:sz w:val="20"/>
                <w:szCs w:val="20"/>
                <w:lang w:eastAsia="sk-SK"/>
              </w:rPr>
              <w:t xml:space="preserve">chod MAS  </w:t>
            </w:r>
          </w:p>
          <w:p w14:paraId="2EEAFB06"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07ACD34D"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MR</w:t>
            </w:r>
          </w:p>
        </w:tc>
        <w:tc>
          <w:tcPr>
            <w:tcW w:w="1011" w:type="dxa"/>
          </w:tcPr>
          <w:p w14:paraId="0C32D458"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2" w:type="dxa"/>
          </w:tcPr>
          <w:p w14:paraId="1508DD42"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4" w:type="dxa"/>
          </w:tcPr>
          <w:p w14:paraId="101CE3AD"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276" w:type="dxa"/>
          </w:tcPr>
          <w:p w14:paraId="3F572E4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5" w:type="dxa"/>
          </w:tcPr>
          <w:p w14:paraId="0E963541" w14:textId="77777777" w:rsidR="008530FD" w:rsidRDefault="008530FD" w:rsidP="008530FD">
            <w:pPr>
              <w:pStyle w:val="Odsekzoznamu"/>
              <w:spacing w:line="276" w:lineRule="auto"/>
              <w:ind w:left="0"/>
              <w:rPr>
                <w:rFonts w:ascii="Times New Roman" w:hAnsi="Times New Roman" w:cs="Times New Roman"/>
                <w:sz w:val="20"/>
                <w:szCs w:val="20"/>
              </w:rPr>
            </w:pPr>
          </w:p>
          <w:p w14:paraId="3385B696"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244 106,34</w:t>
            </w:r>
          </w:p>
        </w:tc>
        <w:tc>
          <w:tcPr>
            <w:tcW w:w="567" w:type="dxa"/>
          </w:tcPr>
          <w:p w14:paraId="2BBA6645"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1" w:type="dxa"/>
          </w:tcPr>
          <w:p w14:paraId="28F22D60" w14:textId="77777777" w:rsidR="00BA3251" w:rsidRDefault="00BA3251" w:rsidP="008530FD">
            <w:pPr>
              <w:pStyle w:val="Odsekzoznamu"/>
              <w:spacing w:line="276" w:lineRule="auto"/>
              <w:ind w:left="0"/>
              <w:rPr>
                <w:rFonts w:ascii="Times New Roman" w:hAnsi="Times New Roman" w:cs="Times New Roman"/>
                <w:sz w:val="20"/>
                <w:szCs w:val="20"/>
              </w:rPr>
            </w:pPr>
          </w:p>
          <w:p w14:paraId="6DC37A36"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12 205,32</w:t>
            </w:r>
          </w:p>
        </w:tc>
        <w:tc>
          <w:tcPr>
            <w:tcW w:w="1133" w:type="dxa"/>
          </w:tcPr>
          <w:p w14:paraId="7F346E9D" w14:textId="77777777" w:rsidR="008530FD" w:rsidRDefault="008530FD" w:rsidP="008530FD">
            <w:pPr>
              <w:pStyle w:val="Odsekzoznamu"/>
              <w:spacing w:line="276" w:lineRule="auto"/>
              <w:ind w:left="0"/>
              <w:rPr>
                <w:rFonts w:ascii="Times New Roman" w:hAnsi="Times New Roman" w:cs="Times New Roman"/>
                <w:sz w:val="20"/>
                <w:szCs w:val="20"/>
              </w:rPr>
            </w:pPr>
          </w:p>
          <w:p w14:paraId="198466C3" w14:textId="77777777" w:rsidR="00BA3251" w:rsidRPr="00472258" w:rsidRDefault="00BA325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256 311,66</w:t>
            </w:r>
          </w:p>
        </w:tc>
        <w:tc>
          <w:tcPr>
            <w:tcW w:w="1133" w:type="dxa"/>
          </w:tcPr>
          <w:p w14:paraId="076705B5" w14:textId="77777777" w:rsidR="008530FD" w:rsidRDefault="008530FD" w:rsidP="008530FD">
            <w:pPr>
              <w:pStyle w:val="Odsekzoznamu"/>
              <w:spacing w:line="276" w:lineRule="auto"/>
              <w:ind w:left="0"/>
              <w:jc w:val="right"/>
              <w:rPr>
                <w:rFonts w:ascii="Times New Roman" w:hAnsi="Times New Roman" w:cs="Times New Roman"/>
                <w:sz w:val="20"/>
                <w:szCs w:val="20"/>
              </w:rPr>
            </w:pPr>
          </w:p>
          <w:p w14:paraId="1652B371" w14:textId="77777777" w:rsidR="00BA3251" w:rsidRPr="00472258" w:rsidRDefault="00BA3251"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244 106,34</w:t>
            </w:r>
          </w:p>
        </w:tc>
        <w:tc>
          <w:tcPr>
            <w:tcW w:w="983" w:type="dxa"/>
          </w:tcPr>
          <w:p w14:paraId="7DBAC2D9"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00D20602" w14:textId="77777777" w:rsidR="00BA3251" w:rsidRDefault="00BA3251" w:rsidP="008530FD">
            <w:pPr>
              <w:pStyle w:val="Odsekzoznamu"/>
              <w:spacing w:line="276" w:lineRule="auto"/>
              <w:ind w:left="0"/>
              <w:jc w:val="right"/>
              <w:rPr>
                <w:rFonts w:ascii="Times New Roman" w:hAnsi="Times New Roman" w:cs="Times New Roman"/>
                <w:sz w:val="20"/>
                <w:szCs w:val="20"/>
              </w:rPr>
            </w:pPr>
          </w:p>
          <w:p w14:paraId="143D21EB" w14:textId="77777777" w:rsidR="00BA3251" w:rsidRPr="00472258" w:rsidRDefault="00BA3251"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12 205,32</w:t>
            </w:r>
          </w:p>
        </w:tc>
        <w:tc>
          <w:tcPr>
            <w:tcW w:w="1133" w:type="dxa"/>
          </w:tcPr>
          <w:p w14:paraId="084AE7C7" w14:textId="77777777" w:rsidR="00084A31" w:rsidRDefault="00084A31" w:rsidP="008530FD">
            <w:pPr>
              <w:pStyle w:val="Odsekzoznamu"/>
              <w:spacing w:line="276" w:lineRule="auto"/>
              <w:ind w:left="0"/>
              <w:jc w:val="right"/>
              <w:rPr>
                <w:rFonts w:ascii="Times New Roman" w:hAnsi="Times New Roman" w:cs="Times New Roman"/>
                <w:sz w:val="20"/>
                <w:szCs w:val="20"/>
              </w:rPr>
            </w:pPr>
          </w:p>
          <w:p w14:paraId="3CAA6D23" w14:textId="77777777" w:rsidR="00322E05" w:rsidRPr="00472258" w:rsidRDefault="00BA3251"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256 311,66</w:t>
            </w:r>
          </w:p>
        </w:tc>
      </w:tr>
      <w:tr w:rsidR="008530FD" w:rsidRPr="00472258" w14:paraId="278A6812" w14:textId="77777777" w:rsidTr="00084A31">
        <w:tc>
          <w:tcPr>
            <w:tcW w:w="983" w:type="dxa"/>
            <w:vMerge/>
            <w:vAlign w:val="bottom"/>
          </w:tcPr>
          <w:p w14:paraId="648C78D0"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7C03B5AD"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VR</w:t>
            </w:r>
          </w:p>
        </w:tc>
        <w:tc>
          <w:tcPr>
            <w:tcW w:w="1011" w:type="dxa"/>
          </w:tcPr>
          <w:p w14:paraId="355DA03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2" w:type="dxa"/>
          </w:tcPr>
          <w:p w14:paraId="63D73278"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4" w:type="dxa"/>
          </w:tcPr>
          <w:p w14:paraId="51B8080C"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276" w:type="dxa"/>
          </w:tcPr>
          <w:p w14:paraId="1C19A82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5" w:type="dxa"/>
          </w:tcPr>
          <w:p w14:paraId="1F539F74"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567" w:type="dxa"/>
          </w:tcPr>
          <w:p w14:paraId="6618F816"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1" w:type="dxa"/>
          </w:tcPr>
          <w:p w14:paraId="66F240C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76AB0101"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19527BDA"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983" w:type="dxa"/>
          </w:tcPr>
          <w:p w14:paraId="0C6610AC"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429A4BFC"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3461D08C"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r>
      <w:tr w:rsidR="008530FD" w:rsidRPr="00472258" w14:paraId="0AE5102B" w14:textId="77777777" w:rsidTr="00084A31">
        <w:tc>
          <w:tcPr>
            <w:tcW w:w="983" w:type="dxa"/>
            <w:vMerge w:val="restart"/>
            <w:vAlign w:val="center"/>
          </w:tcPr>
          <w:p w14:paraId="03C752E2"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r w:rsidRPr="00472258">
              <w:rPr>
                <w:rFonts w:ascii="Times New Roman" w:eastAsia="Times New Roman" w:hAnsi="Times New Roman" w:cs="Times New Roman"/>
                <w:color w:val="000000"/>
                <w:sz w:val="20"/>
                <w:szCs w:val="20"/>
                <w:lang w:eastAsia="sk-SK"/>
              </w:rPr>
              <w:t>animácie</w:t>
            </w:r>
          </w:p>
          <w:p w14:paraId="10C36180"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32802439"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MR</w:t>
            </w:r>
          </w:p>
        </w:tc>
        <w:tc>
          <w:tcPr>
            <w:tcW w:w="1011" w:type="dxa"/>
          </w:tcPr>
          <w:p w14:paraId="78FA6570" w14:textId="77777777" w:rsidR="00322E05" w:rsidRPr="00472258" w:rsidRDefault="00BA3251"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32 325,-</w:t>
            </w:r>
          </w:p>
        </w:tc>
        <w:tc>
          <w:tcPr>
            <w:tcW w:w="992" w:type="dxa"/>
          </w:tcPr>
          <w:p w14:paraId="39126583" w14:textId="77777777" w:rsidR="00BA3251" w:rsidRPr="002C5095" w:rsidRDefault="00D434EC" w:rsidP="00322E05">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10 775,-</w:t>
            </w:r>
          </w:p>
        </w:tc>
        <w:tc>
          <w:tcPr>
            <w:tcW w:w="1134" w:type="dxa"/>
          </w:tcPr>
          <w:p w14:paraId="11CD14C1"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276" w:type="dxa"/>
          </w:tcPr>
          <w:p w14:paraId="03A1F281" w14:textId="77777777" w:rsidR="00D434EC" w:rsidRPr="002C5095" w:rsidRDefault="00D434EC"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43 100,-</w:t>
            </w:r>
          </w:p>
        </w:tc>
        <w:tc>
          <w:tcPr>
            <w:tcW w:w="1135" w:type="dxa"/>
          </w:tcPr>
          <w:p w14:paraId="76E0EFCA"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567" w:type="dxa"/>
          </w:tcPr>
          <w:p w14:paraId="2E5C09AD"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991" w:type="dxa"/>
          </w:tcPr>
          <w:p w14:paraId="1BEBFDE7"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3" w:type="dxa"/>
          </w:tcPr>
          <w:p w14:paraId="47784868"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3" w:type="dxa"/>
          </w:tcPr>
          <w:p w14:paraId="6C7E8E2D" w14:textId="77777777" w:rsidR="00D434EC" w:rsidRPr="002C5095" w:rsidRDefault="00D434EC"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32 325,-</w:t>
            </w:r>
          </w:p>
        </w:tc>
        <w:tc>
          <w:tcPr>
            <w:tcW w:w="983" w:type="dxa"/>
          </w:tcPr>
          <w:p w14:paraId="4E2150BA" w14:textId="77777777" w:rsidR="00D434EC" w:rsidRPr="002C5095" w:rsidRDefault="00D434EC" w:rsidP="00D434EC">
            <w:pPr>
              <w:pStyle w:val="Odsekzoznamu"/>
              <w:ind w:left="0"/>
              <w:jc w:val="right"/>
              <w:rPr>
                <w:rFonts w:ascii="Times New Roman" w:hAnsi="Times New Roman" w:cs="Times New Roman"/>
                <w:sz w:val="20"/>
                <w:szCs w:val="20"/>
              </w:rPr>
            </w:pPr>
            <w:r>
              <w:rPr>
                <w:rFonts w:ascii="Times New Roman" w:hAnsi="Times New Roman" w:cs="Times New Roman"/>
                <w:sz w:val="20"/>
                <w:szCs w:val="20"/>
              </w:rPr>
              <w:t>10 775,-</w:t>
            </w:r>
          </w:p>
        </w:tc>
        <w:tc>
          <w:tcPr>
            <w:tcW w:w="1133" w:type="dxa"/>
          </w:tcPr>
          <w:p w14:paraId="6F22DD7D"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2797F029" w14:textId="77777777" w:rsidR="00D434EC" w:rsidRPr="00472258" w:rsidRDefault="00D434EC" w:rsidP="00D434EC">
            <w:pPr>
              <w:pStyle w:val="Odsekzoznamu"/>
              <w:ind w:left="0"/>
              <w:jc w:val="right"/>
              <w:rPr>
                <w:rFonts w:ascii="Times New Roman" w:hAnsi="Times New Roman" w:cs="Times New Roman"/>
                <w:sz w:val="20"/>
                <w:szCs w:val="20"/>
              </w:rPr>
            </w:pPr>
            <w:r>
              <w:rPr>
                <w:rFonts w:ascii="Times New Roman" w:hAnsi="Times New Roman" w:cs="Times New Roman"/>
                <w:sz w:val="20"/>
                <w:szCs w:val="20"/>
              </w:rPr>
              <w:t>43 100</w:t>
            </w:r>
          </w:p>
        </w:tc>
      </w:tr>
      <w:tr w:rsidR="008530FD" w:rsidRPr="00472258" w14:paraId="69BA695B" w14:textId="77777777" w:rsidTr="00084A31">
        <w:tc>
          <w:tcPr>
            <w:tcW w:w="983" w:type="dxa"/>
            <w:vMerge/>
            <w:vAlign w:val="bottom"/>
          </w:tcPr>
          <w:p w14:paraId="10A9E8BD"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61524717"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VR</w:t>
            </w:r>
          </w:p>
        </w:tc>
        <w:tc>
          <w:tcPr>
            <w:tcW w:w="1011" w:type="dxa"/>
          </w:tcPr>
          <w:p w14:paraId="2C7E328B"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992" w:type="dxa"/>
          </w:tcPr>
          <w:p w14:paraId="0065DBA3"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4" w:type="dxa"/>
          </w:tcPr>
          <w:p w14:paraId="5EA7A739"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276" w:type="dxa"/>
          </w:tcPr>
          <w:p w14:paraId="60C71996"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5" w:type="dxa"/>
          </w:tcPr>
          <w:p w14:paraId="512D7C96"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567" w:type="dxa"/>
          </w:tcPr>
          <w:p w14:paraId="59117250"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991" w:type="dxa"/>
          </w:tcPr>
          <w:p w14:paraId="0D5B4F84"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3" w:type="dxa"/>
          </w:tcPr>
          <w:p w14:paraId="03063660"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3" w:type="dxa"/>
          </w:tcPr>
          <w:p w14:paraId="2060B5ED"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983" w:type="dxa"/>
          </w:tcPr>
          <w:p w14:paraId="39300FA8" w14:textId="77777777" w:rsidR="008530FD" w:rsidRPr="002C5095" w:rsidRDefault="008530FD" w:rsidP="008530FD">
            <w:pPr>
              <w:pStyle w:val="Odsekzoznamu"/>
              <w:spacing w:line="276" w:lineRule="auto"/>
              <w:ind w:left="0"/>
              <w:rPr>
                <w:rFonts w:ascii="Times New Roman" w:hAnsi="Times New Roman" w:cs="Times New Roman"/>
                <w:sz w:val="20"/>
                <w:szCs w:val="20"/>
              </w:rPr>
            </w:pPr>
          </w:p>
        </w:tc>
        <w:tc>
          <w:tcPr>
            <w:tcW w:w="1133" w:type="dxa"/>
          </w:tcPr>
          <w:p w14:paraId="03D56040"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c>
          <w:tcPr>
            <w:tcW w:w="1133" w:type="dxa"/>
          </w:tcPr>
          <w:p w14:paraId="2BDA1DEA" w14:textId="77777777" w:rsidR="008530FD" w:rsidRPr="00472258" w:rsidRDefault="008530FD" w:rsidP="008530FD">
            <w:pPr>
              <w:pStyle w:val="Odsekzoznamu"/>
              <w:spacing w:line="276" w:lineRule="auto"/>
              <w:ind w:left="0"/>
              <w:rPr>
                <w:rFonts w:ascii="Times New Roman" w:hAnsi="Times New Roman" w:cs="Times New Roman"/>
                <w:sz w:val="20"/>
                <w:szCs w:val="20"/>
              </w:rPr>
            </w:pPr>
          </w:p>
        </w:tc>
      </w:tr>
      <w:tr w:rsidR="008530FD" w:rsidRPr="00472258" w14:paraId="64B377BC" w14:textId="77777777" w:rsidTr="00084A31">
        <w:tc>
          <w:tcPr>
            <w:tcW w:w="983" w:type="dxa"/>
            <w:vMerge w:val="restart"/>
            <w:vAlign w:val="center"/>
          </w:tcPr>
          <w:p w14:paraId="2F68AF9C"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r w:rsidRPr="00472258">
              <w:rPr>
                <w:rFonts w:ascii="Times New Roman" w:eastAsia="Times New Roman" w:hAnsi="Times New Roman" w:cs="Times New Roman"/>
                <w:color w:val="000000"/>
                <w:sz w:val="20"/>
                <w:szCs w:val="20"/>
                <w:lang w:eastAsia="sk-SK"/>
              </w:rPr>
              <w:t>SPOLU</w:t>
            </w:r>
          </w:p>
          <w:p w14:paraId="5E25CE8F" w14:textId="77777777" w:rsidR="008530FD" w:rsidRPr="00472258" w:rsidRDefault="008530FD" w:rsidP="008530FD">
            <w:pPr>
              <w:spacing w:line="276" w:lineRule="auto"/>
              <w:rPr>
                <w:rFonts w:ascii="Times New Roman" w:eastAsia="Times New Roman" w:hAnsi="Times New Roman" w:cs="Times New Roman"/>
                <w:color w:val="000000"/>
                <w:sz w:val="20"/>
                <w:szCs w:val="20"/>
                <w:lang w:eastAsia="sk-SK"/>
              </w:rPr>
            </w:pPr>
          </w:p>
        </w:tc>
        <w:tc>
          <w:tcPr>
            <w:tcW w:w="983" w:type="dxa"/>
          </w:tcPr>
          <w:p w14:paraId="6B722A73"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MR</w:t>
            </w:r>
          </w:p>
        </w:tc>
        <w:tc>
          <w:tcPr>
            <w:tcW w:w="1011" w:type="dxa"/>
          </w:tcPr>
          <w:p w14:paraId="15D36A34" w14:textId="77777777" w:rsidR="008530FD" w:rsidRDefault="008530FD" w:rsidP="008530FD">
            <w:pPr>
              <w:pStyle w:val="Odsekzoznamu"/>
              <w:spacing w:line="276" w:lineRule="auto"/>
              <w:ind w:left="0"/>
              <w:jc w:val="right"/>
              <w:rPr>
                <w:rFonts w:ascii="Times New Roman" w:hAnsi="Times New Roman" w:cs="Times New Roman"/>
                <w:sz w:val="20"/>
                <w:szCs w:val="20"/>
              </w:rPr>
            </w:pPr>
          </w:p>
          <w:p w14:paraId="6A9DFA12" w14:textId="77777777" w:rsidR="00D434EC" w:rsidRPr="00472258"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603 147,-</w:t>
            </w:r>
          </w:p>
        </w:tc>
        <w:tc>
          <w:tcPr>
            <w:tcW w:w="992" w:type="dxa"/>
          </w:tcPr>
          <w:p w14:paraId="498F72AF" w14:textId="77777777" w:rsidR="008530FD" w:rsidRDefault="008530FD" w:rsidP="00AA6347">
            <w:pPr>
              <w:pStyle w:val="Odsekzoznamu"/>
              <w:spacing w:line="276" w:lineRule="auto"/>
              <w:ind w:left="0"/>
              <w:jc w:val="right"/>
              <w:rPr>
                <w:rFonts w:ascii="Times New Roman" w:hAnsi="Times New Roman" w:cs="Times New Roman"/>
                <w:sz w:val="20"/>
                <w:szCs w:val="20"/>
              </w:rPr>
            </w:pPr>
          </w:p>
          <w:p w14:paraId="1F2F7DDD" w14:textId="77777777" w:rsidR="00786B33" w:rsidRPr="002C5095" w:rsidRDefault="00786B33" w:rsidP="00AA6347">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201 049,-</w:t>
            </w:r>
          </w:p>
        </w:tc>
        <w:tc>
          <w:tcPr>
            <w:tcW w:w="1134" w:type="dxa"/>
          </w:tcPr>
          <w:p w14:paraId="7BFC5C66" w14:textId="77777777" w:rsidR="008530FD" w:rsidRDefault="008530FD" w:rsidP="008530FD">
            <w:pPr>
              <w:pStyle w:val="Odsekzoznamu"/>
              <w:spacing w:line="276" w:lineRule="auto"/>
              <w:ind w:left="0"/>
              <w:jc w:val="right"/>
              <w:rPr>
                <w:rFonts w:ascii="Times New Roman" w:hAnsi="Times New Roman" w:cs="Times New Roman"/>
                <w:sz w:val="20"/>
                <w:szCs w:val="20"/>
              </w:rPr>
            </w:pPr>
          </w:p>
          <w:p w14:paraId="1B71C272" w14:textId="77777777" w:rsidR="00322E05" w:rsidRPr="002C5095"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459 773,51</w:t>
            </w:r>
          </w:p>
        </w:tc>
        <w:tc>
          <w:tcPr>
            <w:tcW w:w="1276" w:type="dxa"/>
          </w:tcPr>
          <w:p w14:paraId="763D5FF6" w14:textId="77777777" w:rsidR="00322E05" w:rsidRDefault="00322E05" w:rsidP="00AA6347">
            <w:pPr>
              <w:pStyle w:val="Odsekzoznamu"/>
              <w:spacing w:line="276" w:lineRule="auto"/>
              <w:ind w:left="0"/>
              <w:jc w:val="right"/>
              <w:rPr>
                <w:rFonts w:ascii="Times New Roman" w:hAnsi="Times New Roman" w:cs="Times New Roman"/>
                <w:sz w:val="20"/>
                <w:szCs w:val="20"/>
              </w:rPr>
            </w:pPr>
          </w:p>
          <w:p w14:paraId="2B974453" w14:textId="77777777" w:rsidR="00786B33" w:rsidRPr="002C5095" w:rsidRDefault="00786B33" w:rsidP="00AA6347">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1 263 969,51</w:t>
            </w:r>
          </w:p>
        </w:tc>
        <w:tc>
          <w:tcPr>
            <w:tcW w:w="1135" w:type="dxa"/>
          </w:tcPr>
          <w:p w14:paraId="6524E39D"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533CF878" w14:textId="77777777" w:rsidR="00786B33" w:rsidRPr="002C5095"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919 046,34</w:t>
            </w:r>
          </w:p>
        </w:tc>
        <w:tc>
          <w:tcPr>
            <w:tcW w:w="567" w:type="dxa"/>
          </w:tcPr>
          <w:p w14:paraId="6514E5CA"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991" w:type="dxa"/>
          </w:tcPr>
          <w:p w14:paraId="6DC05A2F" w14:textId="77777777" w:rsidR="008530FD" w:rsidRDefault="008530FD" w:rsidP="008530FD">
            <w:pPr>
              <w:pStyle w:val="Odsekzoznamu"/>
              <w:spacing w:line="276" w:lineRule="auto"/>
              <w:ind w:left="0"/>
              <w:jc w:val="right"/>
              <w:rPr>
                <w:rFonts w:ascii="Times New Roman" w:hAnsi="Times New Roman" w:cs="Times New Roman"/>
                <w:sz w:val="20"/>
                <w:szCs w:val="20"/>
              </w:rPr>
            </w:pPr>
          </w:p>
          <w:p w14:paraId="0750BB2F" w14:textId="77777777" w:rsidR="00786B33" w:rsidRPr="002C5095" w:rsidRDefault="00786B33" w:rsidP="00786B33">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306 078,72</w:t>
            </w:r>
          </w:p>
        </w:tc>
        <w:tc>
          <w:tcPr>
            <w:tcW w:w="1133" w:type="dxa"/>
          </w:tcPr>
          <w:p w14:paraId="3F29A229" w14:textId="77777777" w:rsidR="00786B33" w:rsidRDefault="00786B33" w:rsidP="008530FD">
            <w:pPr>
              <w:pStyle w:val="Odsekzoznamu"/>
              <w:spacing w:line="276" w:lineRule="auto"/>
              <w:ind w:left="0"/>
              <w:jc w:val="right"/>
              <w:rPr>
                <w:rFonts w:ascii="Times New Roman" w:hAnsi="Times New Roman" w:cs="Times New Roman"/>
                <w:sz w:val="20"/>
                <w:szCs w:val="20"/>
              </w:rPr>
            </w:pPr>
          </w:p>
          <w:p w14:paraId="3B3EDF8D" w14:textId="77777777" w:rsidR="00786B33" w:rsidRPr="002C5095"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1 225 125,06</w:t>
            </w:r>
          </w:p>
        </w:tc>
        <w:tc>
          <w:tcPr>
            <w:tcW w:w="1133" w:type="dxa"/>
          </w:tcPr>
          <w:p w14:paraId="76130A32"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537B2888" w14:textId="77777777" w:rsidR="00786B33" w:rsidRPr="002C5095"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1 522 193,34</w:t>
            </w:r>
          </w:p>
        </w:tc>
        <w:tc>
          <w:tcPr>
            <w:tcW w:w="983" w:type="dxa"/>
          </w:tcPr>
          <w:p w14:paraId="36CED9BA"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388372C3" w14:textId="77777777" w:rsidR="00786B33" w:rsidRPr="002C5095"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201 </w:t>
            </w:r>
            <w:r w:rsidR="0075714E">
              <w:rPr>
                <w:rFonts w:ascii="Times New Roman" w:hAnsi="Times New Roman" w:cs="Times New Roman"/>
                <w:sz w:val="20"/>
                <w:szCs w:val="20"/>
              </w:rPr>
              <w:t>049</w:t>
            </w:r>
            <w:r>
              <w:rPr>
                <w:rFonts w:ascii="Times New Roman" w:hAnsi="Times New Roman" w:cs="Times New Roman"/>
                <w:sz w:val="20"/>
                <w:szCs w:val="20"/>
              </w:rPr>
              <w:t>,-</w:t>
            </w:r>
          </w:p>
        </w:tc>
        <w:tc>
          <w:tcPr>
            <w:tcW w:w="1133" w:type="dxa"/>
          </w:tcPr>
          <w:p w14:paraId="25D6738A"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2F1B40A9" w14:textId="77777777" w:rsidR="00786B33" w:rsidRPr="00472258"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765 852,23</w:t>
            </w:r>
          </w:p>
        </w:tc>
        <w:tc>
          <w:tcPr>
            <w:tcW w:w="1133" w:type="dxa"/>
          </w:tcPr>
          <w:p w14:paraId="438C70D5"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7DD16242" w14:textId="77777777" w:rsidR="00786B33" w:rsidRPr="00472258" w:rsidRDefault="00786B33"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2 489 094,57</w:t>
            </w:r>
          </w:p>
        </w:tc>
      </w:tr>
      <w:tr w:rsidR="008530FD" w:rsidRPr="00472258" w14:paraId="39802196" w14:textId="77777777" w:rsidTr="00084A31">
        <w:tc>
          <w:tcPr>
            <w:tcW w:w="983" w:type="dxa"/>
            <w:vMerge/>
            <w:vAlign w:val="bottom"/>
          </w:tcPr>
          <w:p w14:paraId="54054794" w14:textId="77777777" w:rsidR="008530FD" w:rsidRPr="00472258" w:rsidRDefault="008530FD" w:rsidP="008530FD">
            <w:pPr>
              <w:spacing w:line="276" w:lineRule="auto"/>
              <w:rPr>
                <w:rFonts w:ascii="Times New Roman" w:eastAsia="Times New Roman" w:hAnsi="Times New Roman" w:cs="Times New Roman"/>
                <w:b/>
                <w:color w:val="000000"/>
                <w:sz w:val="20"/>
                <w:szCs w:val="20"/>
                <w:lang w:eastAsia="sk-SK"/>
              </w:rPr>
            </w:pPr>
          </w:p>
        </w:tc>
        <w:tc>
          <w:tcPr>
            <w:tcW w:w="983" w:type="dxa"/>
          </w:tcPr>
          <w:p w14:paraId="6997E243" w14:textId="77777777" w:rsidR="008530FD" w:rsidRPr="00472258" w:rsidRDefault="00084A31" w:rsidP="008530FD">
            <w:pPr>
              <w:pStyle w:val="Odsekzoznamu"/>
              <w:spacing w:line="276" w:lineRule="auto"/>
              <w:ind w:left="0"/>
              <w:rPr>
                <w:rFonts w:ascii="Times New Roman" w:hAnsi="Times New Roman" w:cs="Times New Roman"/>
                <w:sz w:val="20"/>
                <w:szCs w:val="20"/>
              </w:rPr>
            </w:pPr>
            <w:r>
              <w:rPr>
                <w:rFonts w:ascii="Times New Roman" w:hAnsi="Times New Roman" w:cs="Times New Roman"/>
                <w:sz w:val="20"/>
                <w:szCs w:val="20"/>
              </w:rPr>
              <w:t>VR</w:t>
            </w:r>
          </w:p>
        </w:tc>
        <w:tc>
          <w:tcPr>
            <w:tcW w:w="1011" w:type="dxa"/>
          </w:tcPr>
          <w:p w14:paraId="02D01AF5"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992" w:type="dxa"/>
          </w:tcPr>
          <w:p w14:paraId="04A6CABA"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134" w:type="dxa"/>
          </w:tcPr>
          <w:p w14:paraId="0DBBEB03"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276" w:type="dxa"/>
          </w:tcPr>
          <w:p w14:paraId="7D33875A"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135" w:type="dxa"/>
          </w:tcPr>
          <w:p w14:paraId="3CDC7E45"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567" w:type="dxa"/>
          </w:tcPr>
          <w:p w14:paraId="71E4F4F4"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991" w:type="dxa"/>
          </w:tcPr>
          <w:p w14:paraId="77963750"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58D4EFDF"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7C0328EE"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983" w:type="dxa"/>
          </w:tcPr>
          <w:p w14:paraId="20463A62"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413A8842"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c>
          <w:tcPr>
            <w:tcW w:w="1133" w:type="dxa"/>
          </w:tcPr>
          <w:p w14:paraId="7D8A30D4" w14:textId="77777777" w:rsidR="008530FD" w:rsidRPr="00472258" w:rsidRDefault="008530FD" w:rsidP="008530FD">
            <w:pPr>
              <w:pStyle w:val="Odsekzoznamu"/>
              <w:spacing w:line="276" w:lineRule="auto"/>
              <w:ind w:left="0"/>
              <w:jc w:val="right"/>
              <w:rPr>
                <w:rFonts w:ascii="Times New Roman" w:hAnsi="Times New Roman" w:cs="Times New Roman"/>
                <w:sz w:val="20"/>
                <w:szCs w:val="20"/>
              </w:rPr>
            </w:pPr>
          </w:p>
        </w:tc>
      </w:tr>
      <w:tr w:rsidR="008530FD" w:rsidRPr="00472258" w14:paraId="7B48261B" w14:textId="77777777" w:rsidTr="00084A31">
        <w:tc>
          <w:tcPr>
            <w:tcW w:w="983" w:type="dxa"/>
            <w:vMerge/>
            <w:vAlign w:val="bottom"/>
          </w:tcPr>
          <w:p w14:paraId="039558FA" w14:textId="77777777" w:rsidR="008530FD" w:rsidRPr="00472258" w:rsidRDefault="008530FD" w:rsidP="008530FD">
            <w:pPr>
              <w:spacing w:line="276" w:lineRule="auto"/>
              <w:rPr>
                <w:rFonts w:ascii="Times New Roman" w:eastAsia="Times New Roman" w:hAnsi="Times New Roman" w:cs="Times New Roman"/>
                <w:b/>
                <w:color w:val="000000"/>
                <w:sz w:val="20"/>
                <w:szCs w:val="20"/>
                <w:lang w:eastAsia="sk-SK"/>
              </w:rPr>
            </w:pPr>
          </w:p>
        </w:tc>
        <w:tc>
          <w:tcPr>
            <w:tcW w:w="983" w:type="dxa"/>
          </w:tcPr>
          <w:p w14:paraId="13832E5D" w14:textId="77777777" w:rsidR="008530FD" w:rsidRPr="00472258" w:rsidRDefault="008530FD" w:rsidP="008530FD">
            <w:pPr>
              <w:pStyle w:val="Odsekzoznamu"/>
              <w:spacing w:line="276" w:lineRule="auto"/>
              <w:ind w:left="0"/>
              <w:rPr>
                <w:rFonts w:ascii="Times New Roman" w:hAnsi="Times New Roman" w:cs="Times New Roman"/>
                <w:sz w:val="20"/>
                <w:szCs w:val="20"/>
              </w:rPr>
            </w:pPr>
            <w:r w:rsidRPr="00472258">
              <w:rPr>
                <w:rFonts w:ascii="Times New Roman" w:hAnsi="Times New Roman" w:cs="Times New Roman"/>
                <w:sz w:val="20"/>
                <w:szCs w:val="20"/>
              </w:rPr>
              <w:t>spolu</w:t>
            </w:r>
          </w:p>
        </w:tc>
        <w:tc>
          <w:tcPr>
            <w:tcW w:w="1011" w:type="dxa"/>
          </w:tcPr>
          <w:p w14:paraId="2A965A76"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65192EF1" w14:textId="77777777" w:rsidR="0075714E" w:rsidRPr="00472258"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603 147,-</w:t>
            </w:r>
          </w:p>
        </w:tc>
        <w:tc>
          <w:tcPr>
            <w:tcW w:w="992" w:type="dxa"/>
          </w:tcPr>
          <w:p w14:paraId="122AB7BC" w14:textId="77777777" w:rsidR="0075714E" w:rsidRDefault="0075714E" w:rsidP="0075714E">
            <w:pPr>
              <w:pStyle w:val="Odsekzoznamu"/>
              <w:ind w:left="0"/>
              <w:jc w:val="right"/>
              <w:rPr>
                <w:rFonts w:ascii="Times New Roman" w:hAnsi="Times New Roman" w:cs="Times New Roman"/>
                <w:sz w:val="20"/>
                <w:szCs w:val="20"/>
              </w:rPr>
            </w:pPr>
          </w:p>
          <w:p w14:paraId="0BD75528" w14:textId="77777777" w:rsidR="0075714E" w:rsidRPr="002C5095" w:rsidRDefault="0075714E" w:rsidP="0075714E">
            <w:pPr>
              <w:pStyle w:val="Odsekzoznamu"/>
              <w:ind w:left="0"/>
              <w:jc w:val="right"/>
              <w:rPr>
                <w:rFonts w:ascii="Times New Roman" w:hAnsi="Times New Roman" w:cs="Times New Roman"/>
                <w:sz w:val="20"/>
                <w:szCs w:val="20"/>
              </w:rPr>
            </w:pPr>
            <w:r>
              <w:rPr>
                <w:rFonts w:ascii="Times New Roman" w:hAnsi="Times New Roman" w:cs="Times New Roman"/>
                <w:sz w:val="20"/>
                <w:szCs w:val="20"/>
              </w:rPr>
              <w:t>201 049,-</w:t>
            </w:r>
          </w:p>
        </w:tc>
        <w:tc>
          <w:tcPr>
            <w:tcW w:w="1134" w:type="dxa"/>
          </w:tcPr>
          <w:p w14:paraId="5EEA994D"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6907FA88"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459 773,51</w:t>
            </w:r>
          </w:p>
        </w:tc>
        <w:tc>
          <w:tcPr>
            <w:tcW w:w="1276" w:type="dxa"/>
          </w:tcPr>
          <w:p w14:paraId="72233242"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4B4BFBAC"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1 263 969,51</w:t>
            </w:r>
          </w:p>
        </w:tc>
        <w:tc>
          <w:tcPr>
            <w:tcW w:w="1135" w:type="dxa"/>
          </w:tcPr>
          <w:p w14:paraId="3D02CC54"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2F657A00"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919 046,34</w:t>
            </w:r>
          </w:p>
        </w:tc>
        <w:tc>
          <w:tcPr>
            <w:tcW w:w="567" w:type="dxa"/>
          </w:tcPr>
          <w:p w14:paraId="6306106A" w14:textId="77777777" w:rsidR="008530FD" w:rsidRPr="002C5095" w:rsidRDefault="008530FD" w:rsidP="008530FD">
            <w:pPr>
              <w:pStyle w:val="Odsekzoznamu"/>
              <w:spacing w:line="276" w:lineRule="auto"/>
              <w:ind w:left="0"/>
              <w:jc w:val="right"/>
              <w:rPr>
                <w:rFonts w:ascii="Times New Roman" w:hAnsi="Times New Roman" w:cs="Times New Roman"/>
                <w:sz w:val="20"/>
                <w:szCs w:val="20"/>
              </w:rPr>
            </w:pPr>
          </w:p>
        </w:tc>
        <w:tc>
          <w:tcPr>
            <w:tcW w:w="991" w:type="dxa"/>
          </w:tcPr>
          <w:p w14:paraId="7AB0981B"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63C84FB3"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306 078,72</w:t>
            </w:r>
          </w:p>
        </w:tc>
        <w:tc>
          <w:tcPr>
            <w:tcW w:w="1133" w:type="dxa"/>
          </w:tcPr>
          <w:p w14:paraId="16A664AA"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0870910C"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1 225 125,06</w:t>
            </w:r>
          </w:p>
        </w:tc>
        <w:tc>
          <w:tcPr>
            <w:tcW w:w="1133" w:type="dxa"/>
          </w:tcPr>
          <w:p w14:paraId="6179312E" w14:textId="77777777" w:rsidR="00322E05" w:rsidRDefault="00322E05" w:rsidP="008530FD">
            <w:pPr>
              <w:pStyle w:val="Odsekzoznamu"/>
              <w:spacing w:line="276" w:lineRule="auto"/>
              <w:ind w:left="0"/>
              <w:jc w:val="right"/>
              <w:rPr>
                <w:rFonts w:ascii="Times New Roman" w:hAnsi="Times New Roman" w:cs="Times New Roman"/>
                <w:sz w:val="20"/>
                <w:szCs w:val="20"/>
              </w:rPr>
            </w:pPr>
          </w:p>
          <w:p w14:paraId="016097EB" w14:textId="77777777" w:rsidR="0075714E" w:rsidRPr="002C5095"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1 522 193,34</w:t>
            </w:r>
          </w:p>
        </w:tc>
        <w:tc>
          <w:tcPr>
            <w:tcW w:w="983" w:type="dxa"/>
          </w:tcPr>
          <w:p w14:paraId="71B0BC8E" w14:textId="77777777" w:rsidR="00322E05" w:rsidRDefault="00322E05" w:rsidP="00AA6347">
            <w:pPr>
              <w:pStyle w:val="Odsekzoznamu"/>
              <w:spacing w:line="276" w:lineRule="auto"/>
              <w:ind w:left="0"/>
              <w:jc w:val="right"/>
              <w:rPr>
                <w:rFonts w:ascii="Times New Roman" w:hAnsi="Times New Roman" w:cs="Times New Roman"/>
                <w:sz w:val="20"/>
                <w:szCs w:val="20"/>
              </w:rPr>
            </w:pPr>
          </w:p>
          <w:p w14:paraId="243E778B" w14:textId="77777777" w:rsidR="0075714E" w:rsidRPr="002C5095" w:rsidRDefault="0075714E" w:rsidP="00AA6347">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201 049,-</w:t>
            </w:r>
          </w:p>
        </w:tc>
        <w:tc>
          <w:tcPr>
            <w:tcW w:w="1133" w:type="dxa"/>
          </w:tcPr>
          <w:p w14:paraId="0B7CDA5A" w14:textId="77777777" w:rsidR="005A3F9C" w:rsidRDefault="005A3F9C" w:rsidP="008530FD">
            <w:pPr>
              <w:pStyle w:val="Odsekzoznamu"/>
              <w:spacing w:line="276" w:lineRule="auto"/>
              <w:ind w:left="0"/>
              <w:jc w:val="right"/>
              <w:rPr>
                <w:rFonts w:ascii="Times New Roman" w:hAnsi="Times New Roman" w:cs="Times New Roman"/>
                <w:sz w:val="20"/>
                <w:szCs w:val="20"/>
              </w:rPr>
            </w:pPr>
          </w:p>
          <w:p w14:paraId="4FD173C7" w14:textId="77777777" w:rsidR="0075714E" w:rsidRPr="00472258"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765 852,23</w:t>
            </w:r>
          </w:p>
        </w:tc>
        <w:tc>
          <w:tcPr>
            <w:tcW w:w="1133" w:type="dxa"/>
          </w:tcPr>
          <w:p w14:paraId="31538544" w14:textId="77777777" w:rsidR="005A3F9C" w:rsidRDefault="005A3F9C" w:rsidP="008530FD">
            <w:pPr>
              <w:pStyle w:val="Odsekzoznamu"/>
              <w:spacing w:line="276" w:lineRule="auto"/>
              <w:ind w:left="0"/>
              <w:jc w:val="right"/>
              <w:rPr>
                <w:rFonts w:ascii="Times New Roman" w:hAnsi="Times New Roman" w:cs="Times New Roman"/>
                <w:sz w:val="20"/>
                <w:szCs w:val="20"/>
              </w:rPr>
            </w:pPr>
          </w:p>
          <w:p w14:paraId="6C2C51B9" w14:textId="77777777" w:rsidR="0075714E" w:rsidRPr="00472258" w:rsidRDefault="0075714E" w:rsidP="008530FD">
            <w:pPr>
              <w:pStyle w:val="Odsekzoznamu"/>
              <w:spacing w:line="276" w:lineRule="auto"/>
              <w:ind w:left="0"/>
              <w:jc w:val="right"/>
              <w:rPr>
                <w:rFonts w:ascii="Times New Roman" w:hAnsi="Times New Roman" w:cs="Times New Roman"/>
                <w:sz w:val="20"/>
                <w:szCs w:val="20"/>
              </w:rPr>
            </w:pPr>
            <w:r>
              <w:rPr>
                <w:rFonts w:ascii="Times New Roman" w:hAnsi="Times New Roman" w:cs="Times New Roman"/>
                <w:sz w:val="20"/>
                <w:szCs w:val="20"/>
              </w:rPr>
              <w:t>2 489 094,57</w:t>
            </w:r>
          </w:p>
        </w:tc>
      </w:tr>
    </w:tbl>
    <w:p w14:paraId="19EADC69"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156" w:name="_Toc439150078"/>
      <w:bookmarkStart w:id="2157" w:name="_Toc439150434"/>
      <w:bookmarkStart w:id="2158" w:name="_Toc439150633"/>
      <w:bookmarkStart w:id="2159" w:name="_Toc439150079"/>
      <w:bookmarkStart w:id="2160" w:name="_Toc439150435"/>
      <w:bookmarkStart w:id="2161" w:name="_Toc439150634"/>
      <w:bookmarkStart w:id="2162" w:name="_Toc439150080"/>
      <w:bookmarkStart w:id="2163" w:name="_Toc439150436"/>
      <w:bookmarkStart w:id="2164" w:name="_Toc439150635"/>
      <w:bookmarkStart w:id="2165" w:name="_Toc439150081"/>
      <w:bookmarkStart w:id="2166" w:name="_Toc439150437"/>
      <w:bookmarkStart w:id="2167" w:name="_Toc439150636"/>
      <w:bookmarkStart w:id="2168" w:name="_Toc439150082"/>
      <w:bookmarkStart w:id="2169" w:name="_Toc439150438"/>
      <w:bookmarkStart w:id="2170" w:name="_Toc439150637"/>
      <w:bookmarkStart w:id="2171" w:name="_Toc439150083"/>
      <w:bookmarkStart w:id="2172" w:name="_Toc439150439"/>
      <w:bookmarkStart w:id="2173" w:name="_Toc439150638"/>
      <w:bookmarkStart w:id="2174" w:name="_Toc439150084"/>
      <w:bookmarkStart w:id="2175" w:name="_Toc439150440"/>
      <w:bookmarkStart w:id="2176" w:name="_Toc439150639"/>
      <w:bookmarkStart w:id="2177" w:name="_Toc439150085"/>
      <w:bookmarkStart w:id="2178" w:name="_Toc439150441"/>
      <w:bookmarkStart w:id="2179" w:name="_Toc439150640"/>
      <w:bookmarkStart w:id="2180" w:name="_Toc437877505"/>
      <w:bookmarkStart w:id="2181" w:name="_Toc437877703"/>
      <w:bookmarkStart w:id="2182" w:name="_Toc437877903"/>
      <w:bookmarkStart w:id="2183" w:name="_Toc437878103"/>
      <w:bookmarkStart w:id="2184" w:name="_Toc437878306"/>
      <w:bookmarkStart w:id="2185" w:name="_Toc437878510"/>
      <w:bookmarkStart w:id="2186" w:name="_Toc437878714"/>
      <w:bookmarkStart w:id="2187" w:name="_Toc437878918"/>
      <w:bookmarkStart w:id="2188" w:name="_Toc439150086"/>
      <w:bookmarkStart w:id="2189" w:name="_Toc439150442"/>
      <w:bookmarkStart w:id="2190" w:name="_Toc439150641"/>
      <w:bookmarkStart w:id="2191" w:name="_Toc485645720"/>
      <w:bookmarkStart w:id="2192" w:name="_Toc485645879"/>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621672B2"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193" w:name="_Toc437877506"/>
      <w:bookmarkStart w:id="2194" w:name="_Toc437877704"/>
      <w:bookmarkStart w:id="2195" w:name="_Toc437877904"/>
      <w:bookmarkStart w:id="2196" w:name="_Toc437878104"/>
      <w:bookmarkStart w:id="2197" w:name="_Toc437878307"/>
      <w:bookmarkStart w:id="2198" w:name="_Toc437878511"/>
      <w:bookmarkStart w:id="2199" w:name="_Toc437878715"/>
      <w:bookmarkStart w:id="2200" w:name="_Toc437878919"/>
      <w:bookmarkStart w:id="2201" w:name="_Toc439150087"/>
      <w:bookmarkStart w:id="2202" w:name="_Toc439150443"/>
      <w:bookmarkStart w:id="2203" w:name="_Toc439150642"/>
      <w:bookmarkStart w:id="2204" w:name="_Toc485645721"/>
      <w:bookmarkStart w:id="2205" w:name="_Toc485645880"/>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14:paraId="123B0C9B"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206" w:name="_Toc437877507"/>
      <w:bookmarkStart w:id="2207" w:name="_Toc437877705"/>
      <w:bookmarkStart w:id="2208" w:name="_Toc437877905"/>
      <w:bookmarkStart w:id="2209" w:name="_Toc437878105"/>
      <w:bookmarkStart w:id="2210" w:name="_Toc437878308"/>
      <w:bookmarkStart w:id="2211" w:name="_Toc437878512"/>
      <w:bookmarkStart w:id="2212" w:name="_Toc437878716"/>
      <w:bookmarkStart w:id="2213" w:name="_Toc437878920"/>
      <w:bookmarkStart w:id="2214" w:name="_Toc439150088"/>
      <w:bookmarkStart w:id="2215" w:name="_Toc439150444"/>
      <w:bookmarkStart w:id="2216" w:name="_Toc439150643"/>
      <w:bookmarkStart w:id="2217" w:name="_Toc485645722"/>
      <w:bookmarkStart w:id="2218" w:name="_Toc485645881"/>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7E5F4609"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219" w:name="_Toc437877508"/>
      <w:bookmarkStart w:id="2220" w:name="_Toc437877706"/>
      <w:bookmarkStart w:id="2221" w:name="_Toc437877906"/>
      <w:bookmarkStart w:id="2222" w:name="_Toc437878106"/>
      <w:bookmarkStart w:id="2223" w:name="_Toc437878309"/>
      <w:bookmarkStart w:id="2224" w:name="_Toc437878513"/>
      <w:bookmarkStart w:id="2225" w:name="_Toc437878717"/>
      <w:bookmarkStart w:id="2226" w:name="_Toc437878921"/>
      <w:bookmarkStart w:id="2227" w:name="_Toc439150089"/>
      <w:bookmarkStart w:id="2228" w:name="_Toc439150445"/>
      <w:bookmarkStart w:id="2229" w:name="_Toc439150644"/>
      <w:bookmarkStart w:id="2230" w:name="_Toc485645723"/>
      <w:bookmarkStart w:id="2231" w:name="_Toc485645882"/>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280EBC29"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232" w:name="_Toc437877509"/>
      <w:bookmarkStart w:id="2233" w:name="_Toc437877707"/>
      <w:bookmarkStart w:id="2234" w:name="_Toc437877907"/>
      <w:bookmarkStart w:id="2235" w:name="_Toc437878107"/>
      <w:bookmarkStart w:id="2236" w:name="_Toc437878310"/>
      <w:bookmarkStart w:id="2237" w:name="_Toc437878514"/>
      <w:bookmarkStart w:id="2238" w:name="_Toc437878718"/>
      <w:bookmarkStart w:id="2239" w:name="_Toc437878922"/>
      <w:bookmarkStart w:id="2240" w:name="_Toc439150090"/>
      <w:bookmarkStart w:id="2241" w:name="_Toc439150446"/>
      <w:bookmarkStart w:id="2242" w:name="_Toc439150645"/>
      <w:bookmarkStart w:id="2243" w:name="_Toc485645724"/>
      <w:bookmarkStart w:id="2244" w:name="_Toc485645883"/>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58553228" w14:textId="77777777" w:rsidR="00EE385A" w:rsidRPr="00EE385A" w:rsidRDefault="00EE385A" w:rsidP="003301D6">
      <w:pPr>
        <w:pStyle w:val="Odsekzoznamu"/>
        <w:keepNext/>
        <w:keepLines/>
        <w:numPr>
          <w:ilvl w:val="0"/>
          <w:numId w:val="24"/>
        </w:numPr>
        <w:spacing w:after="0" w:line="360" w:lineRule="auto"/>
        <w:contextualSpacing w:val="0"/>
        <w:outlineLvl w:val="1"/>
        <w:rPr>
          <w:rFonts w:ascii="Times New Roman" w:eastAsiaTheme="majorEastAsia" w:hAnsi="Times New Roman" w:cstheme="majorBidi"/>
          <w:b/>
          <w:vanish/>
          <w:sz w:val="24"/>
          <w:szCs w:val="26"/>
        </w:rPr>
      </w:pPr>
      <w:bookmarkStart w:id="2245" w:name="_Toc437877510"/>
      <w:bookmarkStart w:id="2246" w:name="_Toc437877708"/>
      <w:bookmarkStart w:id="2247" w:name="_Toc437877908"/>
      <w:bookmarkStart w:id="2248" w:name="_Toc437878108"/>
      <w:bookmarkStart w:id="2249" w:name="_Toc437878311"/>
      <w:bookmarkStart w:id="2250" w:name="_Toc437878515"/>
      <w:bookmarkStart w:id="2251" w:name="_Toc437878719"/>
      <w:bookmarkStart w:id="2252" w:name="_Toc437878923"/>
      <w:bookmarkStart w:id="2253" w:name="_Toc439150091"/>
      <w:bookmarkStart w:id="2254" w:name="_Toc439150447"/>
      <w:bookmarkStart w:id="2255" w:name="_Toc439150646"/>
      <w:bookmarkStart w:id="2256" w:name="_Toc485645725"/>
      <w:bookmarkStart w:id="2257" w:name="_Toc48564588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57720A63" w14:textId="77777777" w:rsidR="00EE385A" w:rsidRPr="00EE385A" w:rsidRDefault="00EE385A" w:rsidP="003301D6">
      <w:pPr>
        <w:pStyle w:val="Odsekzoznamu"/>
        <w:keepNext/>
        <w:keepLines/>
        <w:numPr>
          <w:ilvl w:val="1"/>
          <w:numId w:val="24"/>
        </w:numPr>
        <w:spacing w:after="0" w:line="360" w:lineRule="auto"/>
        <w:contextualSpacing w:val="0"/>
        <w:outlineLvl w:val="1"/>
        <w:rPr>
          <w:rFonts w:ascii="Times New Roman" w:eastAsiaTheme="majorEastAsia" w:hAnsi="Times New Roman" w:cstheme="majorBidi"/>
          <w:b/>
          <w:vanish/>
          <w:sz w:val="24"/>
          <w:szCs w:val="26"/>
        </w:rPr>
      </w:pPr>
      <w:bookmarkStart w:id="2258" w:name="_Toc437877511"/>
      <w:bookmarkStart w:id="2259" w:name="_Toc437877709"/>
      <w:bookmarkStart w:id="2260" w:name="_Toc437877909"/>
      <w:bookmarkStart w:id="2261" w:name="_Toc437878109"/>
      <w:bookmarkStart w:id="2262" w:name="_Toc437878312"/>
      <w:bookmarkStart w:id="2263" w:name="_Toc437878516"/>
      <w:bookmarkStart w:id="2264" w:name="_Toc437878720"/>
      <w:bookmarkStart w:id="2265" w:name="_Toc437878924"/>
      <w:bookmarkStart w:id="2266" w:name="_Toc439150092"/>
      <w:bookmarkStart w:id="2267" w:name="_Toc439150448"/>
      <w:bookmarkStart w:id="2268" w:name="_Toc439150647"/>
      <w:bookmarkStart w:id="2269" w:name="_Toc485645726"/>
      <w:bookmarkStart w:id="2270" w:name="_Toc485645885"/>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4D055A58" w14:textId="77777777" w:rsidR="008530FD" w:rsidRDefault="008530FD" w:rsidP="007E73EB">
      <w:pPr>
        <w:pStyle w:val="Nadpis2"/>
        <w:sectPr w:rsidR="008530FD" w:rsidSect="008530FD">
          <w:pgSz w:w="16838" w:h="11906" w:orient="landscape"/>
          <w:pgMar w:top="1701" w:right="1418" w:bottom="1134" w:left="1418" w:header="1077" w:footer="1077" w:gutter="0"/>
          <w:cols w:space="708"/>
          <w:titlePg/>
          <w:docGrid w:linePitch="360"/>
        </w:sectPr>
      </w:pPr>
    </w:p>
    <w:p w14:paraId="6167CEC3" w14:textId="77777777" w:rsidR="000527A2" w:rsidRDefault="000527A2" w:rsidP="003301D6">
      <w:pPr>
        <w:pStyle w:val="Nadpis2"/>
        <w:numPr>
          <w:ilvl w:val="1"/>
          <w:numId w:val="24"/>
        </w:numPr>
        <w:ind w:left="709"/>
      </w:pPr>
      <w:bookmarkStart w:id="2271" w:name="_Toc485645886"/>
      <w:r w:rsidRPr="00891B13">
        <w:lastRenderedPageBreak/>
        <w:t>Finančný plán pre opatrenia</w:t>
      </w:r>
      <w:bookmarkEnd w:id="2271"/>
    </w:p>
    <w:p w14:paraId="66740526" w14:textId="77777777" w:rsidR="00B5707A" w:rsidRPr="00B5707A" w:rsidRDefault="00B5707A" w:rsidP="00B5707A">
      <w:pPr>
        <w:spacing w:after="0"/>
      </w:pPr>
    </w:p>
    <w:p w14:paraId="0BF67BBE" w14:textId="77777777" w:rsidR="008530FD" w:rsidRPr="00891B13" w:rsidRDefault="00480A11" w:rsidP="008530FD">
      <w:pPr>
        <w:spacing w:after="0"/>
        <w:rPr>
          <w:rFonts w:ascii="Times New Roman" w:hAnsi="Times New Roman" w:cs="Times New Roman"/>
        </w:rPr>
      </w:pPr>
      <w:r>
        <w:rPr>
          <w:rFonts w:ascii="Times New Roman" w:hAnsi="Times New Roman" w:cs="Times New Roman"/>
          <w:sz w:val="24"/>
          <w:szCs w:val="24"/>
        </w:rPr>
        <w:t xml:space="preserve"> </w:t>
      </w:r>
      <w:r w:rsidR="008530FD" w:rsidRPr="00891B13">
        <w:rPr>
          <w:rFonts w:ascii="Times New Roman" w:hAnsi="Times New Roman" w:cs="Times New Roman"/>
          <w:b/>
        </w:rPr>
        <w:t xml:space="preserve">Tabuľka </w:t>
      </w:r>
      <w:r w:rsidR="00B5707A">
        <w:rPr>
          <w:rFonts w:ascii="Times New Roman" w:hAnsi="Times New Roman" w:cs="Times New Roman"/>
          <w:b/>
        </w:rPr>
        <w:t>6.2.1</w:t>
      </w:r>
      <w:r w:rsidR="008530FD" w:rsidRPr="00891B13">
        <w:rPr>
          <w:rFonts w:ascii="Times New Roman" w:hAnsi="Times New Roman" w:cs="Times New Roman"/>
          <w:b/>
        </w:rPr>
        <w:t xml:space="preserve"> Sumárna tabuľka finančného plánu</w:t>
      </w:r>
    </w:p>
    <w:tbl>
      <w:tblPr>
        <w:tblStyle w:val="Mriekatabuky"/>
        <w:tblW w:w="10173" w:type="dxa"/>
        <w:jc w:val="center"/>
        <w:tblLook w:val="04A0" w:firstRow="1" w:lastRow="0" w:firstColumn="1" w:lastColumn="0" w:noHBand="0" w:noVBand="1"/>
      </w:tblPr>
      <w:tblGrid>
        <w:gridCol w:w="2220"/>
        <w:gridCol w:w="913"/>
        <w:gridCol w:w="1060"/>
        <w:gridCol w:w="1371"/>
        <w:gridCol w:w="1206"/>
        <w:gridCol w:w="1247"/>
        <w:gridCol w:w="1206"/>
        <w:gridCol w:w="950"/>
      </w:tblGrid>
      <w:tr w:rsidR="008530FD" w:rsidRPr="00891B13" w14:paraId="2ED4B147" w14:textId="77777777" w:rsidTr="00637C8B">
        <w:trPr>
          <w:jc w:val="center"/>
        </w:trPr>
        <w:tc>
          <w:tcPr>
            <w:tcW w:w="2220" w:type="dxa"/>
          </w:tcPr>
          <w:p w14:paraId="09F5E1F2"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Opatrenie stratégie CLLD</w:t>
            </w:r>
          </w:p>
        </w:tc>
        <w:tc>
          <w:tcPr>
            <w:tcW w:w="913" w:type="dxa"/>
          </w:tcPr>
          <w:p w14:paraId="38E9C40D"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Fond</w:t>
            </w:r>
          </w:p>
        </w:tc>
        <w:tc>
          <w:tcPr>
            <w:tcW w:w="1060" w:type="dxa"/>
          </w:tcPr>
          <w:p w14:paraId="7B12F6F8" w14:textId="77777777" w:rsidR="008530FD" w:rsidRPr="007E73EB" w:rsidRDefault="008530FD" w:rsidP="008530FD">
            <w:pPr>
              <w:spacing w:line="276" w:lineRule="auto"/>
              <w:jc w:val="center"/>
              <w:rPr>
                <w:rFonts w:ascii="Times New Roman" w:hAnsi="Times New Roman" w:cs="Times New Roman"/>
                <w:b/>
                <w:vertAlign w:val="superscript"/>
              </w:rPr>
            </w:pPr>
            <w:r w:rsidRPr="00891B13">
              <w:rPr>
                <w:rFonts w:ascii="Times New Roman" w:hAnsi="Times New Roman" w:cs="Times New Roman"/>
                <w:b/>
              </w:rPr>
              <w:t>Región</w:t>
            </w:r>
            <w:r w:rsidR="00C50E03">
              <w:rPr>
                <w:rStyle w:val="Odkaznapoznmkupodiarou"/>
                <w:rFonts w:ascii="Times New Roman" w:hAnsi="Times New Roman" w:cs="Times New Roman"/>
                <w:b/>
              </w:rPr>
              <w:footnoteReference w:id="78"/>
            </w:r>
          </w:p>
        </w:tc>
        <w:tc>
          <w:tcPr>
            <w:tcW w:w="1371" w:type="dxa"/>
          </w:tcPr>
          <w:p w14:paraId="2199768A"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Spolu</w:t>
            </w:r>
          </w:p>
        </w:tc>
        <w:tc>
          <w:tcPr>
            <w:tcW w:w="1206" w:type="dxa"/>
          </w:tcPr>
          <w:p w14:paraId="17655C16"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EÚ</w:t>
            </w:r>
          </w:p>
        </w:tc>
        <w:tc>
          <w:tcPr>
            <w:tcW w:w="1247" w:type="dxa"/>
          </w:tcPr>
          <w:p w14:paraId="268A6434"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ŠR</w:t>
            </w:r>
          </w:p>
        </w:tc>
        <w:tc>
          <w:tcPr>
            <w:tcW w:w="1206" w:type="dxa"/>
          </w:tcPr>
          <w:p w14:paraId="2632D8D0"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VZ</w:t>
            </w:r>
          </w:p>
        </w:tc>
        <w:tc>
          <w:tcPr>
            <w:tcW w:w="950" w:type="dxa"/>
          </w:tcPr>
          <w:p w14:paraId="07B466B4" w14:textId="77777777" w:rsidR="008530FD" w:rsidRPr="00891B13" w:rsidRDefault="008530FD" w:rsidP="008530FD">
            <w:pPr>
              <w:spacing w:line="276" w:lineRule="auto"/>
              <w:jc w:val="center"/>
              <w:rPr>
                <w:rFonts w:ascii="Times New Roman" w:hAnsi="Times New Roman" w:cs="Times New Roman"/>
                <w:b/>
              </w:rPr>
            </w:pPr>
            <w:r w:rsidRPr="00891B13">
              <w:rPr>
                <w:rFonts w:ascii="Times New Roman" w:hAnsi="Times New Roman" w:cs="Times New Roman"/>
                <w:b/>
              </w:rPr>
              <w:t>iné</w:t>
            </w:r>
          </w:p>
        </w:tc>
      </w:tr>
      <w:tr w:rsidR="008530FD" w:rsidRPr="00891B13" w14:paraId="0E2B93F3" w14:textId="77777777" w:rsidTr="00637C8B">
        <w:trPr>
          <w:trHeight w:val="1521"/>
          <w:jc w:val="center"/>
        </w:trPr>
        <w:tc>
          <w:tcPr>
            <w:tcW w:w="2220" w:type="dxa"/>
            <w:vMerge w:val="restart"/>
            <w:vAlign w:val="center"/>
          </w:tcPr>
          <w:p w14:paraId="30A1B8E0"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1.1 Podpora na investície do vytvárania, zlepšovania alebo rozširovania miestnych základných služieb pre vidiecke obyvateľstvo vrátane voľného času a kultúry a súvisiacej infraštruktúry</w:t>
            </w:r>
          </w:p>
        </w:tc>
        <w:tc>
          <w:tcPr>
            <w:tcW w:w="913" w:type="dxa"/>
            <w:vMerge w:val="restart"/>
          </w:tcPr>
          <w:p w14:paraId="473E392C"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PRV</w:t>
            </w:r>
          </w:p>
        </w:tc>
        <w:tc>
          <w:tcPr>
            <w:tcW w:w="1060" w:type="dxa"/>
          </w:tcPr>
          <w:p w14:paraId="392437FC" w14:textId="77777777" w:rsidR="00C50E03" w:rsidRDefault="00C50E03" w:rsidP="008530FD">
            <w:pPr>
              <w:spacing w:line="276" w:lineRule="auto"/>
              <w:rPr>
                <w:rFonts w:ascii="Times New Roman" w:hAnsi="Times New Roman" w:cs="Times New Roman"/>
              </w:rPr>
            </w:pPr>
          </w:p>
          <w:p w14:paraId="3D8480B6"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r w:rsidR="008530FD" w:rsidRPr="00891B13">
              <w:rPr>
                <w:rFonts w:ascii="Times New Roman" w:hAnsi="Times New Roman" w:cs="Times New Roman"/>
              </w:rPr>
              <w:t xml:space="preserve"> </w:t>
            </w:r>
          </w:p>
        </w:tc>
        <w:tc>
          <w:tcPr>
            <w:tcW w:w="1371" w:type="dxa"/>
          </w:tcPr>
          <w:p w14:paraId="1F4A8882" w14:textId="77777777" w:rsidR="008530FD" w:rsidRDefault="008530FD" w:rsidP="008530FD">
            <w:pPr>
              <w:spacing w:line="276" w:lineRule="auto"/>
              <w:rPr>
                <w:rFonts w:ascii="Times New Roman" w:hAnsi="Times New Roman" w:cs="Times New Roman"/>
              </w:rPr>
            </w:pPr>
          </w:p>
          <w:p w14:paraId="09639429" w14:textId="77777777" w:rsidR="005A3F9C" w:rsidRDefault="005A3F9C" w:rsidP="008530FD">
            <w:pPr>
              <w:spacing w:line="276" w:lineRule="auto"/>
              <w:rPr>
                <w:rFonts w:ascii="Times New Roman" w:hAnsi="Times New Roman" w:cs="Times New Roman"/>
              </w:rPr>
            </w:pPr>
          </w:p>
          <w:p w14:paraId="4C378D76" w14:textId="77777777" w:rsidR="001C2487" w:rsidRPr="00891B13" w:rsidRDefault="00B84B06" w:rsidP="008530FD">
            <w:pPr>
              <w:spacing w:line="276" w:lineRule="auto"/>
              <w:rPr>
                <w:rFonts w:ascii="Times New Roman" w:hAnsi="Times New Roman" w:cs="Times New Roman"/>
              </w:rPr>
            </w:pPr>
            <w:r>
              <w:rPr>
                <w:rFonts w:ascii="Times New Roman" w:hAnsi="Times New Roman" w:cs="Times New Roman"/>
              </w:rPr>
              <w:t>244 800,00</w:t>
            </w:r>
          </w:p>
        </w:tc>
        <w:tc>
          <w:tcPr>
            <w:tcW w:w="1206" w:type="dxa"/>
          </w:tcPr>
          <w:p w14:paraId="0A3AB3EC" w14:textId="77777777" w:rsidR="008530FD" w:rsidRDefault="008530FD" w:rsidP="008530FD">
            <w:pPr>
              <w:spacing w:line="276" w:lineRule="auto"/>
              <w:rPr>
                <w:rFonts w:ascii="Times New Roman" w:hAnsi="Times New Roman" w:cs="Times New Roman"/>
              </w:rPr>
            </w:pPr>
          </w:p>
          <w:p w14:paraId="0915263A" w14:textId="77777777" w:rsidR="001C2487" w:rsidRDefault="001C2487" w:rsidP="008530FD">
            <w:pPr>
              <w:spacing w:line="276" w:lineRule="auto"/>
              <w:rPr>
                <w:rFonts w:ascii="Times New Roman" w:hAnsi="Times New Roman" w:cs="Times New Roman"/>
              </w:rPr>
            </w:pPr>
          </w:p>
          <w:p w14:paraId="0B68291C" w14:textId="77777777" w:rsidR="001C2487" w:rsidRPr="00891B13" w:rsidRDefault="00B84B06" w:rsidP="008530FD">
            <w:pPr>
              <w:spacing w:line="276" w:lineRule="auto"/>
              <w:rPr>
                <w:rFonts w:ascii="Times New Roman" w:hAnsi="Times New Roman" w:cs="Times New Roman"/>
              </w:rPr>
            </w:pPr>
            <w:r>
              <w:rPr>
                <w:rFonts w:ascii="Times New Roman" w:hAnsi="Times New Roman" w:cs="Times New Roman"/>
              </w:rPr>
              <w:t>174 420,00</w:t>
            </w:r>
          </w:p>
        </w:tc>
        <w:tc>
          <w:tcPr>
            <w:tcW w:w="1247" w:type="dxa"/>
          </w:tcPr>
          <w:p w14:paraId="35FDC6D4" w14:textId="77777777" w:rsidR="008530FD" w:rsidRDefault="008530FD" w:rsidP="008530FD">
            <w:pPr>
              <w:spacing w:line="276" w:lineRule="auto"/>
              <w:rPr>
                <w:rFonts w:ascii="Times New Roman" w:hAnsi="Times New Roman" w:cs="Times New Roman"/>
              </w:rPr>
            </w:pPr>
          </w:p>
          <w:p w14:paraId="63C17A92" w14:textId="77777777" w:rsidR="001C2487" w:rsidRDefault="001C2487" w:rsidP="008530FD">
            <w:pPr>
              <w:spacing w:line="276" w:lineRule="auto"/>
              <w:rPr>
                <w:rFonts w:ascii="Times New Roman" w:hAnsi="Times New Roman" w:cs="Times New Roman"/>
              </w:rPr>
            </w:pPr>
          </w:p>
          <w:p w14:paraId="10881ECA" w14:textId="77777777" w:rsidR="005A3F9C" w:rsidRPr="00891B13" w:rsidRDefault="00B84B06" w:rsidP="008530FD">
            <w:pPr>
              <w:spacing w:line="276" w:lineRule="auto"/>
              <w:rPr>
                <w:rFonts w:ascii="Times New Roman" w:hAnsi="Times New Roman" w:cs="Times New Roman"/>
              </w:rPr>
            </w:pPr>
            <w:r>
              <w:rPr>
                <w:rFonts w:ascii="Times New Roman" w:hAnsi="Times New Roman" w:cs="Times New Roman"/>
              </w:rPr>
              <w:t>58 140,00</w:t>
            </w:r>
            <w:r w:rsidR="001C2487">
              <w:rPr>
                <w:rFonts w:ascii="Times New Roman" w:hAnsi="Times New Roman" w:cs="Times New Roman"/>
              </w:rPr>
              <w:t xml:space="preserve"> </w:t>
            </w:r>
          </w:p>
        </w:tc>
        <w:tc>
          <w:tcPr>
            <w:tcW w:w="1206" w:type="dxa"/>
          </w:tcPr>
          <w:p w14:paraId="5111E680" w14:textId="77777777" w:rsidR="008530FD" w:rsidRDefault="008530FD" w:rsidP="008530FD">
            <w:pPr>
              <w:spacing w:line="276" w:lineRule="auto"/>
              <w:rPr>
                <w:rFonts w:ascii="Times New Roman" w:hAnsi="Times New Roman" w:cs="Times New Roman"/>
              </w:rPr>
            </w:pPr>
          </w:p>
          <w:p w14:paraId="36C4A267" w14:textId="77777777" w:rsidR="005A3F9C" w:rsidRDefault="005A3F9C" w:rsidP="008530FD">
            <w:pPr>
              <w:spacing w:line="276" w:lineRule="auto"/>
              <w:rPr>
                <w:rFonts w:ascii="Times New Roman" w:hAnsi="Times New Roman" w:cs="Times New Roman"/>
              </w:rPr>
            </w:pPr>
          </w:p>
          <w:p w14:paraId="30972475" w14:textId="77777777" w:rsidR="001C2487" w:rsidRPr="00891B13" w:rsidRDefault="00B84B06" w:rsidP="008530FD">
            <w:pPr>
              <w:spacing w:line="276" w:lineRule="auto"/>
              <w:rPr>
                <w:rFonts w:ascii="Times New Roman" w:hAnsi="Times New Roman" w:cs="Times New Roman"/>
              </w:rPr>
            </w:pPr>
            <w:r>
              <w:rPr>
                <w:rFonts w:ascii="Times New Roman" w:hAnsi="Times New Roman" w:cs="Times New Roman"/>
              </w:rPr>
              <w:t>12 240,00</w:t>
            </w:r>
          </w:p>
        </w:tc>
        <w:tc>
          <w:tcPr>
            <w:tcW w:w="950" w:type="dxa"/>
          </w:tcPr>
          <w:p w14:paraId="315E6A95"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r>
      <w:tr w:rsidR="008530FD" w:rsidRPr="00891B13" w14:paraId="22D2D743" w14:textId="77777777" w:rsidTr="00637C8B">
        <w:trPr>
          <w:jc w:val="center"/>
        </w:trPr>
        <w:tc>
          <w:tcPr>
            <w:tcW w:w="2220" w:type="dxa"/>
            <w:vMerge/>
            <w:vAlign w:val="center"/>
          </w:tcPr>
          <w:p w14:paraId="38D77F22" w14:textId="77777777" w:rsidR="008530FD" w:rsidRPr="00891B13" w:rsidRDefault="008530FD" w:rsidP="008530FD">
            <w:pPr>
              <w:spacing w:line="276" w:lineRule="auto"/>
              <w:rPr>
                <w:rFonts w:ascii="Times New Roman" w:hAnsi="Times New Roman" w:cs="Times New Roman"/>
              </w:rPr>
            </w:pPr>
          </w:p>
        </w:tc>
        <w:tc>
          <w:tcPr>
            <w:tcW w:w="913" w:type="dxa"/>
            <w:vMerge/>
          </w:tcPr>
          <w:p w14:paraId="3E351B7C" w14:textId="77777777" w:rsidR="008530FD" w:rsidRPr="00891B13" w:rsidRDefault="008530FD" w:rsidP="008530FD">
            <w:pPr>
              <w:spacing w:line="276" w:lineRule="auto"/>
              <w:rPr>
                <w:rFonts w:ascii="Times New Roman" w:hAnsi="Times New Roman" w:cs="Times New Roman"/>
              </w:rPr>
            </w:pPr>
          </w:p>
        </w:tc>
        <w:tc>
          <w:tcPr>
            <w:tcW w:w="1060" w:type="dxa"/>
          </w:tcPr>
          <w:p w14:paraId="166C3F9D" w14:textId="77777777" w:rsidR="008530FD" w:rsidRDefault="008530FD" w:rsidP="008530FD">
            <w:pPr>
              <w:spacing w:line="276" w:lineRule="auto"/>
              <w:rPr>
                <w:rFonts w:ascii="Times New Roman" w:hAnsi="Times New Roman" w:cs="Times New Roman"/>
              </w:rPr>
            </w:pPr>
          </w:p>
          <w:p w14:paraId="51D11C29" w14:textId="77777777" w:rsidR="00C50E03"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5E323E97" w14:textId="77777777" w:rsidR="008530FD" w:rsidRPr="00891B13" w:rsidRDefault="008530FD" w:rsidP="008530FD">
            <w:pPr>
              <w:spacing w:line="276" w:lineRule="auto"/>
              <w:rPr>
                <w:rFonts w:ascii="Times New Roman" w:hAnsi="Times New Roman" w:cs="Times New Roman"/>
              </w:rPr>
            </w:pPr>
          </w:p>
        </w:tc>
        <w:tc>
          <w:tcPr>
            <w:tcW w:w="1206" w:type="dxa"/>
          </w:tcPr>
          <w:p w14:paraId="4897FDB2" w14:textId="77777777" w:rsidR="008530FD" w:rsidRPr="00891B13" w:rsidRDefault="008530FD" w:rsidP="008530FD">
            <w:pPr>
              <w:spacing w:line="276" w:lineRule="auto"/>
              <w:rPr>
                <w:rFonts w:ascii="Times New Roman" w:hAnsi="Times New Roman" w:cs="Times New Roman"/>
              </w:rPr>
            </w:pPr>
          </w:p>
        </w:tc>
        <w:tc>
          <w:tcPr>
            <w:tcW w:w="1247" w:type="dxa"/>
          </w:tcPr>
          <w:p w14:paraId="09EC8383" w14:textId="77777777" w:rsidR="008530FD" w:rsidRPr="00891B13" w:rsidRDefault="008530FD" w:rsidP="008530FD">
            <w:pPr>
              <w:spacing w:line="276" w:lineRule="auto"/>
              <w:rPr>
                <w:rFonts w:ascii="Times New Roman" w:hAnsi="Times New Roman" w:cs="Times New Roman"/>
              </w:rPr>
            </w:pPr>
          </w:p>
        </w:tc>
        <w:tc>
          <w:tcPr>
            <w:tcW w:w="1206" w:type="dxa"/>
          </w:tcPr>
          <w:p w14:paraId="517DF701" w14:textId="77777777" w:rsidR="008530FD" w:rsidRPr="00891B13" w:rsidRDefault="008530FD" w:rsidP="008530FD">
            <w:pPr>
              <w:spacing w:line="276" w:lineRule="auto"/>
              <w:rPr>
                <w:rFonts w:ascii="Times New Roman" w:hAnsi="Times New Roman" w:cs="Times New Roman"/>
              </w:rPr>
            </w:pPr>
          </w:p>
        </w:tc>
        <w:tc>
          <w:tcPr>
            <w:tcW w:w="950" w:type="dxa"/>
          </w:tcPr>
          <w:p w14:paraId="6879C6F7" w14:textId="77777777" w:rsidR="008530FD" w:rsidRPr="00891B13" w:rsidRDefault="008530FD" w:rsidP="008530FD">
            <w:pPr>
              <w:spacing w:line="276" w:lineRule="auto"/>
              <w:rPr>
                <w:rFonts w:ascii="Times New Roman" w:hAnsi="Times New Roman" w:cs="Times New Roman"/>
              </w:rPr>
            </w:pPr>
          </w:p>
        </w:tc>
      </w:tr>
      <w:tr w:rsidR="008530FD" w:rsidRPr="00891B13" w14:paraId="3F22AAC9" w14:textId="77777777" w:rsidTr="00637C8B">
        <w:trPr>
          <w:jc w:val="center"/>
        </w:trPr>
        <w:tc>
          <w:tcPr>
            <w:tcW w:w="2220" w:type="dxa"/>
            <w:vMerge w:val="restart"/>
            <w:vAlign w:val="center"/>
          </w:tcPr>
          <w:p w14:paraId="0D98DD8A"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1.2 Rozvoj základnej infraštruktúry v mestách a obciach</w:t>
            </w:r>
          </w:p>
        </w:tc>
        <w:tc>
          <w:tcPr>
            <w:tcW w:w="913" w:type="dxa"/>
            <w:vMerge w:val="restart"/>
          </w:tcPr>
          <w:p w14:paraId="3C77B373"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IROP</w:t>
            </w:r>
          </w:p>
        </w:tc>
        <w:tc>
          <w:tcPr>
            <w:tcW w:w="1060" w:type="dxa"/>
          </w:tcPr>
          <w:p w14:paraId="572C2515" w14:textId="77777777" w:rsidR="00C50E03" w:rsidRDefault="00C50E03" w:rsidP="008530FD">
            <w:pPr>
              <w:spacing w:line="276" w:lineRule="auto"/>
              <w:rPr>
                <w:rFonts w:ascii="Times New Roman" w:hAnsi="Times New Roman" w:cs="Times New Roman"/>
              </w:rPr>
            </w:pPr>
          </w:p>
          <w:p w14:paraId="53977C75"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r w:rsidR="008530FD" w:rsidRPr="00891B13">
              <w:rPr>
                <w:rFonts w:ascii="Times New Roman" w:hAnsi="Times New Roman" w:cs="Times New Roman"/>
              </w:rPr>
              <w:t xml:space="preserve"> </w:t>
            </w:r>
          </w:p>
        </w:tc>
        <w:tc>
          <w:tcPr>
            <w:tcW w:w="1371" w:type="dxa"/>
          </w:tcPr>
          <w:p w14:paraId="758E6892" w14:textId="77777777" w:rsidR="008530FD" w:rsidRDefault="008530FD" w:rsidP="008530FD">
            <w:pPr>
              <w:spacing w:line="276" w:lineRule="auto"/>
              <w:rPr>
                <w:rFonts w:ascii="Times New Roman" w:hAnsi="Times New Roman" w:cs="Times New Roman"/>
              </w:rPr>
            </w:pPr>
          </w:p>
          <w:p w14:paraId="734EA199" w14:textId="77777777" w:rsidR="005A3F9C" w:rsidRDefault="005A3F9C" w:rsidP="008530FD">
            <w:pPr>
              <w:spacing w:line="276" w:lineRule="auto"/>
              <w:rPr>
                <w:rFonts w:ascii="Times New Roman" w:hAnsi="Times New Roman" w:cs="Times New Roman"/>
              </w:rPr>
            </w:pPr>
          </w:p>
          <w:p w14:paraId="2A9A4E77"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355 231,58</w:t>
            </w:r>
          </w:p>
        </w:tc>
        <w:tc>
          <w:tcPr>
            <w:tcW w:w="1206" w:type="dxa"/>
          </w:tcPr>
          <w:p w14:paraId="7CC0E3A6" w14:textId="77777777" w:rsidR="008530FD" w:rsidRDefault="008530FD" w:rsidP="008530FD">
            <w:pPr>
              <w:spacing w:line="276" w:lineRule="auto"/>
              <w:rPr>
                <w:rFonts w:ascii="Times New Roman" w:hAnsi="Times New Roman" w:cs="Times New Roman"/>
              </w:rPr>
            </w:pPr>
          </w:p>
          <w:p w14:paraId="0EEA4EE5" w14:textId="77777777" w:rsidR="005A3F9C" w:rsidRDefault="005A3F9C" w:rsidP="008530FD">
            <w:pPr>
              <w:spacing w:line="276" w:lineRule="auto"/>
              <w:rPr>
                <w:rFonts w:ascii="Times New Roman" w:hAnsi="Times New Roman" w:cs="Times New Roman"/>
              </w:rPr>
            </w:pPr>
          </w:p>
          <w:p w14:paraId="4DE156C5"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337 470,00</w:t>
            </w:r>
          </w:p>
        </w:tc>
        <w:tc>
          <w:tcPr>
            <w:tcW w:w="1247" w:type="dxa"/>
          </w:tcPr>
          <w:p w14:paraId="58CAAA84"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c>
          <w:tcPr>
            <w:tcW w:w="1206" w:type="dxa"/>
          </w:tcPr>
          <w:p w14:paraId="71FC79D1" w14:textId="77777777" w:rsidR="008530FD" w:rsidRDefault="008530FD" w:rsidP="008530FD">
            <w:pPr>
              <w:spacing w:line="276" w:lineRule="auto"/>
              <w:rPr>
                <w:rFonts w:ascii="Times New Roman" w:hAnsi="Times New Roman" w:cs="Times New Roman"/>
              </w:rPr>
            </w:pPr>
          </w:p>
          <w:p w14:paraId="7DDA4E65" w14:textId="77777777" w:rsidR="005A3F9C" w:rsidRDefault="005A3F9C" w:rsidP="008530FD">
            <w:pPr>
              <w:spacing w:line="276" w:lineRule="auto"/>
              <w:rPr>
                <w:rFonts w:ascii="Times New Roman" w:hAnsi="Times New Roman" w:cs="Times New Roman"/>
              </w:rPr>
            </w:pPr>
          </w:p>
          <w:p w14:paraId="3AFE621E"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17 761,58</w:t>
            </w:r>
          </w:p>
        </w:tc>
        <w:tc>
          <w:tcPr>
            <w:tcW w:w="950" w:type="dxa"/>
          </w:tcPr>
          <w:p w14:paraId="4C06E241"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r>
      <w:tr w:rsidR="008530FD" w:rsidRPr="00891B13" w14:paraId="585AFD9C" w14:textId="77777777" w:rsidTr="00637C8B">
        <w:trPr>
          <w:jc w:val="center"/>
        </w:trPr>
        <w:tc>
          <w:tcPr>
            <w:tcW w:w="2220" w:type="dxa"/>
            <w:vMerge/>
          </w:tcPr>
          <w:p w14:paraId="2FFEAC53" w14:textId="77777777" w:rsidR="008530FD" w:rsidRPr="00891B13" w:rsidRDefault="008530FD" w:rsidP="008530FD">
            <w:pPr>
              <w:spacing w:line="276" w:lineRule="auto"/>
              <w:rPr>
                <w:rFonts w:ascii="Times New Roman" w:hAnsi="Times New Roman" w:cs="Times New Roman"/>
              </w:rPr>
            </w:pPr>
          </w:p>
        </w:tc>
        <w:tc>
          <w:tcPr>
            <w:tcW w:w="913" w:type="dxa"/>
            <w:vMerge/>
          </w:tcPr>
          <w:p w14:paraId="5825B4AF" w14:textId="77777777" w:rsidR="008530FD" w:rsidRPr="00891B13" w:rsidRDefault="008530FD" w:rsidP="008530FD">
            <w:pPr>
              <w:spacing w:line="276" w:lineRule="auto"/>
              <w:rPr>
                <w:rFonts w:ascii="Times New Roman" w:hAnsi="Times New Roman" w:cs="Times New Roman"/>
              </w:rPr>
            </w:pPr>
          </w:p>
        </w:tc>
        <w:tc>
          <w:tcPr>
            <w:tcW w:w="1060" w:type="dxa"/>
          </w:tcPr>
          <w:p w14:paraId="399170D2" w14:textId="77777777" w:rsidR="008530FD" w:rsidRDefault="008530FD" w:rsidP="008530FD">
            <w:pPr>
              <w:spacing w:line="276" w:lineRule="auto"/>
              <w:rPr>
                <w:rFonts w:ascii="Times New Roman" w:hAnsi="Times New Roman" w:cs="Times New Roman"/>
              </w:rPr>
            </w:pPr>
          </w:p>
          <w:p w14:paraId="1BA1FA90" w14:textId="77777777" w:rsidR="00C50E03"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30162AB9" w14:textId="77777777" w:rsidR="008530FD" w:rsidRPr="00891B13" w:rsidRDefault="008530FD" w:rsidP="008530FD">
            <w:pPr>
              <w:spacing w:line="276" w:lineRule="auto"/>
              <w:rPr>
                <w:rFonts w:ascii="Times New Roman" w:hAnsi="Times New Roman" w:cs="Times New Roman"/>
              </w:rPr>
            </w:pPr>
          </w:p>
        </w:tc>
        <w:tc>
          <w:tcPr>
            <w:tcW w:w="1206" w:type="dxa"/>
          </w:tcPr>
          <w:p w14:paraId="5D71CED3" w14:textId="77777777" w:rsidR="008530FD" w:rsidRPr="00891B13" w:rsidRDefault="008530FD" w:rsidP="008530FD">
            <w:pPr>
              <w:spacing w:line="276" w:lineRule="auto"/>
              <w:rPr>
                <w:rFonts w:ascii="Times New Roman" w:hAnsi="Times New Roman" w:cs="Times New Roman"/>
              </w:rPr>
            </w:pPr>
          </w:p>
        </w:tc>
        <w:tc>
          <w:tcPr>
            <w:tcW w:w="1247" w:type="dxa"/>
          </w:tcPr>
          <w:p w14:paraId="721869C3" w14:textId="77777777" w:rsidR="008530FD" w:rsidRPr="00891B13" w:rsidRDefault="008530FD" w:rsidP="008530FD">
            <w:pPr>
              <w:spacing w:line="276" w:lineRule="auto"/>
              <w:rPr>
                <w:rFonts w:ascii="Times New Roman" w:hAnsi="Times New Roman" w:cs="Times New Roman"/>
              </w:rPr>
            </w:pPr>
          </w:p>
        </w:tc>
        <w:tc>
          <w:tcPr>
            <w:tcW w:w="1206" w:type="dxa"/>
          </w:tcPr>
          <w:p w14:paraId="2D9E5A5F" w14:textId="77777777" w:rsidR="008530FD" w:rsidRPr="00891B13" w:rsidRDefault="008530FD" w:rsidP="008530FD">
            <w:pPr>
              <w:spacing w:line="276" w:lineRule="auto"/>
              <w:rPr>
                <w:rFonts w:ascii="Times New Roman" w:hAnsi="Times New Roman" w:cs="Times New Roman"/>
              </w:rPr>
            </w:pPr>
          </w:p>
        </w:tc>
        <w:tc>
          <w:tcPr>
            <w:tcW w:w="950" w:type="dxa"/>
          </w:tcPr>
          <w:p w14:paraId="2EFDC428" w14:textId="77777777" w:rsidR="008530FD" w:rsidRPr="00891B13" w:rsidRDefault="008530FD" w:rsidP="008530FD">
            <w:pPr>
              <w:spacing w:line="276" w:lineRule="auto"/>
              <w:rPr>
                <w:rFonts w:ascii="Times New Roman" w:hAnsi="Times New Roman" w:cs="Times New Roman"/>
              </w:rPr>
            </w:pPr>
          </w:p>
        </w:tc>
      </w:tr>
      <w:tr w:rsidR="008530FD" w:rsidRPr="00891B13" w14:paraId="5146C499" w14:textId="77777777" w:rsidTr="00637C8B">
        <w:trPr>
          <w:trHeight w:val="1545"/>
          <w:jc w:val="center"/>
        </w:trPr>
        <w:tc>
          <w:tcPr>
            <w:tcW w:w="2220" w:type="dxa"/>
            <w:vMerge w:val="restart"/>
            <w:vAlign w:val="center"/>
          </w:tcPr>
          <w:p w14:paraId="35C023A9"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2.1 Podpora na investície do rekreačnej infraštruktúry, turistických informácií a do turistickej infraštruktúry malých rozmerov na verejné využitie</w:t>
            </w:r>
          </w:p>
        </w:tc>
        <w:tc>
          <w:tcPr>
            <w:tcW w:w="913" w:type="dxa"/>
          </w:tcPr>
          <w:p w14:paraId="2724EA01"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PRV</w:t>
            </w:r>
          </w:p>
        </w:tc>
        <w:tc>
          <w:tcPr>
            <w:tcW w:w="1060" w:type="dxa"/>
          </w:tcPr>
          <w:p w14:paraId="4E31F983" w14:textId="77777777" w:rsidR="008530FD" w:rsidRDefault="008530FD" w:rsidP="008530FD">
            <w:pPr>
              <w:spacing w:line="276" w:lineRule="auto"/>
              <w:rPr>
                <w:rFonts w:ascii="Times New Roman" w:hAnsi="Times New Roman" w:cs="Times New Roman"/>
              </w:rPr>
            </w:pPr>
          </w:p>
          <w:p w14:paraId="6E3DE590" w14:textId="77777777" w:rsidR="00C50E03" w:rsidRPr="00891B13" w:rsidRDefault="00C50E03" w:rsidP="008530FD">
            <w:pPr>
              <w:spacing w:line="276" w:lineRule="auto"/>
              <w:rPr>
                <w:rFonts w:ascii="Times New Roman" w:hAnsi="Times New Roman" w:cs="Times New Roman"/>
              </w:rPr>
            </w:pPr>
            <w:r>
              <w:rPr>
                <w:rFonts w:ascii="Times New Roman" w:hAnsi="Times New Roman" w:cs="Times New Roman"/>
              </w:rPr>
              <w:t>MR</w:t>
            </w:r>
          </w:p>
        </w:tc>
        <w:tc>
          <w:tcPr>
            <w:tcW w:w="1371" w:type="dxa"/>
          </w:tcPr>
          <w:p w14:paraId="579CB062" w14:textId="77777777" w:rsidR="008530FD" w:rsidRDefault="008530FD" w:rsidP="008530FD">
            <w:pPr>
              <w:spacing w:line="276" w:lineRule="auto"/>
              <w:rPr>
                <w:rFonts w:ascii="Times New Roman" w:hAnsi="Times New Roman" w:cs="Times New Roman"/>
              </w:rPr>
            </w:pPr>
          </w:p>
          <w:p w14:paraId="31278F2C" w14:textId="77777777" w:rsidR="005A3F9C" w:rsidRDefault="005A3F9C" w:rsidP="008530FD">
            <w:pPr>
              <w:spacing w:line="276" w:lineRule="auto"/>
              <w:rPr>
                <w:rFonts w:ascii="Times New Roman" w:hAnsi="Times New Roman" w:cs="Times New Roman"/>
              </w:rPr>
            </w:pPr>
          </w:p>
          <w:p w14:paraId="55AC5038" w14:textId="77777777" w:rsidR="001C2487" w:rsidRPr="00891B13" w:rsidRDefault="00B84B06" w:rsidP="008530FD">
            <w:pPr>
              <w:spacing w:line="276" w:lineRule="auto"/>
              <w:rPr>
                <w:rFonts w:ascii="Times New Roman" w:hAnsi="Times New Roman" w:cs="Times New Roman"/>
              </w:rPr>
            </w:pPr>
            <w:r>
              <w:rPr>
                <w:rFonts w:ascii="Times New Roman" w:hAnsi="Times New Roman" w:cs="Times New Roman"/>
              </w:rPr>
              <w:t>155 776,84</w:t>
            </w:r>
          </w:p>
        </w:tc>
        <w:tc>
          <w:tcPr>
            <w:tcW w:w="1206" w:type="dxa"/>
          </w:tcPr>
          <w:p w14:paraId="4E8E47E3" w14:textId="77777777" w:rsidR="008530FD" w:rsidRDefault="008530FD" w:rsidP="008530FD">
            <w:pPr>
              <w:spacing w:line="276" w:lineRule="auto"/>
              <w:rPr>
                <w:rFonts w:ascii="Times New Roman" w:hAnsi="Times New Roman" w:cs="Times New Roman"/>
              </w:rPr>
            </w:pPr>
          </w:p>
          <w:p w14:paraId="4368BD9C" w14:textId="77777777" w:rsidR="001C2487" w:rsidRDefault="001C2487" w:rsidP="008530FD">
            <w:pPr>
              <w:spacing w:line="276" w:lineRule="auto"/>
              <w:rPr>
                <w:rFonts w:ascii="Times New Roman" w:hAnsi="Times New Roman" w:cs="Times New Roman"/>
              </w:rPr>
            </w:pPr>
          </w:p>
          <w:p w14:paraId="243EE3F6" w14:textId="77777777" w:rsidR="005A3F9C" w:rsidRPr="00891B13" w:rsidRDefault="00B84B06" w:rsidP="008530FD">
            <w:pPr>
              <w:spacing w:line="276" w:lineRule="auto"/>
              <w:rPr>
                <w:rFonts w:ascii="Times New Roman" w:hAnsi="Times New Roman" w:cs="Times New Roman"/>
              </w:rPr>
            </w:pPr>
            <w:r>
              <w:rPr>
                <w:rFonts w:ascii="Times New Roman" w:hAnsi="Times New Roman" w:cs="Times New Roman"/>
              </w:rPr>
              <w:t>110 991,00</w:t>
            </w:r>
          </w:p>
        </w:tc>
        <w:tc>
          <w:tcPr>
            <w:tcW w:w="1247" w:type="dxa"/>
          </w:tcPr>
          <w:p w14:paraId="1BBC297D" w14:textId="77777777" w:rsidR="008530FD" w:rsidRDefault="008530FD" w:rsidP="008530FD">
            <w:pPr>
              <w:spacing w:line="276" w:lineRule="auto"/>
              <w:rPr>
                <w:rFonts w:ascii="Times New Roman" w:hAnsi="Times New Roman" w:cs="Times New Roman"/>
              </w:rPr>
            </w:pPr>
          </w:p>
          <w:p w14:paraId="1C906113" w14:textId="77777777" w:rsidR="005A3F9C" w:rsidRDefault="005A3F9C" w:rsidP="008530FD">
            <w:pPr>
              <w:spacing w:line="276" w:lineRule="auto"/>
              <w:rPr>
                <w:rFonts w:ascii="Times New Roman" w:hAnsi="Times New Roman" w:cs="Times New Roman"/>
              </w:rPr>
            </w:pPr>
          </w:p>
          <w:p w14:paraId="69E8E660" w14:textId="77777777" w:rsidR="001C2487" w:rsidRPr="00891B13" w:rsidRDefault="00B84B06" w:rsidP="008530FD">
            <w:pPr>
              <w:spacing w:line="276" w:lineRule="auto"/>
              <w:rPr>
                <w:rFonts w:ascii="Times New Roman" w:hAnsi="Times New Roman" w:cs="Times New Roman"/>
              </w:rPr>
            </w:pPr>
            <w:r>
              <w:rPr>
                <w:rFonts w:ascii="Times New Roman" w:hAnsi="Times New Roman" w:cs="Times New Roman"/>
              </w:rPr>
              <w:t>36 997,00</w:t>
            </w:r>
          </w:p>
        </w:tc>
        <w:tc>
          <w:tcPr>
            <w:tcW w:w="1206" w:type="dxa"/>
          </w:tcPr>
          <w:p w14:paraId="26DACDDD" w14:textId="77777777" w:rsidR="008530FD" w:rsidRDefault="008530FD" w:rsidP="008530FD">
            <w:pPr>
              <w:spacing w:line="276" w:lineRule="auto"/>
              <w:rPr>
                <w:rFonts w:ascii="Times New Roman" w:hAnsi="Times New Roman" w:cs="Times New Roman"/>
              </w:rPr>
            </w:pPr>
          </w:p>
          <w:p w14:paraId="33185AB9" w14:textId="77777777" w:rsidR="005A3F9C" w:rsidRDefault="005A3F9C" w:rsidP="008530FD">
            <w:pPr>
              <w:spacing w:line="276" w:lineRule="auto"/>
              <w:rPr>
                <w:rFonts w:ascii="Times New Roman" w:hAnsi="Times New Roman" w:cs="Times New Roman"/>
              </w:rPr>
            </w:pPr>
          </w:p>
          <w:p w14:paraId="485D30F7" w14:textId="77777777" w:rsidR="00B84B06" w:rsidRPr="00B84B06" w:rsidRDefault="00B84B06" w:rsidP="00B84B06">
            <w:pPr>
              <w:rPr>
                <w:rFonts w:ascii="Times New Roman" w:hAnsi="Times New Roman" w:cs="Times New Roman"/>
              </w:rPr>
            </w:pPr>
            <w:r>
              <w:rPr>
                <w:rFonts w:ascii="Times New Roman" w:hAnsi="Times New Roman" w:cs="Times New Roman"/>
              </w:rPr>
              <w:t>7 788,84</w:t>
            </w:r>
          </w:p>
        </w:tc>
        <w:tc>
          <w:tcPr>
            <w:tcW w:w="950" w:type="dxa"/>
          </w:tcPr>
          <w:p w14:paraId="3A2C51B1"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r>
      <w:tr w:rsidR="008530FD" w:rsidRPr="00891B13" w14:paraId="603BF6F3" w14:textId="77777777" w:rsidTr="00637C8B">
        <w:trPr>
          <w:jc w:val="center"/>
        </w:trPr>
        <w:tc>
          <w:tcPr>
            <w:tcW w:w="2220" w:type="dxa"/>
            <w:vMerge/>
          </w:tcPr>
          <w:p w14:paraId="22F0FE7F" w14:textId="77777777" w:rsidR="008530FD" w:rsidRPr="00891B13" w:rsidRDefault="008530FD" w:rsidP="008530FD">
            <w:pPr>
              <w:spacing w:line="276" w:lineRule="auto"/>
              <w:rPr>
                <w:rFonts w:ascii="Times New Roman" w:hAnsi="Times New Roman" w:cs="Times New Roman"/>
              </w:rPr>
            </w:pPr>
          </w:p>
        </w:tc>
        <w:tc>
          <w:tcPr>
            <w:tcW w:w="913" w:type="dxa"/>
          </w:tcPr>
          <w:p w14:paraId="12600A9B" w14:textId="77777777" w:rsidR="008530FD" w:rsidRPr="00891B13" w:rsidRDefault="008530FD" w:rsidP="008530FD">
            <w:pPr>
              <w:spacing w:line="276" w:lineRule="auto"/>
              <w:rPr>
                <w:rFonts w:ascii="Times New Roman" w:hAnsi="Times New Roman" w:cs="Times New Roman"/>
              </w:rPr>
            </w:pPr>
          </w:p>
        </w:tc>
        <w:tc>
          <w:tcPr>
            <w:tcW w:w="1060" w:type="dxa"/>
          </w:tcPr>
          <w:p w14:paraId="0983A631" w14:textId="77777777" w:rsidR="008530FD" w:rsidRDefault="008530FD" w:rsidP="008530FD">
            <w:pPr>
              <w:spacing w:line="276" w:lineRule="auto"/>
              <w:rPr>
                <w:rFonts w:ascii="Times New Roman" w:hAnsi="Times New Roman" w:cs="Times New Roman"/>
              </w:rPr>
            </w:pPr>
          </w:p>
          <w:p w14:paraId="1A8B5D07" w14:textId="77777777" w:rsidR="00C50E03"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6F7C83FF" w14:textId="77777777" w:rsidR="008530FD" w:rsidRPr="00891B13" w:rsidRDefault="008530FD" w:rsidP="008530FD">
            <w:pPr>
              <w:spacing w:line="276" w:lineRule="auto"/>
              <w:rPr>
                <w:rFonts w:ascii="Times New Roman" w:hAnsi="Times New Roman" w:cs="Times New Roman"/>
              </w:rPr>
            </w:pPr>
          </w:p>
        </w:tc>
        <w:tc>
          <w:tcPr>
            <w:tcW w:w="1206" w:type="dxa"/>
          </w:tcPr>
          <w:p w14:paraId="16E0BF28" w14:textId="77777777" w:rsidR="008530FD" w:rsidRPr="00891B13" w:rsidRDefault="008530FD" w:rsidP="008530FD">
            <w:pPr>
              <w:spacing w:line="276" w:lineRule="auto"/>
              <w:rPr>
                <w:rFonts w:ascii="Times New Roman" w:hAnsi="Times New Roman" w:cs="Times New Roman"/>
              </w:rPr>
            </w:pPr>
          </w:p>
        </w:tc>
        <w:tc>
          <w:tcPr>
            <w:tcW w:w="1247" w:type="dxa"/>
          </w:tcPr>
          <w:p w14:paraId="47121C33" w14:textId="77777777" w:rsidR="008530FD" w:rsidRPr="00891B13" w:rsidRDefault="008530FD" w:rsidP="008530FD">
            <w:pPr>
              <w:spacing w:line="276" w:lineRule="auto"/>
              <w:rPr>
                <w:rFonts w:ascii="Times New Roman" w:hAnsi="Times New Roman" w:cs="Times New Roman"/>
              </w:rPr>
            </w:pPr>
          </w:p>
        </w:tc>
        <w:tc>
          <w:tcPr>
            <w:tcW w:w="1206" w:type="dxa"/>
          </w:tcPr>
          <w:p w14:paraId="1CD0B2FC" w14:textId="77777777" w:rsidR="008530FD" w:rsidRPr="00891B13" w:rsidRDefault="008530FD" w:rsidP="008530FD">
            <w:pPr>
              <w:spacing w:line="276" w:lineRule="auto"/>
              <w:rPr>
                <w:rFonts w:ascii="Times New Roman" w:hAnsi="Times New Roman" w:cs="Times New Roman"/>
              </w:rPr>
            </w:pPr>
          </w:p>
        </w:tc>
        <w:tc>
          <w:tcPr>
            <w:tcW w:w="950" w:type="dxa"/>
          </w:tcPr>
          <w:p w14:paraId="0D6F3AF4" w14:textId="77777777" w:rsidR="008530FD" w:rsidRDefault="008530FD" w:rsidP="008530FD">
            <w:pPr>
              <w:spacing w:line="276" w:lineRule="auto"/>
              <w:rPr>
                <w:rFonts w:ascii="Times New Roman" w:hAnsi="Times New Roman" w:cs="Times New Roman"/>
              </w:rPr>
            </w:pPr>
          </w:p>
          <w:p w14:paraId="7F35481A" w14:textId="77777777" w:rsidR="008530FD" w:rsidRDefault="008530FD" w:rsidP="008530FD">
            <w:pPr>
              <w:spacing w:line="276" w:lineRule="auto"/>
              <w:rPr>
                <w:rFonts w:ascii="Times New Roman" w:hAnsi="Times New Roman" w:cs="Times New Roman"/>
              </w:rPr>
            </w:pPr>
          </w:p>
          <w:p w14:paraId="3A1C06C1" w14:textId="77777777" w:rsidR="008530FD" w:rsidRPr="00891B13" w:rsidRDefault="008530FD" w:rsidP="008530FD">
            <w:pPr>
              <w:spacing w:line="276" w:lineRule="auto"/>
              <w:rPr>
                <w:rFonts w:ascii="Times New Roman" w:hAnsi="Times New Roman" w:cs="Times New Roman"/>
              </w:rPr>
            </w:pPr>
          </w:p>
        </w:tc>
      </w:tr>
      <w:tr w:rsidR="008530FD" w:rsidRPr="00891B13" w14:paraId="309C2E74" w14:textId="77777777" w:rsidTr="00637C8B">
        <w:trPr>
          <w:jc w:val="center"/>
        </w:trPr>
        <w:tc>
          <w:tcPr>
            <w:tcW w:w="2220" w:type="dxa"/>
            <w:vMerge w:val="restart"/>
            <w:vAlign w:val="center"/>
          </w:tcPr>
          <w:p w14:paraId="777DA423"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2.3 Podpora na investície do rozvoja vidieckeho cestovného ruchu a agroturistiky</w:t>
            </w:r>
          </w:p>
        </w:tc>
        <w:tc>
          <w:tcPr>
            <w:tcW w:w="913" w:type="dxa"/>
          </w:tcPr>
          <w:p w14:paraId="2A0EC715"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PRV</w:t>
            </w:r>
          </w:p>
        </w:tc>
        <w:tc>
          <w:tcPr>
            <w:tcW w:w="1060" w:type="dxa"/>
          </w:tcPr>
          <w:p w14:paraId="13F8278E"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p>
        </w:tc>
        <w:tc>
          <w:tcPr>
            <w:tcW w:w="1371" w:type="dxa"/>
          </w:tcPr>
          <w:p w14:paraId="32122B88" w14:textId="77777777" w:rsidR="008530FD" w:rsidRDefault="008530FD" w:rsidP="008530FD">
            <w:pPr>
              <w:spacing w:line="276" w:lineRule="auto"/>
              <w:rPr>
                <w:rFonts w:ascii="Times New Roman" w:hAnsi="Times New Roman" w:cs="Times New Roman"/>
              </w:rPr>
            </w:pPr>
          </w:p>
          <w:p w14:paraId="7E1CDC0A" w14:textId="77777777" w:rsidR="001C2487" w:rsidRDefault="001C2487" w:rsidP="008530FD">
            <w:pPr>
              <w:spacing w:line="276" w:lineRule="auto"/>
              <w:rPr>
                <w:rFonts w:ascii="Times New Roman" w:hAnsi="Times New Roman" w:cs="Times New Roman"/>
              </w:rPr>
            </w:pPr>
          </w:p>
          <w:p w14:paraId="34327175" w14:textId="77777777" w:rsidR="005A3F9C" w:rsidRPr="00891B13" w:rsidRDefault="001C2487" w:rsidP="008530FD">
            <w:pPr>
              <w:spacing w:line="276" w:lineRule="auto"/>
              <w:rPr>
                <w:rFonts w:ascii="Times New Roman" w:hAnsi="Times New Roman" w:cs="Times New Roman"/>
              </w:rPr>
            </w:pPr>
            <w:r>
              <w:rPr>
                <w:rFonts w:ascii="Times New Roman" w:hAnsi="Times New Roman" w:cs="Times New Roman"/>
              </w:rPr>
              <w:t xml:space="preserve">591 966,67 </w:t>
            </w:r>
          </w:p>
        </w:tc>
        <w:tc>
          <w:tcPr>
            <w:tcW w:w="1206" w:type="dxa"/>
          </w:tcPr>
          <w:p w14:paraId="0E3758DE" w14:textId="77777777" w:rsidR="005A3F9C" w:rsidRDefault="005A3F9C" w:rsidP="008530FD">
            <w:pPr>
              <w:spacing w:line="276" w:lineRule="auto"/>
              <w:rPr>
                <w:rFonts w:ascii="Times New Roman" w:hAnsi="Times New Roman" w:cs="Times New Roman"/>
              </w:rPr>
            </w:pPr>
          </w:p>
          <w:p w14:paraId="7C58FB6F"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199 788,75</w:t>
            </w:r>
          </w:p>
        </w:tc>
        <w:tc>
          <w:tcPr>
            <w:tcW w:w="1247" w:type="dxa"/>
          </w:tcPr>
          <w:p w14:paraId="7CB2D9C4" w14:textId="77777777" w:rsidR="008530FD" w:rsidRDefault="008530FD" w:rsidP="008530FD">
            <w:pPr>
              <w:spacing w:line="276" w:lineRule="auto"/>
              <w:rPr>
                <w:rFonts w:ascii="Times New Roman" w:hAnsi="Times New Roman" w:cs="Times New Roman"/>
              </w:rPr>
            </w:pPr>
          </w:p>
          <w:p w14:paraId="74592B90" w14:textId="77777777" w:rsidR="005A3F9C" w:rsidRDefault="005A3F9C" w:rsidP="008530FD">
            <w:pPr>
              <w:spacing w:line="276" w:lineRule="auto"/>
              <w:rPr>
                <w:rFonts w:ascii="Times New Roman" w:hAnsi="Times New Roman" w:cs="Times New Roman"/>
              </w:rPr>
            </w:pPr>
          </w:p>
          <w:p w14:paraId="1BE91ACA"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66 596,25</w:t>
            </w:r>
          </w:p>
        </w:tc>
        <w:tc>
          <w:tcPr>
            <w:tcW w:w="1206" w:type="dxa"/>
          </w:tcPr>
          <w:p w14:paraId="58B58B60" w14:textId="77777777" w:rsidR="005A3F9C" w:rsidRDefault="005A3F9C" w:rsidP="008530FD">
            <w:pPr>
              <w:spacing w:line="276" w:lineRule="auto"/>
              <w:rPr>
                <w:rFonts w:ascii="Times New Roman" w:hAnsi="Times New Roman" w:cs="Times New Roman"/>
              </w:rPr>
            </w:pPr>
          </w:p>
          <w:p w14:paraId="47B0D377" w14:textId="77777777" w:rsidR="008530FD" w:rsidRDefault="008530FD" w:rsidP="008530FD">
            <w:pPr>
              <w:spacing w:line="276" w:lineRule="auto"/>
              <w:rPr>
                <w:rFonts w:ascii="Times New Roman" w:hAnsi="Times New Roman" w:cs="Times New Roman"/>
              </w:rPr>
            </w:pPr>
          </w:p>
          <w:p w14:paraId="65AD6427"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325 581,67</w:t>
            </w:r>
          </w:p>
        </w:tc>
        <w:tc>
          <w:tcPr>
            <w:tcW w:w="950" w:type="dxa"/>
          </w:tcPr>
          <w:p w14:paraId="47E829E6" w14:textId="77777777" w:rsidR="008530FD" w:rsidRPr="00891B13" w:rsidRDefault="005A3F9C" w:rsidP="008530FD">
            <w:pPr>
              <w:spacing w:line="276" w:lineRule="auto"/>
              <w:rPr>
                <w:rFonts w:ascii="Times New Roman" w:hAnsi="Times New Roman" w:cs="Times New Roman"/>
              </w:rPr>
            </w:pPr>
            <w:r>
              <w:rPr>
                <w:rFonts w:ascii="Times New Roman" w:hAnsi="Times New Roman" w:cs="Times New Roman"/>
              </w:rPr>
              <w:t>-</w:t>
            </w:r>
          </w:p>
        </w:tc>
      </w:tr>
      <w:tr w:rsidR="008530FD" w:rsidRPr="00891B13" w14:paraId="0F8A991E" w14:textId="77777777" w:rsidTr="00637C8B">
        <w:trPr>
          <w:jc w:val="center"/>
        </w:trPr>
        <w:tc>
          <w:tcPr>
            <w:tcW w:w="2220" w:type="dxa"/>
            <w:vMerge/>
          </w:tcPr>
          <w:p w14:paraId="72AEE012" w14:textId="77777777" w:rsidR="008530FD" w:rsidRPr="00891B13" w:rsidRDefault="008530FD" w:rsidP="008530FD">
            <w:pPr>
              <w:spacing w:line="276" w:lineRule="auto"/>
              <w:rPr>
                <w:rFonts w:ascii="Times New Roman" w:hAnsi="Times New Roman" w:cs="Times New Roman"/>
              </w:rPr>
            </w:pPr>
          </w:p>
        </w:tc>
        <w:tc>
          <w:tcPr>
            <w:tcW w:w="913" w:type="dxa"/>
          </w:tcPr>
          <w:p w14:paraId="39D6FAC4" w14:textId="77777777" w:rsidR="008530FD" w:rsidRPr="00891B13" w:rsidRDefault="008530FD" w:rsidP="008530FD">
            <w:pPr>
              <w:spacing w:line="276" w:lineRule="auto"/>
              <w:rPr>
                <w:rFonts w:ascii="Times New Roman" w:hAnsi="Times New Roman" w:cs="Times New Roman"/>
              </w:rPr>
            </w:pPr>
          </w:p>
        </w:tc>
        <w:tc>
          <w:tcPr>
            <w:tcW w:w="1060" w:type="dxa"/>
          </w:tcPr>
          <w:p w14:paraId="075EFE29"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62490CE9" w14:textId="77777777" w:rsidR="008530FD" w:rsidRPr="00891B13" w:rsidRDefault="008530FD" w:rsidP="008530FD">
            <w:pPr>
              <w:spacing w:line="276" w:lineRule="auto"/>
              <w:rPr>
                <w:rFonts w:ascii="Times New Roman" w:hAnsi="Times New Roman" w:cs="Times New Roman"/>
              </w:rPr>
            </w:pPr>
          </w:p>
        </w:tc>
        <w:tc>
          <w:tcPr>
            <w:tcW w:w="1206" w:type="dxa"/>
          </w:tcPr>
          <w:p w14:paraId="27813251" w14:textId="77777777" w:rsidR="008530FD" w:rsidRPr="00891B13" w:rsidRDefault="008530FD" w:rsidP="008530FD">
            <w:pPr>
              <w:spacing w:line="276" w:lineRule="auto"/>
              <w:rPr>
                <w:rFonts w:ascii="Times New Roman" w:hAnsi="Times New Roman" w:cs="Times New Roman"/>
              </w:rPr>
            </w:pPr>
          </w:p>
        </w:tc>
        <w:tc>
          <w:tcPr>
            <w:tcW w:w="1247" w:type="dxa"/>
          </w:tcPr>
          <w:p w14:paraId="227427F1" w14:textId="77777777" w:rsidR="008530FD" w:rsidRPr="00891B13" w:rsidRDefault="008530FD" w:rsidP="008530FD">
            <w:pPr>
              <w:spacing w:line="276" w:lineRule="auto"/>
              <w:rPr>
                <w:rFonts w:ascii="Times New Roman" w:hAnsi="Times New Roman" w:cs="Times New Roman"/>
              </w:rPr>
            </w:pPr>
          </w:p>
        </w:tc>
        <w:tc>
          <w:tcPr>
            <w:tcW w:w="1206" w:type="dxa"/>
          </w:tcPr>
          <w:p w14:paraId="5D2D0C36" w14:textId="77777777" w:rsidR="008530FD" w:rsidRPr="00891B13" w:rsidRDefault="008530FD" w:rsidP="008530FD">
            <w:pPr>
              <w:spacing w:line="276" w:lineRule="auto"/>
              <w:rPr>
                <w:rFonts w:ascii="Times New Roman" w:hAnsi="Times New Roman" w:cs="Times New Roman"/>
              </w:rPr>
            </w:pPr>
          </w:p>
        </w:tc>
        <w:tc>
          <w:tcPr>
            <w:tcW w:w="950" w:type="dxa"/>
          </w:tcPr>
          <w:p w14:paraId="243A4E48" w14:textId="77777777" w:rsidR="008530FD" w:rsidRDefault="008530FD" w:rsidP="008530FD">
            <w:pPr>
              <w:spacing w:line="276" w:lineRule="auto"/>
              <w:rPr>
                <w:rFonts w:ascii="Times New Roman" w:hAnsi="Times New Roman" w:cs="Times New Roman"/>
              </w:rPr>
            </w:pPr>
          </w:p>
          <w:p w14:paraId="6BD9F1C0" w14:textId="77777777" w:rsidR="008530FD" w:rsidRDefault="008530FD" w:rsidP="008530FD">
            <w:pPr>
              <w:spacing w:line="276" w:lineRule="auto"/>
              <w:rPr>
                <w:rFonts w:ascii="Times New Roman" w:hAnsi="Times New Roman" w:cs="Times New Roman"/>
              </w:rPr>
            </w:pPr>
          </w:p>
          <w:p w14:paraId="231C4B89" w14:textId="77777777" w:rsidR="008530FD" w:rsidRPr="00891B13" w:rsidRDefault="008530FD" w:rsidP="008530FD">
            <w:pPr>
              <w:spacing w:line="276" w:lineRule="auto"/>
              <w:rPr>
                <w:rFonts w:ascii="Times New Roman" w:hAnsi="Times New Roman" w:cs="Times New Roman"/>
              </w:rPr>
            </w:pPr>
          </w:p>
        </w:tc>
      </w:tr>
      <w:tr w:rsidR="0022711D" w:rsidRPr="00891B13" w14:paraId="5AAD7C6C" w14:textId="77777777" w:rsidTr="00637C8B">
        <w:trPr>
          <w:jc w:val="center"/>
        </w:trPr>
        <w:tc>
          <w:tcPr>
            <w:tcW w:w="2220" w:type="dxa"/>
            <w:vMerge w:val="restart"/>
            <w:vAlign w:val="center"/>
          </w:tcPr>
          <w:p w14:paraId="5320DF47" w14:textId="77777777" w:rsidR="0022711D" w:rsidRPr="00321834" w:rsidRDefault="0022711D" w:rsidP="0022711D">
            <w:pPr>
              <w:rPr>
                <w:rFonts w:ascii="Times New Roman" w:hAnsi="Times New Roman" w:cs="Times New Roman"/>
              </w:rPr>
            </w:pPr>
            <w:r w:rsidRPr="00321834">
              <w:rPr>
                <w:rFonts w:ascii="Times New Roman" w:hAnsi="Times New Roman" w:cs="Times New Roman"/>
              </w:rPr>
              <w:t>2.4  Budovanie a značenie jazdeckých a bežkárskych trás</w:t>
            </w:r>
          </w:p>
        </w:tc>
        <w:tc>
          <w:tcPr>
            <w:tcW w:w="913" w:type="dxa"/>
          </w:tcPr>
          <w:p w14:paraId="2F22764B" w14:textId="77777777" w:rsidR="0022711D" w:rsidRPr="00891B13" w:rsidRDefault="0022711D" w:rsidP="0022711D">
            <w:pPr>
              <w:spacing w:line="276" w:lineRule="auto"/>
              <w:rPr>
                <w:rFonts w:ascii="Times New Roman" w:hAnsi="Times New Roman" w:cs="Times New Roman"/>
              </w:rPr>
            </w:pPr>
            <w:r>
              <w:rPr>
                <w:rFonts w:ascii="Times New Roman" w:hAnsi="Times New Roman" w:cs="Times New Roman"/>
              </w:rPr>
              <w:t>Interreg V - A</w:t>
            </w:r>
          </w:p>
        </w:tc>
        <w:tc>
          <w:tcPr>
            <w:tcW w:w="1060" w:type="dxa"/>
          </w:tcPr>
          <w:p w14:paraId="5820EA5F" w14:textId="77777777" w:rsidR="0022711D" w:rsidRPr="00891B13" w:rsidRDefault="00C50E03" w:rsidP="0022711D">
            <w:pPr>
              <w:spacing w:line="276" w:lineRule="auto"/>
              <w:rPr>
                <w:rFonts w:ascii="Times New Roman" w:hAnsi="Times New Roman" w:cs="Times New Roman"/>
              </w:rPr>
            </w:pPr>
            <w:r>
              <w:rPr>
                <w:rFonts w:ascii="Times New Roman" w:hAnsi="Times New Roman" w:cs="Times New Roman"/>
              </w:rPr>
              <w:t>MR</w:t>
            </w:r>
            <w:r w:rsidR="0022711D" w:rsidRPr="00891B13">
              <w:rPr>
                <w:rFonts w:ascii="Times New Roman" w:hAnsi="Times New Roman" w:cs="Times New Roman"/>
              </w:rPr>
              <w:t xml:space="preserve"> </w:t>
            </w:r>
          </w:p>
        </w:tc>
        <w:tc>
          <w:tcPr>
            <w:tcW w:w="1371" w:type="dxa"/>
          </w:tcPr>
          <w:p w14:paraId="01CC1129" w14:textId="77777777" w:rsidR="005A3F9C" w:rsidRPr="00891B13" w:rsidRDefault="005A3F9C" w:rsidP="0022711D">
            <w:pPr>
              <w:spacing w:line="276" w:lineRule="auto"/>
              <w:rPr>
                <w:rFonts w:ascii="Times New Roman" w:hAnsi="Times New Roman" w:cs="Times New Roman"/>
              </w:rPr>
            </w:pPr>
          </w:p>
        </w:tc>
        <w:tc>
          <w:tcPr>
            <w:tcW w:w="1206" w:type="dxa"/>
          </w:tcPr>
          <w:p w14:paraId="0CBB12C9" w14:textId="77777777" w:rsidR="0022711D" w:rsidRPr="00891B13" w:rsidRDefault="0022711D" w:rsidP="0022711D">
            <w:pPr>
              <w:spacing w:line="276" w:lineRule="auto"/>
              <w:rPr>
                <w:rFonts w:ascii="Times New Roman" w:hAnsi="Times New Roman" w:cs="Times New Roman"/>
              </w:rPr>
            </w:pPr>
          </w:p>
        </w:tc>
        <w:tc>
          <w:tcPr>
            <w:tcW w:w="1247" w:type="dxa"/>
          </w:tcPr>
          <w:p w14:paraId="7FCC6808" w14:textId="77777777" w:rsidR="005A3F9C" w:rsidRPr="00891B13" w:rsidRDefault="005A3F9C" w:rsidP="0022711D">
            <w:pPr>
              <w:spacing w:line="276" w:lineRule="auto"/>
              <w:rPr>
                <w:rFonts w:ascii="Times New Roman" w:hAnsi="Times New Roman" w:cs="Times New Roman"/>
              </w:rPr>
            </w:pPr>
          </w:p>
        </w:tc>
        <w:tc>
          <w:tcPr>
            <w:tcW w:w="1206" w:type="dxa"/>
          </w:tcPr>
          <w:p w14:paraId="5FC008E2" w14:textId="77777777" w:rsidR="005A3F9C" w:rsidRPr="00891B13" w:rsidRDefault="005A3F9C" w:rsidP="0022711D">
            <w:pPr>
              <w:spacing w:line="276" w:lineRule="auto"/>
              <w:rPr>
                <w:rFonts w:ascii="Times New Roman" w:hAnsi="Times New Roman" w:cs="Times New Roman"/>
              </w:rPr>
            </w:pPr>
          </w:p>
        </w:tc>
        <w:tc>
          <w:tcPr>
            <w:tcW w:w="950" w:type="dxa"/>
            <w:vAlign w:val="center"/>
          </w:tcPr>
          <w:p w14:paraId="6521BF1C" w14:textId="77777777" w:rsidR="0022711D" w:rsidRPr="00891B13" w:rsidRDefault="0022711D" w:rsidP="0022711D">
            <w:pPr>
              <w:spacing w:line="276" w:lineRule="auto"/>
              <w:rPr>
                <w:rFonts w:ascii="Times New Roman" w:hAnsi="Times New Roman" w:cs="Times New Roman"/>
              </w:rPr>
            </w:pPr>
            <w:r>
              <w:rPr>
                <w:rFonts w:ascii="Times New Roman" w:hAnsi="Times New Roman" w:cs="Times New Roman"/>
                <w:sz w:val="24"/>
                <w:szCs w:val="24"/>
              </w:rPr>
              <w:t>-</w:t>
            </w:r>
          </w:p>
        </w:tc>
      </w:tr>
      <w:tr w:rsidR="008530FD" w:rsidRPr="00891B13" w14:paraId="73DB8393" w14:textId="77777777" w:rsidTr="00637C8B">
        <w:trPr>
          <w:jc w:val="center"/>
        </w:trPr>
        <w:tc>
          <w:tcPr>
            <w:tcW w:w="2220" w:type="dxa"/>
            <w:vMerge/>
            <w:vAlign w:val="center"/>
          </w:tcPr>
          <w:p w14:paraId="4C8B209D" w14:textId="77777777" w:rsidR="008530FD" w:rsidRPr="00321834" w:rsidRDefault="008530FD" w:rsidP="008530FD">
            <w:pPr>
              <w:spacing w:line="276" w:lineRule="auto"/>
              <w:rPr>
                <w:rFonts w:ascii="Times New Roman" w:hAnsi="Times New Roman" w:cs="Times New Roman"/>
              </w:rPr>
            </w:pPr>
          </w:p>
        </w:tc>
        <w:tc>
          <w:tcPr>
            <w:tcW w:w="913" w:type="dxa"/>
          </w:tcPr>
          <w:p w14:paraId="106EF7A9" w14:textId="77777777" w:rsidR="008530FD" w:rsidRPr="00891B13" w:rsidRDefault="008530FD" w:rsidP="008530FD">
            <w:pPr>
              <w:spacing w:line="276" w:lineRule="auto"/>
              <w:rPr>
                <w:rFonts w:ascii="Times New Roman" w:hAnsi="Times New Roman" w:cs="Times New Roman"/>
              </w:rPr>
            </w:pPr>
          </w:p>
        </w:tc>
        <w:tc>
          <w:tcPr>
            <w:tcW w:w="1060" w:type="dxa"/>
          </w:tcPr>
          <w:p w14:paraId="0C1FD2F5"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r w:rsidR="008530FD" w:rsidRPr="00891B13">
              <w:rPr>
                <w:rFonts w:ascii="Times New Roman" w:hAnsi="Times New Roman" w:cs="Times New Roman"/>
              </w:rPr>
              <w:t xml:space="preserve"> </w:t>
            </w:r>
          </w:p>
        </w:tc>
        <w:tc>
          <w:tcPr>
            <w:tcW w:w="1371" w:type="dxa"/>
          </w:tcPr>
          <w:p w14:paraId="3BECBC33" w14:textId="77777777" w:rsidR="008530FD" w:rsidRPr="00891B13" w:rsidRDefault="008530FD" w:rsidP="008530FD">
            <w:pPr>
              <w:spacing w:line="276" w:lineRule="auto"/>
              <w:rPr>
                <w:rFonts w:ascii="Times New Roman" w:hAnsi="Times New Roman" w:cs="Times New Roman"/>
              </w:rPr>
            </w:pPr>
          </w:p>
        </w:tc>
        <w:tc>
          <w:tcPr>
            <w:tcW w:w="1206" w:type="dxa"/>
          </w:tcPr>
          <w:p w14:paraId="03FCB70A" w14:textId="77777777" w:rsidR="008530FD" w:rsidRPr="00891B13" w:rsidRDefault="008530FD" w:rsidP="008530FD">
            <w:pPr>
              <w:spacing w:line="276" w:lineRule="auto"/>
              <w:rPr>
                <w:rFonts w:ascii="Times New Roman" w:hAnsi="Times New Roman" w:cs="Times New Roman"/>
              </w:rPr>
            </w:pPr>
          </w:p>
        </w:tc>
        <w:tc>
          <w:tcPr>
            <w:tcW w:w="1247" w:type="dxa"/>
          </w:tcPr>
          <w:p w14:paraId="1106AB31" w14:textId="77777777" w:rsidR="008530FD" w:rsidRPr="00891B13" w:rsidRDefault="008530FD" w:rsidP="008530FD">
            <w:pPr>
              <w:spacing w:line="276" w:lineRule="auto"/>
              <w:rPr>
                <w:rFonts w:ascii="Times New Roman" w:hAnsi="Times New Roman" w:cs="Times New Roman"/>
              </w:rPr>
            </w:pPr>
          </w:p>
        </w:tc>
        <w:tc>
          <w:tcPr>
            <w:tcW w:w="1206" w:type="dxa"/>
          </w:tcPr>
          <w:p w14:paraId="47E21EE3" w14:textId="77777777" w:rsidR="008530FD" w:rsidRPr="00891B13" w:rsidRDefault="008530FD" w:rsidP="008530FD">
            <w:pPr>
              <w:spacing w:line="276" w:lineRule="auto"/>
              <w:rPr>
                <w:rFonts w:ascii="Times New Roman" w:hAnsi="Times New Roman" w:cs="Times New Roman"/>
              </w:rPr>
            </w:pPr>
          </w:p>
        </w:tc>
        <w:tc>
          <w:tcPr>
            <w:tcW w:w="950" w:type="dxa"/>
          </w:tcPr>
          <w:p w14:paraId="48C7CB1F" w14:textId="77777777" w:rsidR="008530FD" w:rsidRDefault="008530FD" w:rsidP="008530FD">
            <w:pPr>
              <w:spacing w:line="276" w:lineRule="auto"/>
              <w:rPr>
                <w:rFonts w:ascii="Times New Roman" w:hAnsi="Times New Roman" w:cs="Times New Roman"/>
              </w:rPr>
            </w:pPr>
          </w:p>
          <w:p w14:paraId="33C84A3D" w14:textId="77777777" w:rsidR="008530FD" w:rsidRDefault="008530FD" w:rsidP="008530FD">
            <w:pPr>
              <w:spacing w:line="276" w:lineRule="auto"/>
              <w:rPr>
                <w:rFonts w:ascii="Times New Roman" w:hAnsi="Times New Roman" w:cs="Times New Roman"/>
              </w:rPr>
            </w:pPr>
          </w:p>
          <w:p w14:paraId="25D4E82B" w14:textId="77777777" w:rsidR="008530FD" w:rsidRPr="00891B13" w:rsidRDefault="008530FD" w:rsidP="008530FD">
            <w:pPr>
              <w:spacing w:line="276" w:lineRule="auto"/>
              <w:rPr>
                <w:rFonts w:ascii="Times New Roman" w:hAnsi="Times New Roman" w:cs="Times New Roman"/>
              </w:rPr>
            </w:pPr>
          </w:p>
        </w:tc>
      </w:tr>
      <w:tr w:rsidR="00637C8B" w:rsidRPr="00891B13" w14:paraId="114A799F" w14:textId="77777777" w:rsidTr="00637C8B">
        <w:trPr>
          <w:jc w:val="center"/>
        </w:trPr>
        <w:tc>
          <w:tcPr>
            <w:tcW w:w="2220" w:type="dxa"/>
            <w:vMerge w:val="restart"/>
            <w:vAlign w:val="center"/>
          </w:tcPr>
          <w:p w14:paraId="475382F5" w14:textId="77777777" w:rsidR="00637C8B" w:rsidRPr="00321834" w:rsidRDefault="00637C8B" w:rsidP="00637C8B">
            <w:pPr>
              <w:spacing w:line="276" w:lineRule="auto"/>
              <w:rPr>
                <w:rFonts w:ascii="Times New Roman" w:hAnsi="Times New Roman" w:cs="Times New Roman"/>
              </w:rPr>
            </w:pPr>
            <w:r w:rsidRPr="00321834">
              <w:rPr>
                <w:rFonts w:ascii="Times New Roman" w:hAnsi="Times New Roman" w:cs="Times New Roman"/>
              </w:rPr>
              <w:t xml:space="preserve">2.5 Grantový program „Podporujeme </w:t>
            </w:r>
            <w:r w:rsidRPr="00321834">
              <w:rPr>
                <w:rFonts w:ascii="Times New Roman" w:hAnsi="Times New Roman" w:cs="Times New Roman"/>
              </w:rPr>
              <w:lastRenderedPageBreak/>
              <w:t>akčných!“</w:t>
            </w:r>
          </w:p>
        </w:tc>
        <w:tc>
          <w:tcPr>
            <w:tcW w:w="913" w:type="dxa"/>
          </w:tcPr>
          <w:p w14:paraId="69D3C1D9" w14:textId="77777777" w:rsidR="00637C8B" w:rsidRPr="00891B13" w:rsidRDefault="00637C8B" w:rsidP="00637C8B">
            <w:pPr>
              <w:spacing w:line="276" w:lineRule="auto"/>
              <w:rPr>
                <w:rFonts w:ascii="Times New Roman" w:hAnsi="Times New Roman" w:cs="Times New Roman"/>
              </w:rPr>
            </w:pPr>
            <w:r>
              <w:rPr>
                <w:rFonts w:ascii="Times New Roman" w:hAnsi="Times New Roman" w:cs="Times New Roman"/>
              </w:rPr>
              <w:lastRenderedPageBreak/>
              <w:t>-</w:t>
            </w:r>
          </w:p>
        </w:tc>
        <w:tc>
          <w:tcPr>
            <w:tcW w:w="1060" w:type="dxa"/>
          </w:tcPr>
          <w:p w14:paraId="7BC0A1A8" w14:textId="77777777" w:rsidR="00637C8B" w:rsidRPr="00891B13" w:rsidRDefault="00C50E03" w:rsidP="00637C8B">
            <w:pPr>
              <w:spacing w:line="276" w:lineRule="auto"/>
              <w:rPr>
                <w:rFonts w:ascii="Times New Roman" w:hAnsi="Times New Roman" w:cs="Times New Roman"/>
              </w:rPr>
            </w:pPr>
            <w:r>
              <w:rPr>
                <w:rFonts w:ascii="Times New Roman" w:hAnsi="Times New Roman" w:cs="Times New Roman"/>
              </w:rPr>
              <w:t>MR</w:t>
            </w:r>
            <w:r w:rsidR="00637C8B" w:rsidRPr="00891B13">
              <w:rPr>
                <w:rFonts w:ascii="Times New Roman" w:hAnsi="Times New Roman" w:cs="Times New Roman"/>
              </w:rPr>
              <w:t xml:space="preserve"> </w:t>
            </w:r>
          </w:p>
        </w:tc>
        <w:tc>
          <w:tcPr>
            <w:tcW w:w="1371" w:type="dxa"/>
          </w:tcPr>
          <w:p w14:paraId="2806A597" w14:textId="77777777" w:rsidR="005A3F9C" w:rsidRDefault="005A3F9C" w:rsidP="00637C8B">
            <w:pPr>
              <w:spacing w:line="276" w:lineRule="auto"/>
              <w:rPr>
                <w:rFonts w:ascii="Times New Roman" w:hAnsi="Times New Roman" w:cs="Times New Roman"/>
                <w:sz w:val="24"/>
                <w:szCs w:val="24"/>
              </w:rPr>
            </w:pPr>
            <w:r>
              <w:rPr>
                <w:rFonts w:ascii="Times New Roman" w:hAnsi="Times New Roman" w:cs="Times New Roman"/>
                <w:sz w:val="24"/>
                <w:szCs w:val="24"/>
              </w:rPr>
              <w:t> </w:t>
            </w:r>
            <w:r w:rsidR="00C544CF">
              <w:rPr>
                <w:rFonts w:ascii="Times New Roman" w:hAnsi="Times New Roman" w:cs="Times New Roman"/>
                <w:sz w:val="24"/>
                <w:szCs w:val="24"/>
              </w:rPr>
              <w:t xml:space="preserve">  </w:t>
            </w:r>
          </w:p>
          <w:p w14:paraId="220B5990" w14:textId="77777777" w:rsidR="00C544CF" w:rsidRPr="00891B13" w:rsidRDefault="00C544CF" w:rsidP="00637C8B">
            <w:pPr>
              <w:spacing w:line="276" w:lineRule="auto"/>
              <w:rPr>
                <w:rFonts w:ascii="Times New Roman" w:hAnsi="Times New Roman" w:cs="Times New Roman"/>
              </w:rPr>
            </w:pPr>
            <w:r>
              <w:rPr>
                <w:rFonts w:ascii="Times New Roman" w:hAnsi="Times New Roman" w:cs="Times New Roman"/>
                <w:sz w:val="24"/>
                <w:szCs w:val="24"/>
              </w:rPr>
              <w:t>3 000</w:t>
            </w:r>
          </w:p>
        </w:tc>
        <w:tc>
          <w:tcPr>
            <w:tcW w:w="1206" w:type="dxa"/>
          </w:tcPr>
          <w:p w14:paraId="2877BCA2" w14:textId="77777777" w:rsidR="00637C8B" w:rsidRPr="00891B13" w:rsidRDefault="00637C8B" w:rsidP="00637C8B">
            <w:pPr>
              <w:spacing w:line="276" w:lineRule="auto"/>
              <w:rPr>
                <w:rFonts w:ascii="Times New Roman" w:hAnsi="Times New Roman" w:cs="Times New Roman"/>
              </w:rPr>
            </w:pPr>
            <w:r>
              <w:rPr>
                <w:rFonts w:ascii="Times New Roman" w:hAnsi="Times New Roman" w:cs="Times New Roman"/>
                <w:sz w:val="24"/>
                <w:szCs w:val="24"/>
              </w:rPr>
              <w:t>-</w:t>
            </w:r>
          </w:p>
        </w:tc>
        <w:tc>
          <w:tcPr>
            <w:tcW w:w="1247" w:type="dxa"/>
          </w:tcPr>
          <w:p w14:paraId="148C6C18" w14:textId="77777777" w:rsidR="00637C8B" w:rsidRPr="00891B13" w:rsidRDefault="00637C8B" w:rsidP="00637C8B">
            <w:pPr>
              <w:spacing w:line="276" w:lineRule="auto"/>
              <w:rPr>
                <w:rFonts w:ascii="Times New Roman" w:hAnsi="Times New Roman" w:cs="Times New Roman"/>
              </w:rPr>
            </w:pPr>
            <w:r>
              <w:rPr>
                <w:rFonts w:ascii="Times New Roman" w:hAnsi="Times New Roman" w:cs="Times New Roman"/>
                <w:sz w:val="24"/>
                <w:szCs w:val="24"/>
              </w:rPr>
              <w:t>-</w:t>
            </w:r>
          </w:p>
        </w:tc>
        <w:tc>
          <w:tcPr>
            <w:tcW w:w="1206" w:type="dxa"/>
          </w:tcPr>
          <w:p w14:paraId="6A1B9501" w14:textId="77777777" w:rsidR="005A3F9C" w:rsidRDefault="005A3F9C" w:rsidP="00637C8B">
            <w:pPr>
              <w:spacing w:line="276" w:lineRule="auto"/>
              <w:rPr>
                <w:rFonts w:ascii="Times New Roman" w:hAnsi="Times New Roman" w:cs="Times New Roman"/>
                <w:sz w:val="24"/>
                <w:szCs w:val="24"/>
              </w:rPr>
            </w:pPr>
            <w:r>
              <w:rPr>
                <w:rFonts w:ascii="Times New Roman" w:hAnsi="Times New Roman" w:cs="Times New Roman"/>
                <w:sz w:val="24"/>
                <w:szCs w:val="24"/>
              </w:rPr>
              <w:t> </w:t>
            </w:r>
            <w:r w:rsidR="00C544CF">
              <w:rPr>
                <w:rFonts w:ascii="Times New Roman" w:hAnsi="Times New Roman" w:cs="Times New Roman"/>
                <w:sz w:val="24"/>
                <w:szCs w:val="24"/>
              </w:rPr>
              <w:t> </w:t>
            </w:r>
          </w:p>
          <w:p w14:paraId="3F3041B9" w14:textId="77777777" w:rsidR="00C544CF" w:rsidRPr="00891B13" w:rsidRDefault="00C544CF" w:rsidP="00637C8B">
            <w:pPr>
              <w:spacing w:line="276" w:lineRule="auto"/>
              <w:rPr>
                <w:rFonts w:ascii="Times New Roman" w:hAnsi="Times New Roman" w:cs="Times New Roman"/>
              </w:rPr>
            </w:pPr>
            <w:r>
              <w:rPr>
                <w:rFonts w:ascii="Times New Roman" w:hAnsi="Times New Roman" w:cs="Times New Roman"/>
                <w:sz w:val="24"/>
                <w:szCs w:val="24"/>
              </w:rPr>
              <w:t>500</w:t>
            </w:r>
          </w:p>
        </w:tc>
        <w:tc>
          <w:tcPr>
            <w:tcW w:w="950" w:type="dxa"/>
          </w:tcPr>
          <w:p w14:paraId="39562170" w14:textId="77777777" w:rsidR="005A3F9C" w:rsidRDefault="005A3F9C" w:rsidP="00637C8B">
            <w:pPr>
              <w:spacing w:line="276" w:lineRule="auto"/>
              <w:rPr>
                <w:rFonts w:ascii="Times New Roman" w:hAnsi="Times New Roman" w:cs="Times New Roman"/>
                <w:sz w:val="24"/>
                <w:szCs w:val="24"/>
              </w:rPr>
            </w:pPr>
            <w:r>
              <w:rPr>
                <w:rFonts w:ascii="Times New Roman" w:hAnsi="Times New Roman" w:cs="Times New Roman"/>
                <w:sz w:val="24"/>
                <w:szCs w:val="24"/>
              </w:rPr>
              <w:t> </w:t>
            </w:r>
            <w:r w:rsidR="00C544CF">
              <w:rPr>
                <w:rFonts w:ascii="Times New Roman" w:hAnsi="Times New Roman" w:cs="Times New Roman"/>
                <w:sz w:val="24"/>
                <w:szCs w:val="24"/>
              </w:rPr>
              <w:t> </w:t>
            </w:r>
          </w:p>
          <w:p w14:paraId="384D8740" w14:textId="77777777" w:rsidR="00C544CF" w:rsidRPr="00891B13" w:rsidRDefault="00C544CF" w:rsidP="00637C8B">
            <w:pPr>
              <w:spacing w:line="276" w:lineRule="auto"/>
              <w:rPr>
                <w:rFonts w:ascii="Times New Roman" w:hAnsi="Times New Roman" w:cs="Times New Roman"/>
              </w:rPr>
            </w:pPr>
            <w:r>
              <w:rPr>
                <w:rFonts w:ascii="Times New Roman" w:hAnsi="Times New Roman" w:cs="Times New Roman"/>
                <w:sz w:val="24"/>
                <w:szCs w:val="24"/>
              </w:rPr>
              <w:t>2 500</w:t>
            </w:r>
          </w:p>
        </w:tc>
      </w:tr>
      <w:tr w:rsidR="008530FD" w:rsidRPr="00891B13" w14:paraId="58242C13" w14:textId="77777777" w:rsidTr="00637C8B">
        <w:trPr>
          <w:jc w:val="center"/>
        </w:trPr>
        <w:tc>
          <w:tcPr>
            <w:tcW w:w="2220" w:type="dxa"/>
            <w:vMerge/>
          </w:tcPr>
          <w:p w14:paraId="7128744B" w14:textId="77777777" w:rsidR="008530FD" w:rsidRPr="00891B13" w:rsidRDefault="008530FD" w:rsidP="008530FD">
            <w:pPr>
              <w:spacing w:line="276" w:lineRule="auto"/>
              <w:rPr>
                <w:rFonts w:ascii="Times New Roman" w:hAnsi="Times New Roman" w:cs="Times New Roman"/>
              </w:rPr>
            </w:pPr>
          </w:p>
        </w:tc>
        <w:tc>
          <w:tcPr>
            <w:tcW w:w="913" w:type="dxa"/>
          </w:tcPr>
          <w:p w14:paraId="38024F8B" w14:textId="77777777" w:rsidR="008530FD" w:rsidRPr="00891B13" w:rsidRDefault="008530FD" w:rsidP="008530FD">
            <w:pPr>
              <w:spacing w:line="276" w:lineRule="auto"/>
              <w:rPr>
                <w:rFonts w:ascii="Times New Roman" w:hAnsi="Times New Roman" w:cs="Times New Roman"/>
              </w:rPr>
            </w:pPr>
          </w:p>
        </w:tc>
        <w:tc>
          <w:tcPr>
            <w:tcW w:w="1060" w:type="dxa"/>
          </w:tcPr>
          <w:p w14:paraId="4BB2495C"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r w:rsidR="008530FD" w:rsidRPr="00891B13">
              <w:rPr>
                <w:rFonts w:ascii="Times New Roman" w:hAnsi="Times New Roman" w:cs="Times New Roman"/>
              </w:rPr>
              <w:t xml:space="preserve"> </w:t>
            </w:r>
          </w:p>
        </w:tc>
        <w:tc>
          <w:tcPr>
            <w:tcW w:w="1371" w:type="dxa"/>
          </w:tcPr>
          <w:p w14:paraId="11B51B4D" w14:textId="77777777" w:rsidR="008530FD" w:rsidRPr="00891B13" w:rsidRDefault="008530FD" w:rsidP="008530FD">
            <w:pPr>
              <w:spacing w:line="276" w:lineRule="auto"/>
              <w:rPr>
                <w:rFonts w:ascii="Times New Roman" w:hAnsi="Times New Roman" w:cs="Times New Roman"/>
              </w:rPr>
            </w:pPr>
          </w:p>
        </w:tc>
        <w:tc>
          <w:tcPr>
            <w:tcW w:w="1206" w:type="dxa"/>
          </w:tcPr>
          <w:p w14:paraId="6BE51A62" w14:textId="77777777" w:rsidR="008530FD" w:rsidRPr="00891B13" w:rsidRDefault="008530FD" w:rsidP="008530FD">
            <w:pPr>
              <w:spacing w:line="276" w:lineRule="auto"/>
              <w:rPr>
                <w:rFonts w:ascii="Times New Roman" w:hAnsi="Times New Roman" w:cs="Times New Roman"/>
              </w:rPr>
            </w:pPr>
          </w:p>
        </w:tc>
        <w:tc>
          <w:tcPr>
            <w:tcW w:w="1247" w:type="dxa"/>
          </w:tcPr>
          <w:p w14:paraId="4F321165" w14:textId="77777777" w:rsidR="008530FD" w:rsidRPr="00891B13" w:rsidRDefault="008530FD" w:rsidP="008530FD">
            <w:pPr>
              <w:spacing w:line="276" w:lineRule="auto"/>
              <w:rPr>
                <w:rFonts w:ascii="Times New Roman" w:hAnsi="Times New Roman" w:cs="Times New Roman"/>
              </w:rPr>
            </w:pPr>
          </w:p>
        </w:tc>
        <w:tc>
          <w:tcPr>
            <w:tcW w:w="1206" w:type="dxa"/>
          </w:tcPr>
          <w:p w14:paraId="4ED229D4" w14:textId="77777777" w:rsidR="008530FD" w:rsidRPr="00891B13" w:rsidRDefault="008530FD" w:rsidP="008530FD">
            <w:pPr>
              <w:spacing w:line="276" w:lineRule="auto"/>
              <w:rPr>
                <w:rFonts w:ascii="Times New Roman" w:hAnsi="Times New Roman" w:cs="Times New Roman"/>
              </w:rPr>
            </w:pPr>
          </w:p>
        </w:tc>
        <w:tc>
          <w:tcPr>
            <w:tcW w:w="950" w:type="dxa"/>
          </w:tcPr>
          <w:p w14:paraId="6F9B978F" w14:textId="77777777" w:rsidR="008530FD" w:rsidRDefault="008530FD" w:rsidP="008530FD">
            <w:pPr>
              <w:spacing w:line="276" w:lineRule="auto"/>
              <w:rPr>
                <w:rFonts w:ascii="Times New Roman" w:hAnsi="Times New Roman" w:cs="Times New Roman"/>
              </w:rPr>
            </w:pPr>
          </w:p>
          <w:p w14:paraId="3F123838" w14:textId="77777777" w:rsidR="008530FD" w:rsidRDefault="008530FD" w:rsidP="008530FD">
            <w:pPr>
              <w:spacing w:line="276" w:lineRule="auto"/>
              <w:rPr>
                <w:rFonts w:ascii="Times New Roman" w:hAnsi="Times New Roman" w:cs="Times New Roman"/>
              </w:rPr>
            </w:pPr>
          </w:p>
          <w:p w14:paraId="39038C25" w14:textId="77777777" w:rsidR="008530FD" w:rsidRPr="00891B13" w:rsidRDefault="008530FD" w:rsidP="008530FD">
            <w:pPr>
              <w:spacing w:line="276" w:lineRule="auto"/>
              <w:rPr>
                <w:rFonts w:ascii="Times New Roman" w:hAnsi="Times New Roman" w:cs="Times New Roman"/>
              </w:rPr>
            </w:pPr>
          </w:p>
        </w:tc>
      </w:tr>
      <w:tr w:rsidR="000A13FD" w:rsidRPr="00891B13" w14:paraId="369A0DA3" w14:textId="77777777" w:rsidTr="00F8126B">
        <w:trPr>
          <w:jc w:val="center"/>
        </w:trPr>
        <w:tc>
          <w:tcPr>
            <w:tcW w:w="2220" w:type="dxa"/>
            <w:vMerge w:val="restart"/>
            <w:vAlign w:val="center"/>
          </w:tcPr>
          <w:p w14:paraId="7EBBBD6C" w14:textId="77777777" w:rsidR="000A13FD" w:rsidRPr="00321834" w:rsidRDefault="000A13FD" w:rsidP="00F8126B">
            <w:pPr>
              <w:spacing w:line="276" w:lineRule="auto"/>
              <w:rPr>
                <w:rFonts w:ascii="Times New Roman" w:hAnsi="Times New Roman" w:cs="Times New Roman"/>
              </w:rPr>
            </w:pPr>
            <w:r>
              <w:rPr>
                <w:rFonts w:ascii="Times New Roman" w:hAnsi="Times New Roman" w:cs="Times New Roman"/>
              </w:rPr>
              <w:t>2.6 Projekty spolupráce so zameraním na cestovný ruch</w:t>
            </w:r>
          </w:p>
        </w:tc>
        <w:tc>
          <w:tcPr>
            <w:tcW w:w="913" w:type="dxa"/>
          </w:tcPr>
          <w:p w14:paraId="035EE75A" w14:textId="77777777" w:rsidR="000A13FD" w:rsidRPr="00891B13" w:rsidRDefault="000A13FD" w:rsidP="00F8126B">
            <w:pPr>
              <w:spacing w:line="276" w:lineRule="auto"/>
              <w:rPr>
                <w:rFonts w:ascii="Times New Roman" w:hAnsi="Times New Roman" w:cs="Times New Roman"/>
              </w:rPr>
            </w:pPr>
            <w:r>
              <w:rPr>
                <w:rFonts w:ascii="Times New Roman" w:hAnsi="Times New Roman" w:cs="Times New Roman"/>
              </w:rPr>
              <w:t>-</w:t>
            </w:r>
          </w:p>
        </w:tc>
        <w:tc>
          <w:tcPr>
            <w:tcW w:w="1060" w:type="dxa"/>
          </w:tcPr>
          <w:p w14:paraId="6ADE18C5" w14:textId="77777777" w:rsidR="000A13FD" w:rsidRPr="00891B13" w:rsidRDefault="00C50E03" w:rsidP="00F8126B">
            <w:pPr>
              <w:spacing w:line="276" w:lineRule="auto"/>
              <w:rPr>
                <w:rFonts w:ascii="Times New Roman" w:hAnsi="Times New Roman" w:cs="Times New Roman"/>
              </w:rPr>
            </w:pPr>
            <w:r>
              <w:rPr>
                <w:rFonts w:ascii="Times New Roman" w:hAnsi="Times New Roman" w:cs="Times New Roman"/>
              </w:rPr>
              <w:t>MR</w:t>
            </w:r>
            <w:r w:rsidR="000A13FD" w:rsidRPr="00891B13">
              <w:rPr>
                <w:rFonts w:ascii="Times New Roman" w:hAnsi="Times New Roman" w:cs="Times New Roman"/>
              </w:rPr>
              <w:t xml:space="preserve"> </w:t>
            </w:r>
          </w:p>
        </w:tc>
        <w:tc>
          <w:tcPr>
            <w:tcW w:w="1371" w:type="dxa"/>
          </w:tcPr>
          <w:p w14:paraId="65693CCB" w14:textId="77777777" w:rsidR="005A3F9C" w:rsidRDefault="005A3F9C" w:rsidP="00B65DAF">
            <w:pPr>
              <w:spacing w:line="276" w:lineRule="auto"/>
              <w:rPr>
                <w:rFonts w:ascii="Times New Roman" w:hAnsi="Times New Roman" w:cs="Times New Roman"/>
              </w:rPr>
            </w:pPr>
            <w:r>
              <w:rPr>
                <w:rFonts w:ascii="Times New Roman" w:hAnsi="Times New Roman" w:cs="Times New Roman"/>
              </w:rPr>
              <w:t> </w:t>
            </w:r>
          </w:p>
          <w:p w14:paraId="114E2213" w14:textId="77777777" w:rsidR="000A13FD" w:rsidRPr="00891B13" w:rsidRDefault="005A3F9C" w:rsidP="00B65DAF">
            <w:pPr>
              <w:spacing w:line="276" w:lineRule="auto"/>
              <w:rPr>
                <w:rFonts w:ascii="Times New Roman" w:hAnsi="Times New Roman" w:cs="Times New Roman"/>
              </w:rPr>
            </w:pPr>
            <w:r>
              <w:rPr>
                <w:rFonts w:ascii="Times New Roman" w:hAnsi="Times New Roman" w:cs="Times New Roman"/>
              </w:rPr>
              <w:t>200 000</w:t>
            </w:r>
          </w:p>
        </w:tc>
        <w:tc>
          <w:tcPr>
            <w:tcW w:w="1206" w:type="dxa"/>
          </w:tcPr>
          <w:p w14:paraId="7D7DDCB5" w14:textId="77777777" w:rsidR="000A13FD" w:rsidRDefault="005A3F9C" w:rsidP="00B65DAF">
            <w:pPr>
              <w:spacing w:line="276" w:lineRule="auto"/>
              <w:rPr>
                <w:rFonts w:ascii="Times New Roman" w:hAnsi="Times New Roman" w:cs="Times New Roman"/>
              </w:rPr>
            </w:pPr>
            <w:r>
              <w:rPr>
                <w:rFonts w:ascii="Times New Roman" w:hAnsi="Times New Roman" w:cs="Times New Roman"/>
              </w:rPr>
              <w:t> </w:t>
            </w:r>
          </w:p>
          <w:p w14:paraId="60891997" w14:textId="77777777" w:rsidR="005A3F9C" w:rsidRPr="00891B13" w:rsidRDefault="005A3F9C" w:rsidP="00B65DAF">
            <w:pPr>
              <w:spacing w:line="276" w:lineRule="auto"/>
              <w:rPr>
                <w:rFonts w:ascii="Times New Roman" w:hAnsi="Times New Roman" w:cs="Times New Roman"/>
              </w:rPr>
            </w:pPr>
            <w:r>
              <w:rPr>
                <w:rFonts w:ascii="Times New Roman" w:hAnsi="Times New Roman" w:cs="Times New Roman"/>
              </w:rPr>
              <w:t>170 000</w:t>
            </w:r>
          </w:p>
        </w:tc>
        <w:tc>
          <w:tcPr>
            <w:tcW w:w="1247" w:type="dxa"/>
          </w:tcPr>
          <w:p w14:paraId="06A7B038" w14:textId="77777777" w:rsidR="000A13FD" w:rsidRDefault="005A3F9C" w:rsidP="00B65DAF">
            <w:pPr>
              <w:spacing w:line="276" w:lineRule="auto"/>
              <w:rPr>
                <w:rFonts w:ascii="Times New Roman" w:hAnsi="Times New Roman" w:cs="Times New Roman"/>
              </w:rPr>
            </w:pPr>
            <w:r>
              <w:rPr>
                <w:rFonts w:ascii="Times New Roman" w:hAnsi="Times New Roman" w:cs="Times New Roman"/>
              </w:rPr>
              <w:t> </w:t>
            </w:r>
          </w:p>
          <w:p w14:paraId="6A1FF935" w14:textId="77777777" w:rsidR="005A3F9C" w:rsidRPr="00891B13" w:rsidRDefault="005A3F9C" w:rsidP="00B65DAF">
            <w:pPr>
              <w:spacing w:line="276" w:lineRule="auto"/>
              <w:rPr>
                <w:rFonts w:ascii="Times New Roman" w:hAnsi="Times New Roman" w:cs="Times New Roman"/>
              </w:rPr>
            </w:pPr>
            <w:r>
              <w:rPr>
                <w:rFonts w:ascii="Times New Roman" w:hAnsi="Times New Roman" w:cs="Times New Roman"/>
              </w:rPr>
              <w:t>20 000</w:t>
            </w:r>
          </w:p>
        </w:tc>
        <w:tc>
          <w:tcPr>
            <w:tcW w:w="1206" w:type="dxa"/>
          </w:tcPr>
          <w:p w14:paraId="67A84E2D" w14:textId="77777777" w:rsidR="000A13FD" w:rsidRDefault="005A3F9C" w:rsidP="00B65DAF">
            <w:pPr>
              <w:spacing w:line="276" w:lineRule="auto"/>
              <w:rPr>
                <w:rFonts w:ascii="Times New Roman" w:hAnsi="Times New Roman" w:cs="Times New Roman"/>
              </w:rPr>
            </w:pPr>
            <w:r>
              <w:rPr>
                <w:rFonts w:ascii="Times New Roman" w:hAnsi="Times New Roman" w:cs="Times New Roman"/>
              </w:rPr>
              <w:t> </w:t>
            </w:r>
          </w:p>
          <w:p w14:paraId="3ECC1214" w14:textId="77777777" w:rsidR="005A3F9C" w:rsidRPr="00891B13" w:rsidRDefault="005A3F9C" w:rsidP="00B65DAF">
            <w:pPr>
              <w:spacing w:line="276" w:lineRule="auto"/>
              <w:rPr>
                <w:rFonts w:ascii="Times New Roman" w:hAnsi="Times New Roman" w:cs="Times New Roman"/>
              </w:rPr>
            </w:pPr>
            <w:r>
              <w:rPr>
                <w:rFonts w:ascii="Times New Roman" w:hAnsi="Times New Roman" w:cs="Times New Roman"/>
              </w:rPr>
              <w:t>10 000</w:t>
            </w:r>
          </w:p>
        </w:tc>
        <w:tc>
          <w:tcPr>
            <w:tcW w:w="950" w:type="dxa"/>
          </w:tcPr>
          <w:p w14:paraId="35DE5B2A" w14:textId="77777777" w:rsidR="000A13FD" w:rsidRDefault="000A13FD" w:rsidP="00B65DAF">
            <w:pPr>
              <w:spacing w:line="276" w:lineRule="auto"/>
              <w:rPr>
                <w:rFonts w:ascii="Times New Roman" w:hAnsi="Times New Roman" w:cs="Times New Roman"/>
              </w:rPr>
            </w:pPr>
            <w:r>
              <w:rPr>
                <w:rFonts w:ascii="Times New Roman" w:hAnsi="Times New Roman" w:cs="Times New Roman"/>
              </w:rPr>
              <w:t>-</w:t>
            </w:r>
          </w:p>
          <w:p w14:paraId="2E5C2231" w14:textId="77777777" w:rsidR="000A13FD" w:rsidRDefault="000A13FD" w:rsidP="00B65DAF">
            <w:pPr>
              <w:spacing w:line="276" w:lineRule="auto"/>
              <w:rPr>
                <w:rFonts w:ascii="Times New Roman" w:hAnsi="Times New Roman" w:cs="Times New Roman"/>
              </w:rPr>
            </w:pPr>
          </w:p>
          <w:p w14:paraId="1F9873AA" w14:textId="77777777" w:rsidR="000A13FD" w:rsidRPr="00891B13" w:rsidRDefault="000A13FD" w:rsidP="00B65DAF">
            <w:pPr>
              <w:spacing w:line="276" w:lineRule="auto"/>
              <w:rPr>
                <w:rFonts w:ascii="Times New Roman" w:hAnsi="Times New Roman" w:cs="Times New Roman"/>
              </w:rPr>
            </w:pPr>
          </w:p>
        </w:tc>
      </w:tr>
      <w:tr w:rsidR="00F8126B" w:rsidRPr="00891B13" w14:paraId="43F1FB49" w14:textId="77777777" w:rsidTr="00F8126B">
        <w:trPr>
          <w:jc w:val="center"/>
        </w:trPr>
        <w:tc>
          <w:tcPr>
            <w:tcW w:w="2220" w:type="dxa"/>
            <w:vMerge/>
          </w:tcPr>
          <w:p w14:paraId="4F09E7A0" w14:textId="77777777" w:rsidR="00F8126B" w:rsidRPr="00891B13" w:rsidRDefault="00F8126B" w:rsidP="00F8126B">
            <w:pPr>
              <w:spacing w:line="276" w:lineRule="auto"/>
              <w:rPr>
                <w:rFonts w:ascii="Times New Roman" w:hAnsi="Times New Roman" w:cs="Times New Roman"/>
              </w:rPr>
            </w:pPr>
          </w:p>
        </w:tc>
        <w:tc>
          <w:tcPr>
            <w:tcW w:w="913" w:type="dxa"/>
          </w:tcPr>
          <w:p w14:paraId="4A07D4EB" w14:textId="77777777" w:rsidR="00F8126B" w:rsidRPr="00891B13" w:rsidRDefault="00F8126B" w:rsidP="00F8126B">
            <w:pPr>
              <w:spacing w:line="276" w:lineRule="auto"/>
              <w:rPr>
                <w:rFonts w:ascii="Times New Roman" w:hAnsi="Times New Roman" w:cs="Times New Roman"/>
              </w:rPr>
            </w:pPr>
          </w:p>
        </w:tc>
        <w:tc>
          <w:tcPr>
            <w:tcW w:w="1060" w:type="dxa"/>
          </w:tcPr>
          <w:p w14:paraId="29801583" w14:textId="77777777" w:rsidR="00F8126B" w:rsidRPr="00891B13" w:rsidRDefault="00C50E03" w:rsidP="00F8126B">
            <w:pPr>
              <w:spacing w:line="276" w:lineRule="auto"/>
              <w:rPr>
                <w:rFonts w:ascii="Times New Roman" w:hAnsi="Times New Roman" w:cs="Times New Roman"/>
              </w:rPr>
            </w:pPr>
            <w:r>
              <w:rPr>
                <w:rFonts w:ascii="Times New Roman" w:hAnsi="Times New Roman" w:cs="Times New Roman"/>
              </w:rPr>
              <w:t>VR</w:t>
            </w:r>
            <w:r w:rsidR="00F8126B" w:rsidRPr="00891B13">
              <w:rPr>
                <w:rFonts w:ascii="Times New Roman" w:hAnsi="Times New Roman" w:cs="Times New Roman"/>
              </w:rPr>
              <w:t xml:space="preserve"> </w:t>
            </w:r>
          </w:p>
        </w:tc>
        <w:tc>
          <w:tcPr>
            <w:tcW w:w="1371" w:type="dxa"/>
          </w:tcPr>
          <w:p w14:paraId="31C609C6" w14:textId="77777777" w:rsidR="00F8126B" w:rsidRPr="00891B13" w:rsidRDefault="00F8126B" w:rsidP="00F8126B">
            <w:pPr>
              <w:spacing w:line="276" w:lineRule="auto"/>
              <w:rPr>
                <w:rFonts w:ascii="Times New Roman" w:hAnsi="Times New Roman" w:cs="Times New Roman"/>
              </w:rPr>
            </w:pPr>
          </w:p>
        </w:tc>
        <w:tc>
          <w:tcPr>
            <w:tcW w:w="1206" w:type="dxa"/>
          </w:tcPr>
          <w:p w14:paraId="1571B9D6" w14:textId="77777777" w:rsidR="00F8126B" w:rsidRPr="00891B13" w:rsidRDefault="00F8126B" w:rsidP="00F8126B">
            <w:pPr>
              <w:spacing w:line="276" w:lineRule="auto"/>
              <w:rPr>
                <w:rFonts w:ascii="Times New Roman" w:hAnsi="Times New Roman" w:cs="Times New Roman"/>
              </w:rPr>
            </w:pPr>
          </w:p>
        </w:tc>
        <w:tc>
          <w:tcPr>
            <w:tcW w:w="1247" w:type="dxa"/>
          </w:tcPr>
          <w:p w14:paraId="46F31677" w14:textId="77777777" w:rsidR="00F8126B" w:rsidRPr="00891B13" w:rsidRDefault="00F8126B" w:rsidP="00F8126B">
            <w:pPr>
              <w:spacing w:line="276" w:lineRule="auto"/>
              <w:rPr>
                <w:rFonts w:ascii="Times New Roman" w:hAnsi="Times New Roman" w:cs="Times New Roman"/>
              </w:rPr>
            </w:pPr>
          </w:p>
        </w:tc>
        <w:tc>
          <w:tcPr>
            <w:tcW w:w="1206" w:type="dxa"/>
          </w:tcPr>
          <w:p w14:paraId="76B1B742" w14:textId="77777777" w:rsidR="00F8126B" w:rsidRPr="00891B13" w:rsidRDefault="00F8126B" w:rsidP="00F8126B">
            <w:pPr>
              <w:spacing w:line="276" w:lineRule="auto"/>
              <w:rPr>
                <w:rFonts w:ascii="Times New Roman" w:hAnsi="Times New Roman" w:cs="Times New Roman"/>
              </w:rPr>
            </w:pPr>
          </w:p>
        </w:tc>
        <w:tc>
          <w:tcPr>
            <w:tcW w:w="950" w:type="dxa"/>
          </w:tcPr>
          <w:p w14:paraId="1AD04BA0" w14:textId="77777777" w:rsidR="00F8126B" w:rsidRPr="00891B13" w:rsidRDefault="00F8126B" w:rsidP="00F8126B">
            <w:pPr>
              <w:spacing w:line="276" w:lineRule="auto"/>
              <w:rPr>
                <w:rFonts w:ascii="Times New Roman" w:hAnsi="Times New Roman" w:cs="Times New Roman"/>
              </w:rPr>
            </w:pPr>
          </w:p>
        </w:tc>
      </w:tr>
      <w:tr w:rsidR="008530FD" w:rsidRPr="00891B13" w14:paraId="645B5A45" w14:textId="77777777" w:rsidTr="00637C8B">
        <w:trPr>
          <w:jc w:val="center"/>
        </w:trPr>
        <w:tc>
          <w:tcPr>
            <w:tcW w:w="2220" w:type="dxa"/>
            <w:vMerge w:val="restart"/>
            <w:vAlign w:val="center"/>
          </w:tcPr>
          <w:p w14:paraId="35420845"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3.2 Podpora investícií do lesníckych technológií a spracovania, do mobilizácie lesníckych výrobkov a ich uvádzania na trh</w:t>
            </w:r>
          </w:p>
        </w:tc>
        <w:tc>
          <w:tcPr>
            <w:tcW w:w="913" w:type="dxa"/>
          </w:tcPr>
          <w:p w14:paraId="4144165C"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PRV</w:t>
            </w:r>
          </w:p>
        </w:tc>
        <w:tc>
          <w:tcPr>
            <w:tcW w:w="1060" w:type="dxa"/>
          </w:tcPr>
          <w:p w14:paraId="6C1A9259" w14:textId="77777777" w:rsidR="008530FD" w:rsidRPr="00891B13" w:rsidRDefault="00216FA2" w:rsidP="008530FD">
            <w:pPr>
              <w:spacing w:line="276" w:lineRule="auto"/>
              <w:rPr>
                <w:rFonts w:ascii="Times New Roman" w:hAnsi="Times New Roman" w:cs="Times New Roman"/>
              </w:rPr>
            </w:pPr>
            <w:r>
              <w:rPr>
                <w:rFonts w:ascii="Times New Roman" w:hAnsi="Times New Roman" w:cs="Times New Roman"/>
              </w:rPr>
              <w:t xml:space="preserve"> MR</w:t>
            </w:r>
            <w:r w:rsidR="008530FD" w:rsidRPr="00891B13">
              <w:rPr>
                <w:rFonts w:ascii="Times New Roman" w:hAnsi="Times New Roman" w:cs="Times New Roman"/>
              </w:rPr>
              <w:t xml:space="preserve"> </w:t>
            </w:r>
          </w:p>
        </w:tc>
        <w:tc>
          <w:tcPr>
            <w:tcW w:w="1371" w:type="dxa"/>
          </w:tcPr>
          <w:p w14:paraId="526D52BF" w14:textId="77777777" w:rsidR="008530FD" w:rsidRDefault="008530FD" w:rsidP="008530FD">
            <w:pPr>
              <w:spacing w:line="276" w:lineRule="auto"/>
              <w:rPr>
                <w:rFonts w:ascii="Times New Roman" w:hAnsi="Times New Roman" w:cs="Times New Roman"/>
              </w:rPr>
            </w:pPr>
          </w:p>
          <w:p w14:paraId="470C5150" w14:textId="77777777" w:rsidR="00216FA2" w:rsidRDefault="00216FA2" w:rsidP="008530FD">
            <w:pPr>
              <w:spacing w:line="276" w:lineRule="auto"/>
              <w:rPr>
                <w:rFonts w:ascii="Times New Roman" w:hAnsi="Times New Roman" w:cs="Times New Roman"/>
              </w:rPr>
            </w:pPr>
          </w:p>
          <w:p w14:paraId="3E98416E" w14:textId="77777777" w:rsidR="005A3F9C" w:rsidRPr="00891B13" w:rsidRDefault="00216FA2" w:rsidP="008530FD">
            <w:pPr>
              <w:spacing w:line="276" w:lineRule="auto"/>
              <w:rPr>
                <w:rFonts w:ascii="Times New Roman" w:hAnsi="Times New Roman" w:cs="Times New Roman"/>
              </w:rPr>
            </w:pPr>
            <w:r>
              <w:rPr>
                <w:rFonts w:ascii="Times New Roman" w:hAnsi="Times New Roman" w:cs="Times New Roman"/>
              </w:rPr>
              <w:t>228 326,00</w:t>
            </w:r>
          </w:p>
        </w:tc>
        <w:tc>
          <w:tcPr>
            <w:tcW w:w="1206" w:type="dxa"/>
          </w:tcPr>
          <w:p w14:paraId="7212EADB" w14:textId="77777777" w:rsidR="005A3F9C" w:rsidRDefault="005A3F9C" w:rsidP="008530FD">
            <w:pPr>
              <w:spacing w:line="276" w:lineRule="auto"/>
              <w:rPr>
                <w:rFonts w:ascii="Times New Roman" w:hAnsi="Times New Roman" w:cs="Times New Roman"/>
              </w:rPr>
            </w:pPr>
          </w:p>
          <w:p w14:paraId="5AC8C1DA" w14:textId="77777777" w:rsidR="00216FA2" w:rsidRPr="00891B13" w:rsidRDefault="00216FA2" w:rsidP="008530FD">
            <w:pPr>
              <w:spacing w:line="276" w:lineRule="auto"/>
              <w:rPr>
                <w:rFonts w:ascii="Times New Roman" w:hAnsi="Times New Roman" w:cs="Times New Roman"/>
              </w:rPr>
            </w:pPr>
            <w:r>
              <w:rPr>
                <w:rFonts w:ascii="Times New Roman" w:hAnsi="Times New Roman" w:cs="Times New Roman"/>
              </w:rPr>
              <w:t>85 622,25</w:t>
            </w:r>
          </w:p>
        </w:tc>
        <w:tc>
          <w:tcPr>
            <w:tcW w:w="1247" w:type="dxa"/>
          </w:tcPr>
          <w:p w14:paraId="62C1B06B" w14:textId="77777777" w:rsidR="008530FD" w:rsidRDefault="008530FD" w:rsidP="008530FD">
            <w:pPr>
              <w:spacing w:line="276" w:lineRule="auto"/>
              <w:rPr>
                <w:rFonts w:ascii="Times New Roman" w:hAnsi="Times New Roman" w:cs="Times New Roman"/>
              </w:rPr>
            </w:pPr>
          </w:p>
          <w:p w14:paraId="3B99EC1D" w14:textId="77777777" w:rsidR="005A3F9C" w:rsidRDefault="005A3F9C" w:rsidP="008530FD">
            <w:pPr>
              <w:spacing w:line="276" w:lineRule="auto"/>
              <w:rPr>
                <w:rFonts w:ascii="Times New Roman" w:hAnsi="Times New Roman" w:cs="Times New Roman"/>
              </w:rPr>
            </w:pPr>
          </w:p>
          <w:p w14:paraId="1B03D5F3" w14:textId="77777777" w:rsidR="00216FA2" w:rsidRPr="00891B13" w:rsidRDefault="00216FA2" w:rsidP="008530FD">
            <w:pPr>
              <w:spacing w:line="276" w:lineRule="auto"/>
              <w:rPr>
                <w:rFonts w:ascii="Times New Roman" w:hAnsi="Times New Roman" w:cs="Times New Roman"/>
              </w:rPr>
            </w:pPr>
            <w:r>
              <w:rPr>
                <w:rFonts w:ascii="Times New Roman" w:hAnsi="Times New Roman" w:cs="Times New Roman"/>
              </w:rPr>
              <w:t>28 540,75</w:t>
            </w:r>
          </w:p>
        </w:tc>
        <w:tc>
          <w:tcPr>
            <w:tcW w:w="1206" w:type="dxa"/>
          </w:tcPr>
          <w:p w14:paraId="7D3394B4" w14:textId="77777777" w:rsidR="008530FD" w:rsidRDefault="008530FD" w:rsidP="008530FD">
            <w:pPr>
              <w:spacing w:line="276" w:lineRule="auto"/>
              <w:rPr>
                <w:rFonts w:ascii="Times New Roman" w:hAnsi="Times New Roman" w:cs="Times New Roman"/>
              </w:rPr>
            </w:pPr>
          </w:p>
          <w:p w14:paraId="3EDCBDE5" w14:textId="77777777" w:rsidR="005A3F9C" w:rsidRDefault="005A3F9C" w:rsidP="008530FD">
            <w:pPr>
              <w:spacing w:line="276" w:lineRule="auto"/>
              <w:rPr>
                <w:rFonts w:ascii="Times New Roman" w:hAnsi="Times New Roman" w:cs="Times New Roman"/>
              </w:rPr>
            </w:pPr>
          </w:p>
          <w:p w14:paraId="356DC173" w14:textId="77777777" w:rsidR="00216FA2" w:rsidRPr="00891B13" w:rsidRDefault="00216FA2" w:rsidP="008530FD">
            <w:pPr>
              <w:spacing w:line="276" w:lineRule="auto"/>
              <w:rPr>
                <w:rFonts w:ascii="Times New Roman" w:hAnsi="Times New Roman" w:cs="Times New Roman"/>
              </w:rPr>
            </w:pPr>
            <w:r>
              <w:rPr>
                <w:rFonts w:ascii="Times New Roman" w:hAnsi="Times New Roman" w:cs="Times New Roman"/>
              </w:rPr>
              <w:t>114 163,00</w:t>
            </w:r>
          </w:p>
        </w:tc>
        <w:tc>
          <w:tcPr>
            <w:tcW w:w="950" w:type="dxa"/>
          </w:tcPr>
          <w:p w14:paraId="4EA328A6"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r>
      <w:tr w:rsidR="008530FD" w:rsidRPr="00891B13" w14:paraId="32AEF166" w14:textId="77777777" w:rsidTr="00637C8B">
        <w:trPr>
          <w:jc w:val="center"/>
        </w:trPr>
        <w:tc>
          <w:tcPr>
            <w:tcW w:w="2220" w:type="dxa"/>
            <w:vMerge/>
          </w:tcPr>
          <w:p w14:paraId="1FA2ED79" w14:textId="77777777" w:rsidR="008530FD" w:rsidRPr="00891B13" w:rsidRDefault="008530FD" w:rsidP="008530FD">
            <w:pPr>
              <w:spacing w:line="276" w:lineRule="auto"/>
              <w:rPr>
                <w:rFonts w:ascii="Times New Roman" w:hAnsi="Times New Roman" w:cs="Times New Roman"/>
              </w:rPr>
            </w:pPr>
          </w:p>
        </w:tc>
        <w:tc>
          <w:tcPr>
            <w:tcW w:w="913" w:type="dxa"/>
          </w:tcPr>
          <w:p w14:paraId="487CFDB8" w14:textId="77777777" w:rsidR="008530FD" w:rsidRPr="00891B13" w:rsidRDefault="008530FD" w:rsidP="008530FD">
            <w:pPr>
              <w:spacing w:line="276" w:lineRule="auto"/>
              <w:rPr>
                <w:rFonts w:ascii="Times New Roman" w:hAnsi="Times New Roman" w:cs="Times New Roman"/>
              </w:rPr>
            </w:pPr>
          </w:p>
        </w:tc>
        <w:tc>
          <w:tcPr>
            <w:tcW w:w="1060" w:type="dxa"/>
          </w:tcPr>
          <w:p w14:paraId="7E1E4F9C" w14:textId="77777777" w:rsidR="008530FD" w:rsidRPr="00891B13" w:rsidRDefault="00216FA2" w:rsidP="008530FD">
            <w:pPr>
              <w:spacing w:line="276" w:lineRule="auto"/>
              <w:rPr>
                <w:rFonts w:ascii="Times New Roman" w:hAnsi="Times New Roman" w:cs="Times New Roman"/>
              </w:rPr>
            </w:pPr>
            <w:r>
              <w:rPr>
                <w:rFonts w:ascii="Times New Roman" w:hAnsi="Times New Roman" w:cs="Times New Roman"/>
              </w:rPr>
              <w:t>VR</w:t>
            </w:r>
            <w:r w:rsidR="008530FD" w:rsidRPr="00891B13">
              <w:rPr>
                <w:rFonts w:ascii="Times New Roman" w:hAnsi="Times New Roman" w:cs="Times New Roman"/>
              </w:rPr>
              <w:t xml:space="preserve"> </w:t>
            </w:r>
          </w:p>
        </w:tc>
        <w:tc>
          <w:tcPr>
            <w:tcW w:w="1371" w:type="dxa"/>
          </w:tcPr>
          <w:p w14:paraId="6BE116B8" w14:textId="77777777" w:rsidR="008530FD" w:rsidRPr="00891B13" w:rsidRDefault="008530FD" w:rsidP="008530FD">
            <w:pPr>
              <w:spacing w:line="276" w:lineRule="auto"/>
              <w:rPr>
                <w:rFonts w:ascii="Times New Roman" w:hAnsi="Times New Roman" w:cs="Times New Roman"/>
              </w:rPr>
            </w:pPr>
          </w:p>
        </w:tc>
        <w:tc>
          <w:tcPr>
            <w:tcW w:w="1206" w:type="dxa"/>
          </w:tcPr>
          <w:p w14:paraId="35318535" w14:textId="77777777" w:rsidR="008530FD" w:rsidRPr="00891B13" w:rsidRDefault="008530FD" w:rsidP="008530FD">
            <w:pPr>
              <w:spacing w:line="276" w:lineRule="auto"/>
              <w:rPr>
                <w:rFonts w:ascii="Times New Roman" w:hAnsi="Times New Roman" w:cs="Times New Roman"/>
              </w:rPr>
            </w:pPr>
          </w:p>
        </w:tc>
        <w:tc>
          <w:tcPr>
            <w:tcW w:w="1247" w:type="dxa"/>
          </w:tcPr>
          <w:p w14:paraId="47D01F8A" w14:textId="77777777" w:rsidR="008530FD" w:rsidRPr="00891B13" w:rsidRDefault="008530FD" w:rsidP="008530FD">
            <w:pPr>
              <w:spacing w:line="276" w:lineRule="auto"/>
              <w:rPr>
                <w:rFonts w:ascii="Times New Roman" w:hAnsi="Times New Roman" w:cs="Times New Roman"/>
              </w:rPr>
            </w:pPr>
          </w:p>
        </w:tc>
        <w:tc>
          <w:tcPr>
            <w:tcW w:w="1206" w:type="dxa"/>
          </w:tcPr>
          <w:p w14:paraId="1656D072" w14:textId="77777777" w:rsidR="008530FD" w:rsidRPr="00891B13" w:rsidRDefault="008530FD" w:rsidP="008530FD">
            <w:pPr>
              <w:spacing w:line="276" w:lineRule="auto"/>
              <w:rPr>
                <w:rFonts w:ascii="Times New Roman" w:hAnsi="Times New Roman" w:cs="Times New Roman"/>
              </w:rPr>
            </w:pPr>
          </w:p>
        </w:tc>
        <w:tc>
          <w:tcPr>
            <w:tcW w:w="950" w:type="dxa"/>
          </w:tcPr>
          <w:p w14:paraId="1B875AB1" w14:textId="77777777" w:rsidR="008530FD" w:rsidRPr="00891B13" w:rsidRDefault="008530FD" w:rsidP="008530FD">
            <w:pPr>
              <w:spacing w:line="276" w:lineRule="auto"/>
              <w:rPr>
                <w:rFonts w:ascii="Times New Roman" w:hAnsi="Times New Roman" w:cs="Times New Roman"/>
              </w:rPr>
            </w:pPr>
          </w:p>
        </w:tc>
      </w:tr>
      <w:tr w:rsidR="008530FD" w:rsidRPr="00891B13" w14:paraId="654019D8" w14:textId="77777777" w:rsidTr="00637C8B">
        <w:trPr>
          <w:jc w:val="center"/>
        </w:trPr>
        <w:tc>
          <w:tcPr>
            <w:tcW w:w="2220" w:type="dxa"/>
            <w:vMerge w:val="restart"/>
            <w:vAlign w:val="center"/>
          </w:tcPr>
          <w:p w14:paraId="7C6F9943"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3.3 Vznik nových a rozširovanie existujúcich podnikov v oblasti remeselnej a priemyselnej výroby</w:t>
            </w:r>
          </w:p>
        </w:tc>
        <w:tc>
          <w:tcPr>
            <w:tcW w:w="913" w:type="dxa"/>
          </w:tcPr>
          <w:p w14:paraId="60579CEB" w14:textId="77777777" w:rsidR="008530FD" w:rsidRPr="00891B13" w:rsidRDefault="008530FD" w:rsidP="008530FD">
            <w:pPr>
              <w:spacing w:line="276" w:lineRule="auto"/>
              <w:rPr>
                <w:rFonts w:ascii="Times New Roman" w:hAnsi="Times New Roman" w:cs="Times New Roman"/>
              </w:rPr>
            </w:pPr>
            <w:r w:rsidRPr="00891B13">
              <w:rPr>
                <w:rFonts w:ascii="Times New Roman" w:hAnsi="Times New Roman" w:cs="Times New Roman"/>
                <w:sz w:val="24"/>
                <w:szCs w:val="24"/>
              </w:rPr>
              <w:t>IROP</w:t>
            </w:r>
          </w:p>
        </w:tc>
        <w:tc>
          <w:tcPr>
            <w:tcW w:w="1060" w:type="dxa"/>
          </w:tcPr>
          <w:p w14:paraId="1C2BCDB2"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r w:rsidR="008530FD" w:rsidRPr="00891B13">
              <w:rPr>
                <w:rFonts w:ascii="Times New Roman" w:hAnsi="Times New Roman" w:cs="Times New Roman"/>
              </w:rPr>
              <w:t xml:space="preserve"> </w:t>
            </w:r>
          </w:p>
        </w:tc>
        <w:tc>
          <w:tcPr>
            <w:tcW w:w="1371" w:type="dxa"/>
          </w:tcPr>
          <w:p w14:paraId="577EF5D6" w14:textId="77777777" w:rsidR="008530FD" w:rsidRDefault="008530FD" w:rsidP="008530FD">
            <w:pPr>
              <w:spacing w:line="276" w:lineRule="auto"/>
              <w:rPr>
                <w:rFonts w:ascii="Times New Roman" w:hAnsi="Times New Roman" w:cs="Times New Roman"/>
              </w:rPr>
            </w:pPr>
          </w:p>
          <w:p w14:paraId="3CA9FA38" w14:textId="77777777" w:rsidR="005A3F9C" w:rsidRDefault="005A3F9C" w:rsidP="008530FD">
            <w:pPr>
              <w:spacing w:line="276" w:lineRule="auto"/>
              <w:rPr>
                <w:rFonts w:ascii="Times New Roman" w:hAnsi="Times New Roman" w:cs="Times New Roman"/>
              </w:rPr>
            </w:pPr>
          </w:p>
          <w:p w14:paraId="5FF10A43"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306 790,91</w:t>
            </w:r>
          </w:p>
        </w:tc>
        <w:tc>
          <w:tcPr>
            <w:tcW w:w="1206" w:type="dxa"/>
          </w:tcPr>
          <w:p w14:paraId="3D2396F7" w14:textId="77777777" w:rsidR="008530FD" w:rsidRDefault="008530FD" w:rsidP="008530FD">
            <w:pPr>
              <w:spacing w:line="276" w:lineRule="auto"/>
              <w:rPr>
                <w:rFonts w:ascii="Times New Roman" w:hAnsi="Times New Roman" w:cs="Times New Roman"/>
              </w:rPr>
            </w:pPr>
          </w:p>
          <w:p w14:paraId="1963476B" w14:textId="77777777" w:rsidR="005A3F9C" w:rsidRDefault="005A3F9C" w:rsidP="008530FD">
            <w:pPr>
              <w:spacing w:line="276" w:lineRule="auto"/>
              <w:rPr>
                <w:rFonts w:ascii="Times New Roman" w:hAnsi="Times New Roman" w:cs="Times New Roman"/>
              </w:rPr>
            </w:pPr>
          </w:p>
          <w:p w14:paraId="10B78481"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168 735,00</w:t>
            </w:r>
          </w:p>
        </w:tc>
        <w:tc>
          <w:tcPr>
            <w:tcW w:w="1247" w:type="dxa"/>
          </w:tcPr>
          <w:p w14:paraId="6B62F7EA"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c>
          <w:tcPr>
            <w:tcW w:w="1206" w:type="dxa"/>
          </w:tcPr>
          <w:p w14:paraId="4ECDCEE8" w14:textId="77777777" w:rsidR="005A3F9C" w:rsidRDefault="005A3F9C" w:rsidP="008530FD">
            <w:pPr>
              <w:spacing w:line="276" w:lineRule="auto"/>
              <w:rPr>
                <w:rFonts w:ascii="Times New Roman" w:hAnsi="Times New Roman" w:cs="Times New Roman"/>
              </w:rPr>
            </w:pPr>
          </w:p>
          <w:p w14:paraId="488780B5"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138 055,91</w:t>
            </w:r>
          </w:p>
        </w:tc>
        <w:tc>
          <w:tcPr>
            <w:tcW w:w="950" w:type="dxa"/>
          </w:tcPr>
          <w:p w14:paraId="11618536" w14:textId="77777777" w:rsidR="008530FD" w:rsidRPr="00891B13" w:rsidRDefault="008530FD" w:rsidP="008530FD">
            <w:pPr>
              <w:spacing w:line="276" w:lineRule="auto"/>
              <w:rPr>
                <w:rFonts w:ascii="Times New Roman" w:hAnsi="Times New Roman" w:cs="Times New Roman"/>
              </w:rPr>
            </w:pPr>
          </w:p>
        </w:tc>
      </w:tr>
      <w:tr w:rsidR="008530FD" w:rsidRPr="00891B13" w14:paraId="1F64C3B6" w14:textId="77777777" w:rsidTr="00637C8B">
        <w:trPr>
          <w:jc w:val="center"/>
        </w:trPr>
        <w:tc>
          <w:tcPr>
            <w:tcW w:w="2220" w:type="dxa"/>
            <w:vMerge/>
          </w:tcPr>
          <w:p w14:paraId="672C5A45" w14:textId="77777777" w:rsidR="008530FD" w:rsidRPr="00891B13" w:rsidRDefault="008530FD" w:rsidP="008530FD">
            <w:pPr>
              <w:spacing w:line="276" w:lineRule="auto"/>
              <w:rPr>
                <w:rFonts w:ascii="Times New Roman" w:hAnsi="Times New Roman" w:cs="Times New Roman"/>
              </w:rPr>
            </w:pPr>
          </w:p>
        </w:tc>
        <w:tc>
          <w:tcPr>
            <w:tcW w:w="913" w:type="dxa"/>
          </w:tcPr>
          <w:p w14:paraId="2B8FEB00" w14:textId="77777777" w:rsidR="008530FD" w:rsidRPr="00891B13" w:rsidRDefault="008530FD" w:rsidP="008530FD">
            <w:pPr>
              <w:spacing w:line="276" w:lineRule="auto"/>
              <w:rPr>
                <w:rFonts w:ascii="Times New Roman" w:hAnsi="Times New Roman" w:cs="Times New Roman"/>
              </w:rPr>
            </w:pPr>
          </w:p>
        </w:tc>
        <w:tc>
          <w:tcPr>
            <w:tcW w:w="1060" w:type="dxa"/>
          </w:tcPr>
          <w:p w14:paraId="4B3721FC"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1D1FA939" w14:textId="77777777" w:rsidR="008530FD" w:rsidRPr="00891B13" w:rsidRDefault="008530FD" w:rsidP="008530FD">
            <w:pPr>
              <w:spacing w:line="276" w:lineRule="auto"/>
              <w:rPr>
                <w:rFonts w:ascii="Times New Roman" w:hAnsi="Times New Roman" w:cs="Times New Roman"/>
              </w:rPr>
            </w:pPr>
          </w:p>
        </w:tc>
        <w:tc>
          <w:tcPr>
            <w:tcW w:w="1206" w:type="dxa"/>
          </w:tcPr>
          <w:p w14:paraId="62ABC007" w14:textId="77777777" w:rsidR="008530FD" w:rsidRPr="00891B13" w:rsidRDefault="008530FD" w:rsidP="008530FD">
            <w:pPr>
              <w:spacing w:line="276" w:lineRule="auto"/>
              <w:rPr>
                <w:rFonts w:ascii="Times New Roman" w:hAnsi="Times New Roman" w:cs="Times New Roman"/>
              </w:rPr>
            </w:pPr>
          </w:p>
        </w:tc>
        <w:tc>
          <w:tcPr>
            <w:tcW w:w="1247" w:type="dxa"/>
          </w:tcPr>
          <w:p w14:paraId="71F2C1F4" w14:textId="77777777" w:rsidR="008530FD" w:rsidRPr="00891B13" w:rsidRDefault="008530FD" w:rsidP="008530FD">
            <w:pPr>
              <w:spacing w:line="276" w:lineRule="auto"/>
              <w:rPr>
                <w:rFonts w:ascii="Times New Roman" w:hAnsi="Times New Roman" w:cs="Times New Roman"/>
              </w:rPr>
            </w:pPr>
          </w:p>
        </w:tc>
        <w:tc>
          <w:tcPr>
            <w:tcW w:w="1206" w:type="dxa"/>
          </w:tcPr>
          <w:p w14:paraId="09079FAF" w14:textId="77777777" w:rsidR="008530FD" w:rsidRPr="00891B13" w:rsidRDefault="008530FD" w:rsidP="008530FD">
            <w:pPr>
              <w:spacing w:line="276" w:lineRule="auto"/>
              <w:rPr>
                <w:rFonts w:ascii="Times New Roman" w:hAnsi="Times New Roman" w:cs="Times New Roman"/>
              </w:rPr>
            </w:pPr>
          </w:p>
        </w:tc>
        <w:tc>
          <w:tcPr>
            <w:tcW w:w="950" w:type="dxa"/>
          </w:tcPr>
          <w:p w14:paraId="0485C1BD" w14:textId="77777777" w:rsidR="008530FD" w:rsidRDefault="008530FD" w:rsidP="008530FD">
            <w:pPr>
              <w:spacing w:line="276" w:lineRule="auto"/>
              <w:rPr>
                <w:rFonts w:ascii="Times New Roman" w:hAnsi="Times New Roman" w:cs="Times New Roman"/>
              </w:rPr>
            </w:pPr>
          </w:p>
          <w:p w14:paraId="1A6615E0" w14:textId="77777777" w:rsidR="008530FD" w:rsidRDefault="008530FD" w:rsidP="008530FD">
            <w:pPr>
              <w:spacing w:line="276" w:lineRule="auto"/>
              <w:rPr>
                <w:rFonts w:ascii="Times New Roman" w:hAnsi="Times New Roman" w:cs="Times New Roman"/>
              </w:rPr>
            </w:pPr>
          </w:p>
          <w:p w14:paraId="5961FE47" w14:textId="77777777" w:rsidR="008530FD" w:rsidRPr="00891B13" w:rsidRDefault="008530FD" w:rsidP="008530FD">
            <w:pPr>
              <w:spacing w:line="276" w:lineRule="auto"/>
              <w:rPr>
                <w:rFonts w:ascii="Times New Roman" w:hAnsi="Times New Roman" w:cs="Times New Roman"/>
              </w:rPr>
            </w:pPr>
          </w:p>
        </w:tc>
      </w:tr>
      <w:tr w:rsidR="008530FD" w:rsidRPr="00891B13" w14:paraId="54C12493" w14:textId="77777777" w:rsidTr="00637C8B">
        <w:trPr>
          <w:jc w:val="center"/>
        </w:trPr>
        <w:tc>
          <w:tcPr>
            <w:tcW w:w="2220" w:type="dxa"/>
            <w:vMerge w:val="restart"/>
            <w:vAlign w:val="center"/>
          </w:tcPr>
          <w:p w14:paraId="77B4CF64"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3.4</w:t>
            </w:r>
            <w:r>
              <w:rPr>
                <w:rFonts w:ascii="Times New Roman" w:hAnsi="Times New Roman" w:cs="Times New Roman"/>
                <w:b/>
              </w:rPr>
              <w:t xml:space="preserve"> </w:t>
            </w:r>
            <w:r>
              <w:rPr>
                <w:rFonts w:ascii="Times New Roman" w:hAnsi="Times New Roman" w:cs="Times New Roman"/>
              </w:rPr>
              <w:t>Kvalitné služby na vidieku</w:t>
            </w:r>
          </w:p>
        </w:tc>
        <w:tc>
          <w:tcPr>
            <w:tcW w:w="913" w:type="dxa"/>
            <w:vAlign w:val="center"/>
          </w:tcPr>
          <w:p w14:paraId="6E852AF5" w14:textId="77777777" w:rsidR="008530FD" w:rsidRPr="00891B13" w:rsidRDefault="000A13FD" w:rsidP="008530FD">
            <w:pPr>
              <w:spacing w:line="276" w:lineRule="auto"/>
              <w:rPr>
                <w:rFonts w:ascii="Times New Roman" w:hAnsi="Times New Roman" w:cs="Times New Roman"/>
              </w:rPr>
            </w:pPr>
            <w:r>
              <w:rPr>
                <w:rFonts w:ascii="Times New Roman" w:hAnsi="Times New Roman" w:cs="Times New Roman"/>
                <w:sz w:val="24"/>
                <w:szCs w:val="24"/>
              </w:rPr>
              <w:t>I</w:t>
            </w:r>
            <w:r w:rsidR="008530FD" w:rsidRPr="00891B13">
              <w:rPr>
                <w:rFonts w:ascii="Times New Roman" w:hAnsi="Times New Roman" w:cs="Times New Roman"/>
                <w:sz w:val="24"/>
                <w:szCs w:val="24"/>
              </w:rPr>
              <w:t>ROP</w:t>
            </w:r>
          </w:p>
        </w:tc>
        <w:tc>
          <w:tcPr>
            <w:tcW w:w="1060" w:type="dxa"/>
          </w:tcPr>
          <w:p w14:paraId="05CDEE1F"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r w:rsidR="008530FD" w:rsidRPr="00891B13">
              <w:rPr>
                <w:rFonts w:ascii="Times New Roman" w:hAnsi="Times New Roman" w:cs="Times New Roman"/>
              </w:rPr>
              <w:t xml:space="preserve"> </w:t>
            </w:r>
          </w:p>
        </w:tc>
        <w:tc>
          <w:tcPr>
            <w:tcW w:w="1371" w:type="dxa"/>
          </w:tcPr>
          <w:p w14:paraId="4834CB24" w14:textId="77777777" w:rsidR="008530FD" w:rsidRDefault="008530FD" w:rsidP="008530FD">
            <w:pPr>
              <w:spacing w:line="276" w:lineRule="auto"/>
              <w:rPr>
                <w:rFonts w:ascii="Times New Roman" w:hAnsi="Times New Roman" w:cs="Times New Roman"/>
              </w:rPr>
            </w:pPr>
          </w:p>
          <w:p w14:paraId="2C62008B" w14:textId="77777777" w:rsidR="001C2487" w:rsidRDefault="001C2487" w:rsidP="008530FD">
            <w:pPr>
              <w:spacing w:line="276" w:lineRule="auto"/>
              <w:rPr>
                <w:rFonts w:ascii="Times New Roman" w:hAnsi="Times New Roman" w:cs="Times New Roman"/>
              </w:rPr>
            </w:pPr>
          </w:p>
          <w:p w14:paraId="46BB8D84" w14:textId="77777777" w:rsidR="005A3F9C" w:rsidRPr="00891B13" w:rsidRDefault="001C2487" w:rsidP="008530FD">
            <w:pPr>
              <w:spacing w:line="276" w:lineRule="auto"/>
              <w:rPr>
                <w:rFonts w:ascii="Times New Roman" w:hAnsi="Times New Roman" w:cs="Times New Roman"/>
              </w:rPr>
            </w:pPr>
            <w:r>
              <w:rPr>
                <w:rFonts w:ascii="Times New Roman" w:hAnsi="Times New Roman" w:cs="Times New Roman"/>
              </w:rPr>
              <w:t>306 790,91</w:t>
            </w:r>
          </w:p>
        </w:tc>
        <w:tc>
          <w:tcPr>
            <w:tcW w:w="1206" w:type="dxa"/>
          </w:tcPr>
          <w:p w14:paraId="2430E390" w14:textId="77777777" w:rsidR="005A3F9C" w:rsidRDefault="005A3F9C" w:rsidP="008530FD">
            <w:pPr>
              <w:spacing w:line="276" w:lineRule="auto"/>
              <w:rPr>
                <w:rFonts w:ascii="Times New Roman" w:hAnsi="Times New Roman" w:cs="Times New Roman"/>
              </w:rPr>
            </w:pPr>
          </w:p>
          <w:p w14:paraId="0296C04A"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168 735,00</w:t>
            </w:r>
          </w:p>
        </w:tc>
        <w:tc>
          <w:tcPr>
            <w:tcW w:w="1247" w:type="dxa"/>
          </w:tcPr>
          <w:p w14:paraId="6C5B9A77" w14:textId="77777777" w:rsidR="008530FD" w:rsidRPr="00891B13" w:rsidRDefault="008530FD" w:rsidP="008530FD">
            <w:pPr>
              <w:spacing w:line="276" w:lineRule="auto"/>
              <w:rPr>
                <w:rFonts w:ascii="Times New Roman" w:hAnsi="Times New Roman" w:cs="Times New Roman"/>
              </w:rPr>
            </w:pPr>
            <w:r>
              <w:rPr>
                <w:rFonts w:ascii="Times New Roman" w:hAnsi="Times New Roman" w:cs="Times New Roman"/>
              </w:rPr>
              <w:t>0</w:t>
            </w:r>
          </w:p>
        </w:tc>
        <w:tc>
          <w:tcPr>
            <w:tcW w:w="1206" w:type="dxa"/>
          </w:tcPr>
          <w:p w14:paraId="1141C14B" w14:textId="77777777" w:rsidR="005A3F9C" w:rsidRDefault="005A3F9C" w:rsidP="008530FD">
            <w:pPr>
              <w:spacing w:line="276" w:lineRule="auto"/>
              <w:rPr>
                <w:rFonts w:ascii="Times New Roman" w:hAnsi="Times New Roman" w:cs="Times New Roman"/>
              </w:rPr>
            </w:pPr>
          </w:p>
          <w:p w14:paraId="22A1209B" w14:textId="77777777" w:rsidR="001C2487" w:rsidRPr="00891B13" w:rsidRDefault="001C2487" w:rsidP="008530FD">
            <w:pPr>
              <w:spacing w:line="276" w:lineRule="auto"/>
              <w:rPr>
                <w:rFonts w:ascii="Times New Roman" w:hAnsi="Times New Roman" w:cs="Times New Roman"/>
              </w:rPr>
            </w:pPr>
            <w:r>
              <w:rPr>
                <w:rFonts w:ascii="Times New Roman" w:hAnsi="Times New Roman" w:cs="Times New Roman"/>
              </w:rPr>
              <w:t>138 055,91</w:t>
            </w:r>
          </w:p>
        </w:tc>
        <w:tc>
          <w:tcPr>
            <w:tcW w:w="950" w:type="dxa"/>
          </w:tcPr>
          <w:p w14:paraId="1A6CA34B" w14:textId="77777777" w:rsidR="008530FD" w:rsidRDefault="005A3F9C" w:rsidP="008530FD">
            <w:pPr>
              <w:rPr>
                <w:rFonts w:ascii="Times New Roman" w:hAnsi="Times New Roman" w:cs="Times New Roman"/>
              </w:rPr>
            </w:pPr>
            <w:r>
              <w:rPr>
                <w:rFonts w:ascii="Times New Roman" w:hAnsi="Times New Roman" w:cs="Times New Roman"/>
              </w:rPr>
              <w:t>-</w:t>
            </w:r>
          </w:p>
        </w:tc>
      </w:tr>
      <w:tr w:rsidR="008530FD" w:rsidRPr="00891B13" w14:paraId="0EA8060B" w14:textId="77777777" w:rsidTr="00637C8B">
        <w:trPr>
          <w:jc w:val="center"/>
        </w:trPr>
        <w:tc>
          <w:tcPr>
            <w:tcW w:w="2220" w:type="dxa"/>
            <w:vMerge/>
          </w:tcPr>
          <w:p w14:paraId="10A4FB50" w14:textId="77777777" w:rsidR="008530FD" w:rsidRPr="00891B13" w:rsidRDefault="008530FD" w:rsidP="008530FD">
            <w:pPr>
              <w:spacing w:line="276" w:lineRule="auto"/>
              <w:rPr>
                <w:rFonts w:ascii="Times New Roman" w:hAnsi="Times New Roman" w:cs="Times New Roman"/>
              </w:rPr>
            </w:pPr>
          </w:p>
        </w:tc>
        <w:tc>
          <w:tcPr>
            <w:tcW w:w="913" w:type="dxa"/>
            <w:vAlign w:val="center"/>
          </w:tcPr>
          <w:p w14:paraId="2449F2B9" w14:textId="77777777" w:rsidR="008530FD" w:rsidRPr="00891B13" w:rsidRDefault="008530FD" w:rsidP="008530FD">
            <w:pPr>
              <w:spacing w:line="276" w:lineRule="auto"/>
              <w:rPr>
                <w:rFonts w:ascii="Times New Roman" w:hAnsi="Times New Roman" w:cs="Times New Roman"/>
              </w:rPr>
            </w:pPr>
          </w:p>
        </w:tc>
        <w:tc>
          <w:tcPr>
            <w:tcW w:w="1060" w:type="dxa"/>
          </w:tcPr>
          <w:p w14:paraId="43F161B3"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r w:rsidR="008530FD" w:rsidRPr="00891B13">
              <w:rPr>
                <w:rFonts w:ascii="Times New Roman" w:hAnsi="Times New Roman" w:cs="Times New Roman"/>
              </w:rPr>
              <w:t xml:space="preserve"> </w:t>
            </w:r>
          </w:p>
        </w:tc>
        <w:tc>
          <w:tcPr>
            <w:tcW w:w="1371" w:type="dxa"/>
          </w:tcPr>
          <w:p w14:paraId="1E3DD63D" w14:textId="77777777" w:rsidR="008530FD" w:rsidRPr="00891B13" w:rsidRDefault="008530FD" w:rsidP="008530FD">
            <w:pPr>
              <w:spacing w:line="276" w:lineRule="auto"/>
              <w:rPr>
                <w:rFonts w:ascii="Times New Roman" w:hAnsi="Times New Roman" w:cs="Times New Roman"/>
              </w:rPr>
            </w:pPr>
          </w:p>
        </w:tc>
        <w:tc>
          <w:tcPr>
            <w:tcW w:w="1206" w:type="dxa"/>
          </w:tcPr>
          <w:p w14:paraId="45509D34" w14:textId="77777777" w:rsidR="008530FD" w:rsidRPr="00891B13" w:rsidRDefault="008530FD" w:rsidP="008530FD">
            <w:pPr>
              <w:spacing w:line="276" w:lineRule="auto"/>
              <w:rPr>
                <w:rFonts w:ascii="Times New Roman" w:hAnsi="Times New Roman" w:cs="Times New Roman"/>
              </w:rPr>
            </w:pPr>
          </w:p>
        </w:tc>
        <w:tc>
          <w:tcPr>
            <w:tcW w:w="1247" w:type="dxa"/>
          </w:tcPr>
          <w:p w14:paraId="40ABB2D3" w14:textId="77777777" w:rsidR="008530FD" w:rsidRPr="00891B13" w:rsidRDefault="008530FD" w:rsidP="008530FD">
            <w:pPr>
              <w:spacing w:line="276" w:lineRule="auto"/>
              <w:rPr>
                <w:rFonts w:ascii="Times New Roman" w:hAnsi="Times New Roman" w:cs="Times New Roman"/>
              </w:rPr>
            </w:pPr>
          </w:p>
        </w:tc>
        <w:tc>
          <w:tcPr>
            <w:tcW w:w="1206" w:type="dxa"/>
          </w:tcPr>
          <w:p w14:paraId="15F827D0" w14:textId="77777777" w:rsidR="008530FD" w:rsidRPr="00891B13" w:rsidRDefault="008530FD" w:rsidP="008530FD">
            <w:pPr>
              <w:spacing w:line="276" w:lineRule="auto"/>
              <w:rPr>
                <w:rFonts w:ascii="Times New Roman" w:hAnsi="Times New Roman" w:cs="Times New Roman"/>
              </w:rPr>
            </w:pPr>
          </w:p>
        </w:tc>
        <w:tc>
          <w:tcPr>
            <w:tcW w:w="950" w:type="dxa"/>
          </w:tcPr>
          <w:p w14:paraId="6C1C2443" w14:textId="77777777" w:rsidR="008530FD" w:rsidRDefault="008530FD" w:rsidP="008530FD">
            <w:pPr>
              <w:rPr>
                <w:rFonts w:ascii="Times New Roman" w:hAnsi="Times New Roman" w:cs="Times New Roman"/>
              </w:rPr>
            </w:pPr>
          </w:p>
        </w:tc>
      </w:tr>
      <w:tr w:rsidR="000A13FD" w:rsidRPr="00891B13" w14:paraId="681FB23E" w14:textId="77777777" w:rsidTr="00B65DAF">
        <w:trPr>
          <w:trHeight w:val="1708"/>
          <w:jc w:val="center"/>
        </w:trPr>
        <w:tc>
          <w:tcPr>
            <w:tcW w:w="2220" w:type="dxa"/>
            <w:vMerge w:val="restart"/>
            <w:vAlign w:val="center"/>
          </w:tcPr>
          <w:p w14:paraId="5EFC9675" w14:textId="77777777" w:rsidR="000A13FD" w:rsidRPr="00891B13" w:rsidRDefault="000A13FD" w:rsidP="00B65DAF">
            <w:pPr>
              <w:spacing w:line="276" w:lineRule="auto"/>
              <w:rPr>
                <w:rFonts w:ascii="Times New Roman" w:hAnsi="Times New Roman" w:cs="Times New Roman"/>
              </w:rPr>
            </w:pPr>
            <w:r>
              <w:rPr>
                <w:rFonts w:ascii="Times New Roman" w:hAnsi="Times New Roman" w:cs="Times New Roman"/>
              </w:rPr>
              <w:t>3.5 Spolupráca medzi malými hospodárskymi subjektmi pri organizácii spoločných pracovných procesov a spoločnom využívaní zariadení a zdrojov a pri rozvoji služieb v oblasti cestovného ruchu/ich uvádzania na trh</w:t>
            </w:r>
          </w:p>
        </w:tc>
        <w:tc>
          <w:tcPr>
            <w:tcW w:w="913" w:type="dxa"/>
            <w:vAlign w:val="center"/>
          </w:tcPr>
          <w:p w14:paraId="1B24E4C4" w14:textId="77777777" w:rsidR="000A13FD" w:rsidRPr="00891B13" w:rsidRDefault="000A13FD" w:rsidP="00B65DAF">
            <w:pPr>
              <w:spacing w:line="276" w:lineRule="auto"/>
              <w:rPr>
                <w:rFonts w:ascii="Times New Roman" w:hAnsi="Times New Roman" w:cs="Times New Roman"/>
              </w:rPr>
            </w:pPr>
            <w:r w:rsidRPr="00891B13">
              <w:rPr>
                <w:rFonts w:ascii="Times New Roman" w:hAnsi="Times New Roman" w:cs="Times New Roman"/>
                <w:sz w:val="24"/>
                <w:szCs w:val="24"/>
              </w:rPr>
              <w:t>PRV</w:t>
            </w:r>
          </w:p>
        </w:tc>
        <w:tc>
          <w:tcPr>
            <w:tcW w:w="1060" w:type="dxa"/>
          </w:tcPr>
          <w:p w14:paraId="7168FA02" w14:textId="77777777" w:rsidR="000A13FD" w:rsidRDefault="000A13FD" w:rsidP="00B65DAF">
            <w:pPr>
              <w:spacing w:line="276" w:lineRule="auto"/>
              <w:rPr>
                <w:rFonts w:ascii="Times New Roman" w:hAnsi="Times New Roman" w:cs="Times New Roman"/>
              </w:rPr>
            </w:pPr>
          </w:p>
          <w:p w14:paraId="634C1184" w14:textId="77777777" w:rsidR="000540E5" w:rsidRPr="00891B13" w:rsidRDefault="000540E5" w:rsidP="00B65DAF">
            <w:pPr>
              <w:spacing w:line="276" w:lineRule="auto"/>
              <w:rPr>
                <w:rFonts w:ascii="Times New Roman" w:hAnsi="Times New Roman" w:cs="Times New Roman"/>
              </w:rPr>
            </w:pPr>
            <w:r>
              <w:rPr>
                <w:rFonts w:ascii="Times New Roman" w:hAnsi="Times New Roman" w:cs="Times New Roman"/>
              </w:rPr>
              <w:t>MR</w:t>
            </w:r>
          </w:p>
        </w:tc>
        <w:tc>
          <w:tcPr>
            <w:tcW w:w="1371" w:type="dxa"/>
          </w:tcPr>
          <w:p w14:paraId="7848D947" w14:textId="77777777" w:rsidR="000540E5" w:rsidRPr="00891B13" w:rsidRDefault="00C37B96" w:rsidP="00B65DAF">
            <w:pPr>
              <w:spacing w:line="276" w:lineRule="auto"/>
              <w:rPr>
                <w:rFonts w:ascii="Times New Roman" w:hAnsi="Times New Roman" w:cs="Times New Roman"/>
              </w:rPr>
            </w:pPr>
            <w:r>
              <w:rPr>
                <w:rFonts w:ascii="Times New Roman" w:hAnsi="Times New Roman" w:cs="Times New Roman"/>
              </w:rPr>
              <w:t>-</w:t>
            </w:r>
          </w:p>
        </w:tc>
        <w:tc>
          <w:tcPr>
            <w:tcW w:w="1206" w:type="dxa"/>
          </w:tcPr>
          <w:p w14:paraId="1DC48151" w14:textId="77777777" w:rsidR="000540E5" w:rsidRPr="00891B13" w:rsidRDefault="00C37B96" w:rsidP="00B65DAF">
            <w:pPr>
              <w:spacing w:line="276" w:lineRule="auto"/>
              <w:rPr>
                <w:rFonts w:ascii="Times New Roman" w:hAnsi="Times New Roman" w:cs="Times New Roman"/>
              </w:rPr>
            </w:pPr>
            <w:r>
              <w:rPr>
                <w:rFonts w:ascii="Times New Roman" w:hAnsi="Times New Roman" w:cs="Times New Roman"/>
              </w:rPr>
              <w:t>-</w:t>
            </w:r>
          </w:p>
        </w:tc>
        <w:tc>
          <w:tcPr>
            <w:tcW w:w="1247" w:type="dxa"/>
          </w:tcPr>
          <w:p w14:paraId="16A1B21B" w14:textId="77777777" w:rsidR="000540E5" w:rsidRPr="00891B13" w:rsidRDefault="00C37B96" w:rsidP="000540E5">
            <w:pPr>
              <w:spacing w:line="276" w:lineRule="auto"/>
              <w:rPr>
                <w:rFonts w:ascii="Times New Roman" w:hAnsi="Times New Roman" w:cs="Times New Roman"/>
              </w:rPr>
            </w:pPr>
            <w:r>
              <w:rPr>
                <w:rFonts w:ascii="Times New Roman" w:hAnsi="Times New Roman" w:cs="Times New Roman"/>
              </w:rPr>
              <w:t>-</w:t>
            </w:r>
          </w:p>
        </w:tc>
        <w:tc>
          <w:tcPr>
            <w:tcW w:w="1206" w:type="dxa"/>
          </w:tcPr>
          <w:p w14:paraId="543A79B1" w14:textId="77777777" w:rsidR="000540E5" w:rsidRPr="00891B13" w:rsidRDefault="00C37B96" w:rsidP="00B65DAF">
            <w:pPr>
              <w:spacing w:line="276" w:lineRule="auto"/>
              <w:rPr>
                <w:rFonts w:ascii="Times New Roman" w:hAnsi="Times New Roman" w:cs="Times New Roman"/>
              </w:rPr>
            </w:pPr>
            <w:r>
              <w:rPr>
                <w:rFonts w:ascii="Times New Roman" w:hAnsi="Times New Roman" w:cs="Times New Roman"/>
              </w:rPr>
              <w:t>-</w:t>
            </w:r>
          </w:p>
        </w:tc>
        <w:tc>
          <w:tcPr>
            <w:tcW w:w="950" w:type="dxa"/>
          </w:tcPr>
          <w:p w14:paraId="625B6ADE" w14:textId="77777777" w:rsidR="000A13FD" w:rsidRPr="00891B13" w:rsidRDefault="005A3F9C" w:rsidP="00B65DAF">
            <w:pPr>
              <w:spacing w:line="276" w:lineRule="auto"/>
              <w:rPr>
                <w:rFonts w:ascii="Times New Roman" w:hAnsi="Times New Roman" w:cs="Times New Roman"/>
              </w:rPr>
            </w:pPr>
            <w:r>
              <w:rPr>
                <w:rFonts w:ascii="Times New Roman" w:hAnsi="Times New Roman" w:cs="Times New Roman"/>
              </w:rPr>
              <w:t>-</w:t>
            </w:r>
          </w:p>
        </w:tc>
      </w:tr>
      <w:tr w:rsidR="000A13FD" w:rsidRPr="00891B13" w14:paraId="74FA9573" w14:textId="77777777" w:rsidTr="00B65DAF">
        <w:trPr>
          <w:jc w:val="center"/>
        </w:trPr>
        <w:tc>
          <w:tcPr>
            <w:tcW w:w="2220" w:type="dxa"/>
            <w:vMerge/>
          </w:tcPr>
          <w:p w14:paraId="2305EE6F" w14:textId="77777777" w:rsidR="000A13FD" w:rsidRPr="00891B13" w:rsidRDefault="000A13FD" w:rsidP="00B65DAF">
            <w:pPr>
              <w:spacing w:line="276" w:lineRule="auto"/>
              <w:rPr>
                <w:rFonts w:ascii="Times New Roman" w:hAnsi="Times New Roman" w:cs="Times New Roman"/>
              </w:rPr>
            </w:pPr>
          </w:p>
        </w:tc>
        <w:tc>
          <w:tcPr>
            <w:tcW w:w="913" w:type="dxa"/>
            <w:vAlign w:val="center"/>
          </w:tcPr>
          <w:p w14:paraId="3598E01B" w14:textId="77777777" w:rsidR="000A13FD" w:rsidRPr="00891B13" w:rsidRDefault="000A13FD" w:rsidP="00B65DAF">
            <w:pPr>
              <w:spacing w:line="276" w:lineRule="auto"/>
              <w:rPr>
                <w:rFonts w:ascii="Times New Roman" w:hAnsi="Times New Roman" w:cs="Times New Roman"/>
              </w:rPr>
            </w:pPr>
          </w:p>
        </w:tc>
        <w:tc>
          <w:tcPr>
            <w:tcW w:w="1060" w:type="dxa"/>
          </w:tcPr>
          <w:p w14:paraId="44DA4619" w14:textId="77777777" w:rsidR="000A13FD" w:rsidRDefault="000A13FD" w:rsidP="00B65DAF">
            <w:pPr>
              <w:spacing w:line="276" w:lineRule="auto"/>
              <w:rPr>
                <w:rFonts w:ascii="Times New Roman" w:hAnsi="Times New Roman" w:cs="Times New Roman"/>
              </w:rPr>
            </w:pPr>
          </w:p>
          <w:p w14:paraId="04C00234" w14:textId="77777777" w:rsidR="000540E5" w:rsidRPr="00891B13" w:rsidRDefault="000540E5" w:rsidP="00B65DAF">
            <w:pPr>
              <w:spacing w:line="276" w:lineRule="auto"/>
              <w:rPr>
                <w:rFonts w:ascii="Times New Roman" w:hAnsi="Times New Roman" w:cs="Times New Roman"/>
              </w:rPr>
            </w:pPr>
            <w:r>
              <w:rPr>
                <w:rFonts w:ascii="Times New Roman" w:hAnsi="Times New Roman" w:cs="Times New Roman"/>
              </w:rPr>
              <w:t>VR</w:t>
            </w:r>
          </w:p>
        </w:tc>
        <w:tc>
          <w:tcPr>
            <w:tcW w:w="1371" w:type="dxa"/>
          </w:tcPr>
          <w:p w14:paraId="5521458E" w14:textId="77777777" w:rsidR="000A13FD" w:rsidRPr="00891B13" w:rsidRDefault="000A13FD" w:rsidP="00B65DAF">
            <w:pPr>
              <w:spacing w:line="276" w:lineRule="auto"/>
              <w:rPr>
                <w:rFonts w:ascii="Times New Roman" w:hAnsi="Times New Roman" w:cs="Times New Roman"/>
              </w:rPr>
            </w:pPr>
          </w:p>
        </w:tc>
        <w:tc>
          <w:tcPr>
            <w:tcW w:w="1206" w:type="dxa"/>
          </w:tcPr>
          <w:p w14:paraId="7876290E" w14:textId="77777777" w:rsidR="000A13FD" w:rsidRPr="00891B13" w:rsidRDefault="000A13FD" w:rsidP="00B65DAF">
            <w:pPr>
              <w:spacing w:line="276" w:lineRule="auto"/>
              <w:rPr>
                <w:rFonts w:ascii="Times New Roman" w:hAnsi="Times New Roman" w:cs="Times New Roman"/>
              </w:rPr>
            </w:pPr>
          </w:p>
        </w:tc>
        <w:tc>
          <w:tcPr>
            <w:tcW w:w="1247" w:type="dxa"/>
          </w:tcPr>
          <w:p w14:paraId="6812016F" w14:textId="77777777" w:rsidR="000A13FD" w:rsidRPr="00891B13" w:rsidRDefault="000A13FD" w:rsidP="00B65DAF">
            <w:pPr>
              <w:spacing w:line="276" w:lineRule="auto"/>
              <w:rPr>
                <w:rFonts w:ascii="Times New Roman" w:hAnsi="Times New Roman" w:cs="Times New Roman"/>
              </w:rPr>
            </w:pPr>
          </w:p>
        </w:tc>
        <w:tc>
          <w:tcPr>
            <w:tcW w:w="1206" w:type="dxa"/>
          </w:tcPr>
          <w:p w14:paraId="15CDE933" w14:textId="77777777" w:rsidR="000A13FD" w:rsidRPr="00891B13" w:rsidRDefault="000A13FD" w:rsidP="00B65DAF">
            <w:pPr>
              <w:spacing w:line="276" w:lineRule="auto"/>
              <w:rPr>
                <w:rFonts w:ascii="Times New Roman" w:hAnsi="Times New Roman" w:cs="Times New Roman"/>
              </w:rPr>
            </w:pPr>
          </w:p>
        </w:tc>
        <w:tc>
          <w:tcPr>
            <w:tcW w:w="950" w:type="dxa"/>
          </w:tcPr>
          <w:p w14:paraId="17781642" w14:textId="77777777" w:rsidR="000A13FD" w:rsidRPr="00891B13" w:rsidRDefault="000A13FD" w:rsidP="00B65DAF">
            <w:pPr>
              <w:spacing w:line="276" w:lineRule="auto"/>
              <w:rPr>
                <w:rFonts w:ascii="Times New Roman" w:hAnsi="Times New Roman" w:cs="Times New Roman"/>
              </w:rPr>
            </w:pPr>
          </w:p>
        </w:tc>
      </w:tr>
      <w:tr w:rsidR="008530FD" w:rsidRPr="00891B13" w14:paraId="07A23C3B" w14:textId="77777777" w:rsidTr="000A13FD">
        <w:trPr>
          <w:trHeight w:val="922"/>
          <w:jc w:val="center"/>
        </w:trPr>
        <w:tc>
          <w:tcPr>
            <w:tcW w:w="2220" w:type="dxa"/>
            <w:vMerge w:val="restart"/>
            <w:vAlign w:val="center"/>
          </w:tcPr>
          <w:p w14:paraId="4C4454D0" w14:textId="77777777" w:rsidR="008530FD" w:rsidRPr="00891B13" w:rsidRDefault="000A13FD" w:rsidP="008530FD">
            <w:pPr>
              <w:spacing w:line="276" w:lineRule="auto"/>
              <w:rPr>
                <w:rFonts w:ascii="Times New Roman" w:hAnsi="Times New Roman" w:cs="Times New Roman"/>
              </w:rPr>
            </w:pPr>
            <w:r>
              <w:rPr>
                <w:rFonts w:ascii="Times New Roman" w:hAnsi="Times New Roman" w:cs="Times New Roman"/>
              </w:rPr>
              <w:t>3.6 Podpora zamestnanosti, začleňovania a rozvoja ľudských zdrojov</w:t>
            </w:r>
          </w:p>
        </w:tc>
        <w:tc>
          <w:tcPr>
            <w:tcW w:w="913" w:type="dxa"/>
            <w:vAlign w:val="center"/>
          </w:tcPr>
          <w:p w14:paraId="74768919" w14:textId="77777777" w:rsidR="008530FD" w:rsidRPr="00891B13" w:rsidRDefault="000A13FD" w:rsidP="008530FD">
            <w:pPr>
              <w:spacing w:line="276" w:lineRule="auto"/>
              <w:rPr>
                <w:rFonts w:ascii="Times New Roman" w:hAnsi="Times New Roman" w:cs="Times New Roman"/>
              </w:rPr>
            </w:pPr>
            <w:r>
              <w:rPr>
                <w:rFonts w:ascii="Times New Roman" w:hAnsi="Times New Roman" w:cs="Times New Roman"/>
                <w:sz w:val="24"/>
                <w:szCs w:val="24"/>
              </w:rPr>
              <w:t>OP ĽZ</w:t>
            </w:r>
          </w:p>
        </w:tc>
        <w:tc>
          <w:tcPr>
            <w:tcW w:w="1060" w:type="dxa"/>
          </w:tcPr>
          <w:p w14:paraId="0276869C"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MR</w:t>
            </w:r>
          </w:p>
        </w:tc>
        <w:tc>
          <w:tcPr>
            <w:tcW w:w="1371" w:type="dxa"/>
          </w:tcPr>
          <w:p w14:paraId="1816D256" w14:textId="77777777" w:rsidR="005A3F9C" w:rsidRPr="00891B13" w:rsidRDefault="005A3F9C" w:rsidP="008530FD">
            <w:pPr>
              <w:spacing w:line="276" w:lineRule="auto"/>
              <w:rPr>
                <w:rFonts w:ascii="Times New Roman" w:hAnsi="Times New Roman" w:cs="Times New Roman"/>
              </w:rPr>
            </w:pPr>
          </w:p>
        </w:tc>
        <w:tc>
          <w:tcPr>
            <w:tcW w:w="1206" w:type="dxa"/>
          </w:tcPr>
          <w:p w14:paraId="3E8FE18B" w14:textId="77777777" w:rsidR="005A3F9C" w:rsidRPr="00891B13" w:rsidRDefault="005A3F9C" w:rsidP="008530FD">
            <w:pPr>
              <w:spacing w:line="276" w:lineRule="auto"/>
              <w:rPr>
                <w:rFonts w:ascii="Times New Roman" w:hAnsi="Times New Roman" w:cs="Times New Roman"/>
              </w:rPr>
            </w:pPr>
          </w:p>
        </w:tc>
        <w:tc>
          <w:tcPr>
            <w:tcW w:w="1247" w:type="dxa"/>
          </w:tcPr>
          <w:p w14:paraId="30CC7A19" w14:textId="77777777" w:rsidR="005A3F9C" w:rsidRPr="00891B13" w:rsidRDefault="005A3F9C" w:rsidP="008530FD">
            <w:pPr>
              <w:spacing w:line="276" w:lineRule="auto"/>
              <w:rPr>
                <w:rFonts w:ascii="Times New Roman" w:hAnsi="Times New Roman" w:cs="Times New Roman"/>
              </w:rPr>
            </w:pPr>
          </w:p>
        </w:tc>
        <w:tc>
          <w:tcPr>
            <w:tcW w:w="1206" w:type="dxa"/>
          </w:tcPr>
          <w:p w14:paraId="2F74DA70" w14:textId="77777777" w:rsidR="005A3F9C" w:rsidRPr="00891B13" w:rsidRDefault="005A3F9C" w:rsidP="008530FD">
            <w:pPr>
              <w:spacing w:line="276" w:lineRule="auto"/>
              <w:rPr>
                <w:rFonts w:ascii="Times New Roman" w:hAnsi="Times New Roman" w:cs="Times New Roman"/>
              </w:rPr>
            </w:pPr>
          </w:p>
        </w:tc>
        <w:tc>
          <w:tcPr>
            <w:tcW w:w="950" w:type="dxa"/>
          </w:tcPr>
          <w:p w14:paraId="30ECCDDC" w14:textId="77777777" w:rsidR="008530FD" w:rsidRPr="00891B13" w:rsidRDefault="000A13FD" w:rsidP="008530FD">
            <w:pPr>
              <w:spacing w:line="276" w:lineRule="auto"/>
              <w:rPr>
                <w:rFonts w:ascii="Times New Roman" w:hAnsi="Times New Roman" w:cs="Times New Roman"/>
              </w:rPr>
            </w:pPr>
            <w:r>
              <w:rPr>
                <w:rFonts w:ascii="Times New Roman" w:hAnsi="Times New Roman" w:cs="Times New Roman"/>
              </w:rPr>
              <w:t>-</w:t>
            </w:r>
          </w:p>
        </w:tc>
      </w:tr>
      <w:tr w:rsidR="008530FD" w:rsidRPr="00891B13" w14:paraId="5B5EDF08" w14:textId="77777777" w:rsidTr="00637C8B">
        <w:trPr>
          <w:jc w:val="center"/>
        </w:trPr>
        <w:tc>
          <w:tcPr>
            <w:tcW w:w="2220" w:type="dxa"/>
            <w:vMerge/>
          </w:tcPr>
          <w:p w14:paraId="75ED4599" w14:textId="77777777" w:rsidR="008530FD" w:rsidRPr="00891B13" w:rsidRDefault="008530FD" w:rsidP="008530FD">
            <w:pPr>
              <w:spacing w:line="276" w:lineRule="auto"/>
              <w:rPr>
                <w:rFonts w:ascii="Times New Roman" w:hAnsi="Times New Roman" w:cs="Times New Roman"/>
              </w:rPr>
            </w:pPr>
          </w:p>
        </w:tc>
        <w:tc>
          <w:tcPr>
            <w:tcW w:w="913" w:type="dxa"/>
            <w:vAlign w:val="center"/>
          </w:tcPr>
          <w:p w14:paraId="2A93F831" w14:textId="77777777" w:rsidR="008530FD" w:rsidRPr="00891B13" w:rsidRDefault="008530FD" w:rsidP="008530FD">
            <w:pPr>
              <w:spacing w:line="276" w:lineRule="auto"/>
              <w:rPr>
                <w:rFonts w:ascii="Times New Roman" w:hAnsi="Times New Roman" w:cs="Times New Roman"/>
              </w:rPr>
            </w:pPr>
          </w:p>
        </w:tc>
        <w:tc>
          <w:tcPr>
            <w:tcW w:w="1060" w:type="dxa"/>
          </w:tcPr>
          <w:p w14:paraId="09A54227" w14:textId="77777777" w:rsidR="008530FD" w:rsidRPr="00891B13" w:rsidRDefault="00C50E03" w:rsidP="008530FD">
            <w:pPr>
              <w:spacing w:line="276" w:lineRule="auto"/>
              <w:rPr>
                <w:rFonts w:ascii="Times New Roman" w:hAnsi="Times New Roman" w:cs="Times New Roman"/>
              </w:rPr>
            </w:pPr>
            <w:r>
              <w:rPr>
                <w:rFonts w:ascii="Times New Roman" w:hAnsi="Times New Roman" w:cs="Times New Roman"/>
              </w:rPr>
              <w:t>VR</w:t>
            </w:r>
          </w:p>
        </w:tc>
        <w:tc>
          <w:tcPr>
            <w:tcW w:w="1371" w:type="dxa"/>
          </w:tcPr>
          <w:p w14:paraId="23E7772F" w14:textId="77777777" w:rsidR="008530FD" w:rsidRPr="00891B13" w:rsidRDefault="008530FD" w:rsidP="008530FD">
            <w:pPr>
              <w:spacing w:line="276" w:lineRule="auto"/>
              <w:rPr>
                <w:rFonts w:ascii="Times New Roman" w:hAnsi="Times New Roman" w:cs="Times New Roman"/>
              </w:rPr>
            </w:pPr>
          </w:p>
        </w:tc>
        <w:tc>
          <w:tcPr>
            <w:tcW w:w="1206" w:type="dxa"/>
          </w:tcPr>
          <w:p w14:paraId="01D41594" w14:textId="77777777" w:rsidR="008530FD" w:rsidRPr="00891B13" w:rsidRDefault="008530FD" w:rsidP="008530FD">
            <w:pPr>
              <w:spacing w:line="276" w:lineRule="auto"/>
              <w:rPr>
                <w:rFonts w:ascii="Times New Roman" w:hAnsi="Times New Roman" w:cs="Times New Roman"/>
              </w:rPr>
            </w:pPr>
          </w:p>
        </w:tc>
        <w:tc>
          <w:tcPr>
            <w:tcW w:w="1247" w:type="dxa"/>
          </w:tcPr>
          <w:p w14:paraId="404C7787" w14:textId="77777777" w:rsidR="008530FD" w:rsidRPr="00891B13" w:rsidRDefault="008530FD" w:rsidP="008530FD">
            <w:pPr>
              <w:spacing w:line="276" w:lineRule="auto"/>
              <w:rPr>
                <w:rFonts w:ascii="Times New Roman" w:hAnsi="Times New Roman" w:cs="Times New Roman"/>
              </w:rPr>
            </w:pPr>
          </w:p>
        </w:tc>
        <w:tc>
          <w:tcPr>
            <w:tcW w:w="1206" w:type="dxa"/>
          </w:tcPr>
          <w:p w14:paraId="509248B1" w14:textId="77777777" w:rsidR="008530FD" w:rsidRPr="00891B13" w:rsidRDefault="008530FD" w:rsidP="008530FD">
            <w:pPr>
              <w:spacing w:line="276" w:lineRule="auto"/>
              <w:rPr>
                <w:rFonts w:ascii="Times New Roman" w:hAnsi="Times New Roman" w:cs="Times New Roman"/>
              </w:rPr>
            </w:pPr>
          </w:p>
        </w:tc>
        <w:tc>
          <w:tcPr>
            <w:tcW w:w="950" w:type="dxa"/>
          </w:tcPr>
          <w:p w14:paraId="16FB8632" w14:textId="77777777" w:rsidR="008530FD" w:rsidRDefault="008530FD" w:rsidP="008530FD">
            <w:pPr>
              <w:spacing w:line="276" w:lineRule="auto"/>
              <w:rPr>
                <w:rFonts w:ascii="Times New Roman" w:hAnsi="Times New Roman" w:cs="Times New Roman"/>
              </w:rPr>
            </w:pPr>
          </w:p>
          <w:p w14:paraId="4A57E21D" w14:textId="77777777" w:rsidR="008530FD" w:rsidRDefault="008530FD" w:rsidP="008530FD">
            <w:pPr>
              <w:spacing w:line="276" w:lineRule="auto"/>
              <w:rPr>
                <w:rFonts w:ascii="Times New Roman" w:hAnsi="Times New Roman" w:cs="Times New Roman"/>
              </w:rPr>
            </w:pPr>
          </w:p>
          <w:p w14:paraId="288A43FC" w14:textId="77777777" w:rsidR="008530FD" w:rsidRPr="00891B13" w:rsidRDefault="008530FD" w:rsidP="008530FD">
            <w:pPr>
              <w:spacing w:line="276" w:lineRule="auto"/>
              <w:rPr>
                <w:rFonts w:ascii="Times New Roman" w:hAnsi="Times New Roman" w:cs="Times New Roman"/>
              </w:rPr>
            </w:pPr>
          </w:p>
        </w:tc>
      </w:tr>
      <w:tr w:rsidR="00656C94" w:rsidRPr="00891B13" w14:paraId="6964BAFB" w14:textId="77777777" w:rsidTr="00BB35D3">
        <w:trPr>
          <w:trHeight w:val="922"/>
          <w:jc w:val="center"/>
        </w:trPr>
        <w:tc>
          <w:tcPr>
            <w:tcW w:w="2220" w:type="dxa"/>
            <w:vMerge w:val="restart"/>
            <w:vAlign w:val="center"/>
          </w:tcPr>
          <w:p w14:paraId="619F107E"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4.1 Chod MAS a animácie</w:t>
            </w:r>
          </w:p>
        </w:tc>
        <w:tc>
          <w:tcPr>
            <w:tcW w:w="913" w:type="dxa"/>
            <w:vAlign w:val="center"/>
          </w:tcPr>
          <w:p w14:paraId="2E48A2C4"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sz w:val="24"/>
                <w:szCs w:val="24"/>
              </w:rPr>
              <w:t>PRV</w:t>
            </w:r>
          </w:p>
        </w:tc>
        <w:tc>
          <w:tcPr>
            <w:tcW w:w="1060" w:type="dxa"/>
          </w:tcPr>
          <w:p w14:paraId="33990FBF" w14:textId="77777777" w:rsidR="00656C94" w:rsidRPr="00891B13" w:rsidRDefault="00C50E03" w:rsidP="00BB35D3">
            <w:pPr>
              <w:spacing w:line="276" w:lineRule="auto"/>
              <w:rPr>
                <w:rFonts w:ascii="Times New Roman" w:hAnsi="Times New Roman" w:cs="Times New Roman"/>
              </w:rPr>
            </w:pPr>
            <w:r>
              <w:rPr>
                <w:rFonts w:ascii="Times New Roman" w:hAnsi="Times New Roman" w:cs="Times New Roman"/>
              </w:rPr>
              <w:t>MR</w:t>
            </w:r>
          </w:p>
        </w:tc>
        <w:tc>
          <w:tcPr>
            <w:tcW w:w="1371" w:type="dxa"/>
          </w:tcPr>
          <w:p w14:paraId="11FDE45D" w14:textId="77777777" w:rsidR="00656C94" w:rsidRDefault="005A3F9C" w:rsidP="00BB35D3">
            <w:pPr>
              <w:spacing w:line="276" w:lineRule="auto"/>
              <w:rPr>
                <w:rFonts w:ascii="Times New Roman" w:hAnsi="Times New Roman" w:cs="Times New Roman"/>
              </w:rPr>
            </w:pPr>
            <w:r>
              <w:rPr>
                <w:rFonts w:ascii="Times New Roman" w:hAnsi="Times New Roman" w:cs="Times New Roman"/>
              </w:rPr>
              <w:t> </w:t>
            </w:r>
          </w:p>
          <w:p w14:paraId="542E6C52" w14:textId="77777777" w:rsidR="001C2487" w:rsidRDefault="001C2487" w:rsidP="00BB35D3">
            <w:pPr>
              <w:spacing w:line="276" w:lineRule="auto"/>
              <w:rPr>
                <w:rFonts w:ascii="Times New Roman" w:hAnsi="Times New Roman" w:cs="Times New Roman"/>
              </w:rPr>
            </w:pPr>
          </w:p>
          <w:p w14:paraId="13FE69E5" w14:textId="77777777" w:rsidR="001C2487" w:rsidRPr="00891B13" w:rsidRDefault="001C2487" w:rsidP="001C2487">
            <w:pPr>
              <w:spacing w:line="276" w:lineRule="auto"/>
              <w:rPr>
                <w:rFonts w:ascii="Times New Roman" w:hAnsi="Times New Roman" w:cs="Times New Roman"/>
              </w:rPr>
            </w:pPr>
            <w:r>
              <w:rPr>
                <w:rFonts w:ascii="Times New Roman" w:hAnsi="Times New Roman" w:cs="Times New Roman"/>
              </w:rPr>
              <w:t>43 100,00</w:t>
            </w:r>
          </w:p>
        </w:tc>
        <w:tc>
          <w:tcPr>
            <w:tcW w:w="1206" w:type="dxa"/>
          </w:tcPr>
          <w:p w14:paraId="22314372" w14:textId="77777777" w:rsidR="005A3F9C" w:rsidRDefault="005A3F9C" w:rsidP="00BB35D3">
            <w:pPr>
              <w:spacing w:line="276" w:lineRule="auto"/>
              <w:rPr>
                <w:rFonts w:ascii="Times New Roman" w:hAnsi="Times New Roman" w:cs="Times New Roman"/>
              </w:rPr>
            </w:pPr>
          </w:p>
          <w:p w14:paraId="56F52A4E" w14:textId="77777777" w:rsidR="001C2487" w:rsidRPr="00891B13" w:rsidRDefault="001C2487" w:rsidP="00BB35D3">
            <w:pPr>
              <w:spacing w:line="276" w:lineRule="auto"/>
              <w:rPr>
                <w:rFonts w:ascii="Times New Roman" w:hAnsi="Times New Roman" w:cs="Times New Roman"/>
              </w:rPr>
            </w:pPr>
            <w:r>
              <w:rPr>
                <w:rFonts w:ascii="Times New Roman" w:hAnsi="Times New Roman" w:cs="Times New Roman"/>
              </w:rPr>
              <w:t>32 325,00</w:t>
            </w:r>
          </w:p>
        </w:tc>
        <w:tc>
          <w:tcPr>
            <w:tcW w:w="1247" w:type="dxa"/>
          </w:tcPr>
          <w:p w14:paraId="1664CD87" w14:textId="77777777" w:rsidR="00656C94" w:rsidRDefault="005A3F9C" w:rsidP="00BB35D3">
            <w:pPr>
              <w:spacing w:line="276" w:lineRule="auto"/>
              <w:rPr>
                <w:rFonts w:ascii="Times New Roman" w:hAnsi="Times New Roman" w:cs="Times New Roman"/>
              </w:rPr>
            </w:pPr>
            <w:r>
              <w:rPr>
                <w:rFonts w:ascii="Times New Roman" w:hAnsi="Times New Roman" w:cs="Times New Roman"/>
              </w:rPr>
              <w:t> </w:t>
            </w:r>
          </w:p>
          <w:p w14:paraId="342D69B1" w14:textId="77777777" w:rsidR="005A3F9C" w:rsidRDefault="005A3F9C" w:rsidP="00BB35D3">
            <w:pPr>
              <w:spacing w:line="276" w:lineRule="auto"/>
              <w:rPr>
                <w:rFonts w:ascii="Times New Roman" w:hAnsi="Times New Roman" w:cs="Times New Roman"/>
              </w:rPr>
            </w:pPr>
          </w:p>
          <w:p w14:paraId="4D3C873D" w14:textId="77777777" w:rsidR="001C2487" w:rsidRPr="00891B13" w:rsidRDefault="001C2487" w:rsidP="00BB35D3">
            <w:pPr>
              <w:spacing w:line="276" w:lineRule="auto"/>
              <w:rPr>
                <w:rFonts w:ascii="Times New Roman" w:hAnsi="Times New Roman" w:cs="Times New Roman"/>
              </w:rPr>
            </w:pPr>
            <w:r>
              <w:rPr>
                <w:rFonts w:ascii="Times New Roman" w:hAnsi="Times New Roman" w:cs="Times New Roman"/>
              </w:rPr>
              <w:t>10 775,00</w:t>
            </w:r>
          </w:p>
        </w:tc>
        <w:tc>
          <w:tcPr>
            <w:tcW w:w="1206" w:type="dxa"/>
          </w:tcPr>
          <w:p w14:paraId="261D0421"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w:t>
            </w:r>
          </w:p>
        </w:tc>
        <w:tc>
          <w:tcPr>
            <w:tcW w:w="950" w:type="dxa"/>
          </w:tcPr>
          <w:p w14:paraId="42343F14"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w:t>
            </w:r>
          </w:p>
        </w:tc>
      </w:tr>
      <w:tr w:rsidR="00656C94" w:rsidRPr="00891B13" w14:paraId="050BB05E" w14:textId="77777777" w:rsidTr="00BB35D3">
        <w:trPr>
          <w:jc w:val="center"/>
        </w:trPr>
        <w:tc>
          <w:tcPr>
            <w:tcW w:w="2220" w:type="dxa"/>
            <w:vMerge/>
          </w:tcPr>
          <w:p w14:paraId="58660B6B" w14:textId="77777777" w:rsidR="00656C94" w:rsidRPr="00891B13" w:rsidRDefault="00656C94" w:rsidP="00BB35D3">
            <w:pPr>
              <w:spacing w:line="276" w:lineRule="auto"/>
              <w:rPr>
                <w:rFonts w:ascii="Times New Roman" w:hAnsi="Times New Roman" w:cs="Times New Roman"/>
              </w:rPr>
            </w:pPr>
          </w:p>
        </w:tc>
        <w:tc>
          <w:tcPr>
            <w:tcW w:w="913" w:type="dxa"/>
            <w:vAlign w:val="center"/>
          </w:tcPr>
          <w:p w14:paraId="5DD0F8B6" w14:textId="77777777" w:rsidR="00656C94" w:rsidRPr="00891B13" w:rsidRDefault="00656C94" w:rsidP="00BB35D3">
            <w:pPr>
              <w:spacing w:line="276" w:lineRule="auto"/>
              <w:rPr>
                <w:rFonts w:ascii="Times New Roman" w:hAnsi="Times New Roman" w:cs="Times New Roman"/>
              </w:rPr>
            </w:pPr>
          </w:p>
        </w:tc>
        <w:tc>
          <w:tcPr>
            <w:tcW w:w="1060" w:type="dxa"/>
          </w:tcPr>
          <w:p w14:paraId="34E24D16" w14:textId="77777777" w:rsidR="00656C94" w:rsidRPr="00891B13" w:rsidRDefault="00C50E03" w:rsidP="00BB35D3">
            <w:pPr>
              <w:spacing w:line="276" w:lineRule="auto"/>
              <w:rPr>
                <w:rFonts w:ascii="Times New Roman" w:hAnsi="Times New Roman" w:cs="Times New Roman"/>
              </w:rPr>
            </w:pPr>
            <w:r>
              <w:rPr>
                <w:rFonts w:ascii="Times New Roman" w:hAnsi="Times New Roman" w:cs="Times New Roman"/>
              </w:rPr>
              <w:t>VR</w:t>
            </w:r>
          </w:p>
        </w:tc>
        <w:tc>
          <w:tcPr>
            <w:tcW w:w="1371" w:type="dxa"/>
          </w:tcPr>
          <w:p w14:paraId="68B41F34" w14:textId="77777777" w:rsidR="00656C94" w:rsidRPr="00891B13" w:rsidRDefault="00656C94" w:rsidP="00BB35D3">
            <w:pPr>
              <w:spacing w:line="276" w:lineRule="auto"/>
              <w:rPr>
                <w:rFonts w:ascii="Times New Roman" w:hAnsi="Times New Roman" w:cs="Times New Roman"/>
              </w:rPr>
            </w:pPr>
          </w:p>
        </w:tc>
        <w:tc>
          <w:tcPr>
            <w:tcW w:w="1206" w:type="dxa"/>
          </w:tcPr>
          <w:p w14:paraId="611E0267" w14:textId="77777777" w:rsidR="00656C94" w:rsidRPr="00891B13" w:rsidRDefault="00656C94" w:rsidP="00BB35D3">
            <w:pPr>
              <w:spacing w:line="276" w:lineRule="auto"/>
              <w:rPr>
                <w:rFonts w:ascii="Times New Roman" w:hAnsi="Times New Roman" w:cs="Times New Roman"/>
              </w:rPr>
            </w:pPr>
          </w:p>
        </w:tc>
        <w:tc>
          <w:tcPr>
            <w:tcW w:w="1247" w:type="dxa"/>
          </w:tcPr>
          <w:p w14:paraId="574F1490" w14:textId="77777777" w:rsidR="00656C94" w:rsidRPr="00891B13" w:rsidRDefault="00656C94" w:rsidP="00BB35D3">
            <w:pPr>
              <w:spacing w:line="276" w:lineRule="auto"/>
              <w:rPr>
                <w:rFonts w:ascii="Times New Roman" w:hAnsi="Times New Roman" w:cs="Times New Roman"/>
              </w:rPr>
            </w:pPr>
          </w:p>
        </w:tc>
        <w:tc>
          <w:tcPr>
            <w:tcW w:w="1206" w:type="dxa"/>
          </w:tcPr>
          <w:p w14:paraId="0FD4CEC7" w14:textId="77777777" w:rsidR="00656C94" w:rsidRPr="00891B13" w:rsidRDefault="00656C94" w:rsidP="00BB35D3">
            <w:pPr>
              <w:spacing w:line="276" w:lineRule="auto"/>
              <w:rPr>
                <w:rFonts w:ascii="Times New Roman" w:hAnsi="Times New Roman" w:cs="Times New Roman"/>
              </w:rPr>
            </w:pPr>
          </w:p>
        </w:tc>
        <w:tc>
          <w:tcPr>
            <w:tcW w:w="950" w:type="dxa"/>
          </w:tcPr>
          <w:p w14:paraId="720D626F" w14:textId="77777777" w:rsidR="00656C94" w:rsidRDefault="00656C94" w:rsidP="00BB35D3">
            <w:pPr>
              <w:spacing w:line="276" w:lineRule="auto"/>
              <w:rPr>
                <w:rFonts w:ascii="Times New Roman" w:hAnsi="Times New Roman" w:cs="Times New Roman"/>
              </w:rPr>
            </w:pPr>
          </w:p>
          <w:p w14:paraId="06863ABB" w14:textId="77777777" w:rsidR="00656C94" w:rsidRDefault="00656C94" w:rsidP="00BB35D3">
            <w:pPr>
              <w:spacing w:line="276" w:lineRule="auto"/>
              <w:rPr>
                <w:rFonts w:ascii="Times New Roman" w:hAnsi="Times New Roman" w:cs="Times New Roman"/>
              </w:rPr>
            </w:pPr>
          </w:p>
          <w:p w14:paraId="6687DBE4" w14:textId="77777777" w:rsidR="00656C94" w:rsidRPr="00891B13" w:rsidRDefault="00656C94" w:rsidP="00BB35D3">
            <w:pPr>
              <w:spacing w:line="276" w:lineRule="auto"/>
              <w:rPr>
                <w:rFonts w:ascii="Times New Roman" w:hAnsi="Times New Roman" w:cs="Times New Roman"/>
              </w:rPr>
            </w:pPr>
          </w:p>
        </w:tc>
      </w:tr>
      <w:tr w:rsidR="00656C94" w:rsidRPr="00891B13" w14:paraId="7F775F83" w14:textId="77777777" w:rsidTr="00BB35D3">
        <w:trPr>
          <w:trHeight w:val="922"/>
          <w:jc w:val="center"/>
        </w:trPr>
        <w:tc>
          <w:tcPr>
            <w:tcW w:w="2220" w:type="dxa"/>
            <w:vMerge w:val="restart"/>
            <w:vAlign w:val="center"/>
          </w:tcPr>
          <w:p w14:paraId="2C79C743"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4.1 Chod MAS a animácie</w:t>
            </w:r>
          </w:p>
        </w:tc>
        <w:tc>
          <w:tcPr>
            <w:tcW w:w="913" w:type="dxa"/>
            <w:vAlign w:val="center"/>
          </w:tcPr>
          <w:p w14:paraId="56DE2942"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sz w:val="24"/>
                <w:szCs w:val="24"/>
              </w:rPr>
              <w:t>IROP</w:t>
            </w:r>
          </w:p>
        </w:tc>
        <w:tc>
          <w:tcPr>
            <w:tcW w:w="1060" w:type="dxa"/>
          </w:tcPr>
          <w:p w14:paraId="23E1B39A" w14:textId="77777777" w:rsidR="00656C94" w:rsidRPr="00891B13" w:rsidRDefault="00C50E03" w:rsidP="00BB35D3">
            <w:pPr>
              <w:spacing w:line="276" w:lineRule="auto"/>
              <w:rPr>
                <w:rFonts w:ascii="Times New Roman" w:hAnsi="Times New Roman" w:cs="Times New Roman"/>
              </w:rPr>
            </w:pPr>
            <w:r>
              <w:rPr>
                <w:rFonts w:ascii="Times New Roman" w:hAnsi="Times New Roman" w:cs="Times New Roman"/>
              </w:rPr>
              <w:t>MR</w:t>
            </w:r>
          </w:p>
        </w:tc>
        <w:tc>
          <w:tcPr>
            <w:tcW w:w="1371" w:type="dxa"/>
          </w:tcPr>
          <w:p w14:paraId="24B3E0A1" w14:textId="77777777" w:rsidR="00656C94" w:rsidRDefault="005A3F9C" w:rsidP="00BB35D3">
            <w:pPr>
              <w:spacing w:line="276" w:lineRule="auto"/>
              <w:rPr>
                <w:rFonts w:ascii="Times New Roman" w:hAnsi="Times New Roman" w:cs="Times New Roman"/>
              </w:rPr>
            </w:pPr>
            <w:r>
              <w:rPr>
                <w:rFonts w:ascii="Times New Roman" w:hAnsi="Times New Roman" w:cs="Times New Roman"/>
              </w:rPr>
              <w:t> </w:t>
            </w:r>
          </w:p>
          <w:p w14:paraId="23BD577B" w14:textId="77777777" w:rsidR="001C2487" w:rsidRDefault="001C2487" w:rsidP="00BB35D3">
            <w:pPr>
              <w:spacing w:line="276" w:lineRule="auto"/>
              <w:rPr>
                <w:rFonts w:ascii="Times New Roman" w:hAnsi="Times New Roman" w:cs="Times New Roman"/>
              </w:rPr>
            </w:pPr>
          </w:p>
          <w:p w14:paraId="31D1DF1A" w14:textId="77777777" w:rsidR="005A3F9C" w:rsidRPr="00891B13" w:rsidRDefault="001C2487" w:rsidP="00BB35D3">
            <w:pPr>
              <w:spacing w:line="276" w:lineRule="auto"/>
              <w:rPr>
                <w:rFonts w:ascii="Times New Roman" w:hAnsi="Times New Roman" w:cs="Times New Roman"/>
              </w:rPr>
            </w:pPr>
            <w:r>
              <w:rPr>
                <w:rFonts w:ascii="Times New Roman" w:hAnsi="Times New Roman" w:cs="Times New Roman"/>
              </w:rPr>
              <w:t xml:space="preserve">256 311,66 </w:t>
            </w:r>
          </w:p>
        </w:tc>
        <w:tc>
          <w:tcPr>
            <w:tcW w:w="1206" w:type="dxa"/>
          </w:tcPr>
          <w:p w14:paraId="5B68C4FB" w14:textId="77777777" w:rsidR="00656C94" w:rsidRDefault="005A3F9C" w:rsidP="00BB35D3">
            <w:pPr>
              <w:spacing w:line="276" w:lineRule="auto"/>
              <w:rPr>
                <w:rFonts w:ascii="Times New Roman" w:hAnsi="Times New Roman" w:cs="Times New Roman"/>
              </w:rPr>
            </w:pPr>
            <w:r>
              <w:rPr>
                <w:rFonts w:ascii="Times New Roman" w:hAnsi="Times New Roman" w:cs="Times New Roman"/>
              </w:rPr>
              <w:t> </w:t>
            </w:r>
          </w:p>
          <w:p w14:paraId="5D59B789" w14:textId="77777777" w:rsidR="001C2487" w:rsidRDefault="001C2487" w:rsidP="00BB35D3">
            <w:pPr>
              <w:spacing w:line="276" w:lineRule="auto"/>
              <w:rPr>
                <w:rFonts w:ascii="Times New Roman" w:hAnsi="Times New Roman" w:cs="Times New Roman"/>
              </w:rPr>
            </w:pPr>
          </w:p>
          <w:p w14:paraId="55E2E141" w14:textId="77777777" w:rsidR="001C2487" w:rsidRPr="00891B13" w:rsidRDefault="001C2487" w:rsidP="00BB35D3">
            <w:pPr>
              <w:spacing w:line="276" w:lineRule="auto"/>
              <w:rPr>
                <w:rFonts w:ascii="Times New Roman" w:hAnsi="Times New Roman" w:cs="Times New Roman"/>
              </w:rPr>
            </w:pPr>
            <w:r>
              <w:rPr>
                <w:rFonts w:ascii="Times New Roman" w:hAnsi="Times New Roman" w:cs="Times New Roman"/>
              </w:rPr>
              <w:t>244 106,34</w:t>
            </w:r>
          </w:p>
        </w:tc>
        <w:tc>
          <w:tcPr>
            <w:tcW w:w="1247" w:type="dxa"/>
          </w:tcPr>
          <w:p w14:paraId="7BE85652"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w:t>
            </w:r>
          </w:p>
        </w:tc>
        <w:tc>
          <w:tcPr>
            <w:tcW w:w="1206" w:type="dxa"/>
          </w:tcPr>
          <w:p w14:paraId="1B449495" w14:textId="77777777" w:rsidR="005A3F9C" w:rsidRDefault="005A3F9C" w:rsidP="00BB35D3">
            <w:pPr>
              <w:spacing w:line="276" w:lineRule="auto"/>
              <w:rPr>
                <w:rFonts w:ascii="Times New Roman" w:hAnsi="Times New Roman" w:cs="Times New Roman"/>
              </w:rPr>
            </w:pPr>
          </w:p>
          <w:p w14:paraId="3104D74B" w14:textId="77777777" w:rsidR="001C2487" w:rsidRPr="00891B13" w:rsidRDefault="001C2487" w:rsidP="00BB35D3">
            <w:pPr>
              <w:spacing w:line="276" w:lineRule="auto"/>
              <w:rPr>
                <w:rFonts w:ascii="Times New Roman" w:hAnsi="Times New Roman" w:cs="Times New Roman"/>
              </w:rPr>
            </w:pPr>
            <w:r>
              <w:rPr>
                <w:rFonts w:ascii="Times New Roman" w:hAnsi="Times New Roman" w:cs="Times New Roman"/>
              </w:rPr>
              <w:t>12 205,32</w:t>
            </w:r>
          </w:p>
        </w:tc>
        <w:tc>
          <w:tcPr>
            <w:tcW w:w="950" w:type="dxa"/>
          </w:tcPr>
          <w:p w14:paraId="21C436CF" w14:textId="77777777" w:rsidR="00656C94" w:rsidRPr="00891B13" w:rsidRDefault="00656C94" w:rsidP="00BB35D3">
            <w:pPr>
              <w:spacing w:line="276" w:lineRule="auto"/>
              <w:rPr>
                <w:rFonts w:ascii="Times New Roman" w:hAnsi="Times New Roman" w:cs="Times New Roman"/>
              </w:rPr>
            </w:pPr>
            <w:r>
              <w:rPr>
                <w:rFonts w:ascii="Times New Roman" w:hAnsi="Times New Roman" w:cs="Times New Roman"/>
              </w:rPr>
              <w:t>-</w:t>
            </w:r>
          </w:p>
        </w:tc>
      </w:tr>
      <w:tr w:rsidR="00656C94" w:rsidRPr="00891B13" w14:paraId="52295CCB" w14:textId="77777777" w:rsidTr="00BB35D3">
        <w:trPr>
          <w:jc w:val="center"/>
        </w:trPr>
        <w:tc>
          <w:tcPr>
            <w:tcW w:w="2220" w:type="dxa"/>
            <w:vMerge/>
          </w:tcPr>
          <w:p w14:paraId="21982D43" w14:textId="77777777" w:rsidR="00656C94" w:rsidRPr="00891B13" w:rsidRDefault="00656C94" w:rsidP="00BB35D3">
            <w:pPr>
              <w:spacing w:line="276" w:lineRule="auto"/>
              <w:rPr>
                <w:rFonts w:ascii="Times New Roman" w:hAnsi="Times New Roman" w:cs="Times New Roman"/>
              </w:rPr>
            </w:pPr>
          </w:p>
        </w:tc>
        <w:tc>
          <w:tcPr>
            <w:tcW w:w="913" w:type="dxa"/>
            <w:vAlign w:val="center"/>
          </w:tcPr>
          <w:p w14:paraId="660D22CD" w14:textId="77777777" w:rsidR="00656C94" w:rsidRPr="00891B13" w:rsidRDefault="00656C94" w:rsidP="00BB35D3">
            <w:pPr>
              <w:spacing w:line="276" w:lineRule="auto"/>
              <w:rPr>
                <w:rFonts w:ascii="Times New Roman" w:hAnsi="Times New Roman" w:cs="Times New Roman"/>
              </w:rPr>
            </w:pPr>
          </w:p>
        </w:tc>
        <w:tc>
          <w:tcPr>
            <w:tcW w:w="1060" w:type="dxa"/>
          </w:tcPr>
          <w:p w14:paraId="20FD0CE8" w14:textId="77777777" w:rsidR="00656C94" w:rsidRPr="00891B13" w:rsidRDefault="00C50E03" w:rsidP="00BB35D3">
            <w:pPr>
              <w:spacing w:line="276" w:lineRule="auto"/>
              <w:rPr>
                <w:rFonts w:ascii="Times New Roman" w:hAnsi="Times New Roman" w:cs="Times New Roman"/>
              </w:rPr>
            </w:pPr>
            <w:r>
              <w:rPr>
                <w:rFonts w:ascii="Times New Roman" w:hAnsi="Times New Roman" w:cs="Times New Roman"/>
              </w:rPr>
              <w:t>VR</w:t>
            </w:r>
          </w:p>
        </w:tc>
        <w:tc>
          <w:tcPr>
            <w:tcW w:w="1371" w:type="dxa"/>
          </w:tcPr>
          <w:p w14:paraId="26E4F27B" w14:textId="77777777" w:rsidR="00656C94" w:rsidRPr="00891B13" w:rsidRDefault="00656C94" w:rsidP="00BB35D3">
            <w:pPr>
              <w:spacing w:line="276" w:lineRule="auto"/>
              <w:rPr>
                <w:rFonts w:ascii="Times New Roman" w:hAnsi="Times New Roman" w:cs="Times New Roman"/>
              </w:rPr>
            </w:pPr>
          </w:p>
        </w:tc>
        <w:tc>
          <w:tcPr>
            <w:tcW w:w="1206" w:type="dxa"/>
          </w:tcPr>
          <w:p w14:paraId="38371620" w14:textId="77777777" w:rsidR="00656C94" w:rsidRPr="00891B13" w:rsidRDefault="00656C94" w:rsidP="00BB35D3">
            <w:pPr>
              <w:spacing w:line="276" w:lineRule="auto"/>
              <w:rPr>
                <w:rFonts w:ascii="Times New Roman" w:hAnsi="Times New Roman" w:cs="Times New Roman"/>
              </w:rPr>
            </w:pPr>
          </w:p>
        </w:tc>
        <w:tc>
          <w:tcPr>
            <w:tcW w:w="1247" w:type="dxa"/>
          </w:tcPr>
          <w:p w14:paraId="3458A15E" w14:textId="77777777" w:rsidR="00656C94" w:rsidRPr="00891B13" w:rsidRDefault="00656C94" w:rsidP="00BB35D3">
            <w:pPr>
              <w:spacing w:line="276" w:lineRule="auto"/>
              <w:rPr>
                <w:rFonts w:ascii="Times New Roman" w:hAnsi="Times New Roman" w:cs="Times New Roman"/>
              </w:rPr>
            </w:pPr>
          </w:p>
        </w:tc>
        <w:tc>
          <w:tcPr>
            <w:tcW w:w="1206" w:type="dxa"/>
          </w:tcPr>
          <w:p w14:paraId="47336186" w14:textId="77777777" w:rsidR="00656C94" w:rsidRPr="00891B13" w:rsidRDefault="00656C94" w:rsidP="00BB35D3">
            <w:pPr>
              <w:spacing w:line="276" w:lineRule="auto"/>
              <w:rPr>
                <w:rFonts w:ascii="Times New Roman" w:hAnsi="Times New Roman" w:cs="Times New Roman"/>
              </w:rPr>
            </w:pPr>
          </w:p>
        </w:tc>
        <w:tc>
          <w:tcPr>
            <w:tcW w:w="950" w:type="dxa"/>
          </w:tcPr>
          <w:p w14:paraId="19312B5F" w14:textId="77777777" w:rsidR="00656C94" w:rsidRDefault="00656C94" w:rsidP="00BB35D3">
            <w:pPr>
              <w:spacing w:line="276" w:lineRule="auto"/>
              <w:rPr>
                <w:rFonts w:ascii="Times New Roman" w:hAnsi="Times New Roman" w:cs="Times New Roman"/>
              </w:rPr>
            </w:pPr>
          </w:p>
          <w:p w14:paraId="0E599F40" w14:textId="77777777" w:rsidR="00656C94" w:rsidRDefault="00656C94" w:rsidP="00BB35D3">
            <w:pPr>
              <w:spacing w:line="276" w:lineRule="auto"/>
              <w:rPr>
                <w:rFonts w:ascii="Times New Roman" w:hAnsi="Times New Roman" w:cs="Times New Roman"/>
              </w:rPr>
            </w:pPr>
          </w:p>
          <w:p w14:paraId="1F3F1585" w14:textId="77777777" w:rsidR="00656C94" w:rsidRPr="00891B13" w:rsidRDefault="00656C94" w:rsidP="00BB35D3">
            <w:pPr>
              <w:spacing w:line="276" w:lineRule="auto"/>
              <w:rPr>
                <w:rFonts w:ascii="Times New Roman" w:hAnsi="Times New Roman" w:cs="Times New Roman"/>
              </w:rPr>
            </w:pPr>
          </w:p>
        </w:tc>
      </w:tr>
    </w:tbl>
    <w:p w14:paraId="17D9AA8B" w14:textId="77777777" w:rsidR="00656C94" w:rsidRDefault="00656C94" w:rsidP="00E37887">
      <w:pPr>
        <w:spacing w:after="0" w:line="360" w:lineRule="auto"/>
        <w:rPr>
          <w:rFonts w:ascii="Times New Roman" w:hAnsi="Times New Roman" w:cs="Times New Roman"/>
          <w:b/>
        </w:rPr>
      </w:pPr>
    </w:p>
    <w:p w14:paraId="14706553" w14:textId="77777777" w:rsidR="00447D6B" w:rsidRDefault="00447D6B" w:rsidP="00E37887">
      <w:pPr>
        <w:spacing w:after="0" w:line="360" w:lineRule="auto"/>
        <w:rPr>
          <w:rFonts w:ascii="Times New Roman" w:hAnsi="Times New Roman" w:cs="Times New Roman"/>
          <w:b/>
        </w:rPr>
      </w:pPr>
      <w:r w:rsidRPr="008E71B7">
        <w:rPr>
          <w:rFonts w:ascii="Times New Roman" w:hAnsi="Times New Roman" w:cs="Times New Roman"/>
          <w:b/>
        </w:rPr>
        <w:t xml:space="preserve">Tabuľka </w:t>
      </w:r>
      <w:r w:rsidR="00B5707A">
        <w:rPr>
          <w:rFonts w:ascii="Times New Roman" w:hAnsi="Times New Roman" w:cs="Times New Roman"/>
          <w:b/>
        </w:rPr>
        <w:t>6.2.2</w:t>
      </w:r>
      <w:r w:rsidRPr="008E71B7">
        <w:rPr>
          <w:rFonts w:ascii="Times New Roman" w:hAnsi="Times New Roman" w:cs="Times New Roman"/>
          <w:b/>
        </w:rPr>
        <w:t xml:space="preserve"> Celkový pomer medzi fondmi na stratégiu </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3824"/>
      </w:tblGrid>
      <w:tr w:rsidR="00B5707A" w:rsidRPr="000C31D2" w14:paraId="4E328F79" w14:textId="77777777" w:rsidTr="00B5707A">
        <w:trPr>
          <w:trHeight w:val="300"/>
        </w:trPr>
        <w:tc>
          <w:tcPr>
            <w:tcW w:w="498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6EBD7ED" w14:textId="77777777" w:rsidR="00B5707A" w:rsidRPr="000C31D2" w:rsidRDefault="00B5707A" w:rsidP="00B5707A">
            <w:pPr>
              <w:spacing w:after="0" w:line="360" w:lineRule="auto"/>
              <w:rPr>
                <w:rFonts w:ascii="Times New Roman" w:eastAsia="Times New Roman" w:hAnsi="Times New Roman" w:cs="Times New Roman"/>
                <w:bCs/>
                <w:color w:val="000000"/>
                <w:lang w:eastAsia="sk-SK"/>
              </w:rPr>
            </w:pPr>
            <w:r w:rsidRPr="000C31D2">
              <w:rPr>
                <w:rFonts w:ascii="Times New Roman" w:eastAsia="Times New Roman" w:hAnsi="Times New Roman" w:cs="Times New Roman"/>
                <w:bCs/>
                <w:color w:val="000000"/>
                <w:lang w:eastAsia="sk-SK"/>
              </w:rPr>
              <w:t>  </w:t>
            </w:r>
          </w:p>
        </w:tc>
        <w:tc>
          <w:tcPr>
            <w:tcW w:w="382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0C77079" w14:textId="77777777" w:rsidR="00B5707A" w:rsidRPr="000C31D2" w:rsidRDefault="00B5707A" w:rsidP="00B5707A">
            <w:pPr>
              <w:spacing w:after="0" w:line="360" w:lineRule="auto"/>
              <w:jc w:val="center"/>
              <w:rPr>
                <w:rFonts w:ascii="Times New Roman" w:eastAsia="Times New Roman" w:hAnsi="Times New Roman" w:cs="Times New Roman"/>
                <w:bCs/>
                <w:color w:val="000000"/>
                <w:lang w:eastAsia="sk-SK"/>
              </w:rPr>
            </w:pPr>
            <w:r w:rsidRPr="000C31D2">
              <w:rPr>
                <w:rFonts w:ascii="Times New Roman" w:eastAsia="Times New Roman" w:hAnsi="Times New Roman" w:cs="Times New Roman"/>
                <w:bCs/>
                <w:color w:val="000000"/>
                <w:lang w:eastAsia="sk-SK"/>
              </w:rPr>
              <w:t>PRV</w:t>
            </w:r>
            <w:r>
              <w:rPr>
                <w:rFonts w:ascii="Times New Roman" w:eastAsia="Times New Roman" w:hAnsi="Times New Roman" w:cs="Times New Roman"/>
                <w:bCs/>
                <w:color w:val="000000"/>
                <w:lang w:eastAsia="sk-SK"/>
              </w:rPr>
              <w:t xml:space="preserve"> (EPFRV) </w:t>
            </w:r>
            <w:r w:rsidRPr="000C31D2">
              <w:rPr>
                <w:rFonts w:ascii="Times New Roman" w:eastAsia="Times New Roman" w:hAnsi="Times New Roman" w:cs="Times New Roman"/>
                <w:bCs/>
                <w:color w:val="000000"/>
                <w:lang w:eastAsia="sk-SK"/>
              </w:rPr>
              <w:t>:</w:t>
            </w:r>
            <w:r>
              <w:rPr>
                <w:rFonts w:ascii="Times New Roman" w:eastAsia="Times New Roman" w:hAnsi="Times New Roman" w:cs="Times New Roman"/>
                <w:bCs/>
                <w:color w:val="000000"/>
                <w:lang w:eastAsia="sk-SK"/>
              </w:rPr>
              <w:t xml:space="preserve"> </w:t>
            </w:r>
            <w:r w:rsidRPr="000C31D2">
              <w:rPr>
                <w:rFonts w:ascii="Times New Roman" w:eastAsia="Times New Roman" w:hAnsi="Times New Roman" w:cs="Times New Roman"/>
                <w:bCs/>
                <w:color w:val="000000"/>
                <w:lang w:eastAsia="sk-SK"/>
              </w:rPr>
              <w:t>IROP</w:t>
            </w:r>
            <w:r>
              <w:rPr>
                <w:rFonts w:ascii="Times New Roman" w:eastAsia="Times New Roman" w:hAnsi="Times New Roman" w:cs="Times New Roman"/>
                <w:bCs/>
                <w:color w:val="000000"/>
                <w:lang w:eastAsia="sk-SK"/>
              </w:rPr>
              <w:t xml:space="preserve"> (EFRR)</w:t>
            </w:r>
          </w:p>
        </w:tc>
      </w:tr>
      <w:tr w:rsidR="00B5707A" w:rsidRPr="000C31D2" w14:paraId="221DC5F9" w14:textId="77777777" w:rsidTr="00B5707A">
        <w:trPr>
          <w:trHeight w:val="300"/>
        </w:trPr>
        <w:tc>
          <w:tcPr>
            <w:tcW w:w="498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4B6F3AC" w14:textId="77777777" w:rsidR="00B5707A" w:rsidRPr="000C31D2" w:rsidRDefault="00B5707A" w:rsidP="00B5707A">
            <w:pPr>
              <w:spacing w:after="0" w:line="360" w:lineRule="auto"/>
              <w:rPr>
                <w:rFonts w:ascii="Times New Roman" w:eastAsia="Times New Roman" w:hAnsi="Times New Roman" w:cs="Times New Roman"/>
                <w:bCs/>
                <w:color w:val="000000"/>
                <w:lang w:eastAsia="sk-SK"/>
              </w:rPr>
            </w:pPr>
            <w:r>
              <w:rPr>
                <w:rFonts w:ascii="Times New Roman" w:eastAsia="Times New Roman" w:hAnsi="Times New Roman" w:cs="Times New Roman"/>
                <w:bCs/>
                <w:color w:val="000000"/>
                <w:lang w:eastAsia="sk-SK"/>
              </w:rPr>
              <w:t>Stratégia CLLD</w:t>
            </w:r>
            <w:r w:rsidRPr="000C31D2">
              <w:rPr>
                <w:rFonts w:ascii="Times New Roman" w:eastAsia="Times New Roman" w:hAnsi="Times New Roman" w:cs="Times New Roman"/>
                <w:bCs/>
                <w:color w:val="000000"/>
                <w:lang w:eastAsia="sk-SK"/>
              </w:rPr>
              <w:t xml:space="preserve"> mimo BSK (viac rozvinutý región):</w:t>
            </w:r>
          </w:p>
        </w:tc>
        <w:tc>
          <w:tcPr>
            <w:tcW w:w="382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9AEB15F" w14:textId="77777777" w:rsidR="00B5707A" w:rsidRDefault="00B5707A" w:rsidP="00B5707A">
            <w:pPr>
              <w:spacing w:after="0" w:line="360" w:lineRule="auto"/>
              <w:jc w:val="center"/>
              <w:rPr>
                <w:rFonts w:ascii="Times New Roman" w:eastAsia="Times New Roman" w:hAnsi="Times New Roman" w:cs="Times New Roman"/>
                <w:bCs/>
                <w:color w:val="000000"/>
                <w:lang w:eastAsia="sk-SK"/>
              </w:rPr>
            </w:pPr>
          </w:p>
          <w:p w14:paraId="3DD789F0" w14:textId="77777777" w:rsidR="005A3F9C" w:rsidRDefault="005A3F9C" w:rsidP="00B5707A">
            <w:pPr>
              <w:spacing w:after="0" w:line="360" w:lineRule="auto"/>
              <w:jc w:val="center"/>
              <w:rPr>
                <w:rFonts w:ascii="Times New Roman" w:eastAsia="Times New Roman" w:hAnsi="Times New Roman" w:cs="Times New Roman"/>
                <w:bCs/>
                <w:color w:val="000000"/>
                <w:lang w:eastAsia="sk-SK"/>
              </w:rPr>
            </w:pPr>
          </w:p>
          <w:p w14:paraId="10D3A2EB" w14:textId="77777777" w:rsidR="001C2487" w:rsidRPr="000C31D2" w:rsidRDefault="001C2487" w:rsidP="00B5707A">
            <w:pPr>
              <w:spacing w:after="0" w:line="360" w:lineRule="auto"/>
              <w:jc w:val="center"/>
              <w:rPr>
                <w:rFonts w:ascii="Times New Roman" w:eastAsia="Times New Roman" w:hAnsi="Times New Roman" w:cs="Times New Roman"/>
                <w:bCs/>
                <w:color w:val="000000"/>
                <w:lang w:eastAsia="sk-SK"/>
              </w:rPr>
            </w:pPr>
            <w:r>
              <w:rPr>
                <w:rFonts w:ascii="Times New Roman" w:eastAsia="Times New Roman" w:hAnsi="Times New Roman" w:cs="Times New Roman"/>
                <w:bCs/>
                <w:color w:val="000000"/>
                <w:lang w:eastAsia="sk-SK"/>
              </w:rPr>
              <w:t>761 096,00 : 674 940,00</w:t>
            </w:r>
          </w:p>
        </w:tc>
      </w:tr>
      <w:tr w:rsidR="00B5707A" w:rsidRPr="000C31D2" w14:paraId="5EDF4EE1" w14:textId="77777777" w:rsidTr="00B5707A">
        <w:trPr>
          <w:trHeight w:val="300"/>
        </w:trPr>
        <w:tc>
          <w:tcPr>
            <w:tcW w:w="498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B40A890" w14:textId="77777777" w:rsidR="00B5707A" w:rsidRPr="000C31D2" w:rsidRDefault="00B5707A" w:rsidP="00B5707A">
            <w:pPr>
              <w:spacing w:after="0" w:line="360" w:lineRule="auto"/>
              <w:rPr>
                <w:rFonts w:ascii="Times New Roman" w:eastAsia="Times New Roman" w:hAnsi="Times New Roman" w:cs="Times New Roman"/>
                <w:bCs/>
                <w:color w:val="000000"/>
                <w:lang w:eastAsia="sk-SK"/>
              </w:rPr>
            </w:pPr>
            <w:r>
              <w:rPr>
                <w:rFonts w:ascii="Times New Roman" w:eastAsia="Times New Roman" w:hAnsi="Times New Roman" w:cs="Times New Roman"/>
                <w:bCs/>
                <w:color w:val="000000"/>
                <w:lang w:eastAsia="sk-SK"/>
              </w:rPr>
              <w:t>Stratégia CLLD</w:t>
            </w:r>
            <w:r w:rsidRPr="000C31D2">
              <w:rPr>
                <w:rFonts w:ascii="Times New Roman" w:eastAsia="Times New Roman" w:hAnsi="Times New Roman" w:cs="Times New Roman"/>
                <w:bCs/>
                <w:color w:val="000000"/>
                <w:lang w:eastAsia="sk-SK"/>
              </w:rPr>
              <w:t xml:space="preserve"> v rámci BSK (viac rozvinutý región):</w:t>
            </w:r>
          </w:p>
        </w:tc>
        <w:tc>
          <w:tcPr>
            <w:tcW w:w="382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A8F849D" w14:textId="77777777" w:rsidR="00B5707A" w:rsidRPr="000C31D2" w:rsidRDefault="00B5707A" w:rsidP="00B5707A">
            <w:pPr>
              <w:spacing w:after="0" w:line="360" w:lineRule="auto"/>
              <w:jc w:val="center"/>
              <w:rPr>
                <w:rFonts w:ascii="Times New Roman" w:eastAsia="Times New Roman" w:hAnsi="Times New Roman" w:cs="Times New Roman"/>
                <w:bCs/>
                <w:color w:val="000000"/>
                <w:lang w:eastAsia="sk-SK"/>
              </w:rPr>
            </w:pPr>
          </w:p>
        </w:tc>
      </w:tr>
    </w:tbl>
    <w:p w14:paraId="37E1F165" w14:textId="77777777" w:rsidR="00447D6B" w:rsidRDefault="00447D6B" w:rsidP="00E37887">
      <w:pPr>
        <w:spacing w:after="0" w:line="360" w:lineRule="auto"/>
        <w:rPr>
          <w:rFonts w:ascii="Times New Roman" w:hAnsi="Times New Roman" w:cs="Times New Roman"/>
          <w:b/>
        </w:rPr>
      </w:pPr>
    </w:p>
    <w:p w14:paraId="71F6797E" w14:textId="77777777" w:rsidR="00E135B2" w:rsidRDefault="00E46F43" w:rsidP="00E37887">
      <w:pPr>
        <w:spacing w:after="0" w:line="360" w:lineRule="auto"/>
        <w:rPr>
          <w:rFonts w:ascii="Times New Roman" w:hAnsi="Times New Roman" w:cs="Times New Roman"/>
          <w:b/>
        </w:rPr>
      </w:pPr>
      <w:r w:rsidRPr="00891B13">
        <w:rPr>
          <w:rFonts w:ascii="Times New Roman" w:hAnsi="Times New Roman" w:cs="Times New Roman"/>
          <w:b/>
        </w:rPr>
        <w:t>Tabuľka</w:t>
      </w:r>
      <w:r w:rsidR="00447D6B">
        <w:rPr>
          <w:rFonts w:ascii="Times New Roman" w:hAnsi="Times New Roman" w:cs="Times New Roman"/>
          <w:b/>
        </w:rPr>
        <w:t xml:space="preserve"> </w:t>
      </w:r>
      <w:r w:rsidR="00B5707A">
        <w:rPr>
          <w:rFonts w:ascii="Times New Roman" w:hAnsi="Times New Roman" w:cs="Times New Roman"/>
          <w:b/>
        </w:rPr>
        <w:t>6.2.3</w:t>
      </w:r>
      <w:r w:rsidRPr="00891B13">
        <w:rPr>
          <w:rFonts w:ascii="Times New Roman" w:hAnsi="Times New Roman" w:cs="Times New Roman"/>
          <w:b/>
        </w:rPr>
        <w:t xml:space="preserve"> Zameranie stratégie </w:t>
      </w:r>
      <w:r w:rsidR="000B009F" w:rsidRPr="00891B13">
        <w:rPr>
          <w:rFonts w:ascii="Times New Roman" w:hAnsi="Times New Roman" w:cs="Times New Roman"/>
          <w:b/>
        </w:rPr>
        <w:t xml:space="preserve">podľa </w:t>
      </w:r>
      <w:r w:rsidRPr="00891B13">
        <w:rPr>
          <w:rFonts w:ascii="Times New Roman" w:hAnsi="Times New Roman" w:cs="Times New Roman"/>
          <w:b/>
        </w:rPr>
        <w:t>sektor</w:t>
      </w:r>
      <w:r w:rsidR="000B009F" w:rsidRPr="00891B13">
        <w:rPr>
          <w:rFonts w:ascii="Times New Roman" w:hAnsi="Times New Roman" w:cs="Times New Roman"/>
          <w:b/>
        </w:rPr>
        <w:t xml:space="preserve">ov </w:t>
      </w:r>
      <w:r w:rsidRPr="00891B13">
        <w:rPr>
          <w:rFonts w:ascii="Times New Roman" w:hAnsi="Times New Roman" w:cs="Times New Roman"/>
          <w:b/>
        </w:rPr>
        <w:t xml:space="preserve"> </w:t>
      </w:r>
    </w:p>
    <w:tbl>
      <w:tblPr>
        <w:tblStyle w:val="Mriekatabuky"/>
        <w:tblW w:w="9606" w:type="dxa"/>
        <w:tblLayout w:type="fixed"/>
        <w:tblLook w:val="04A0" w:firstRow="1" w:lastRow="0" w:firstColumn="1" w:lastColumn="0" w:noHBand="0" w:noVBand="1"/>
      </w:tblPr>
      <w:tblGrid>
        <w:gridCol w:w="2660"/>
        <w:gridCol w:w="3402"/>
        <w:gridCol w:w="1701"/>
        <w:gridCol w:w="1843"/>
      </w:tblGrid>
      <w:tr w:rsidR="00B5707A" w:rsidRPr="00891B13" w14:paraId="147FE005" w14:textId="77777777" w:rsidTr="00B5707A">
        <w:tc>
          <w:tcPr>
            <w:tcW w:w="2660" w:type="dxa"/>
          </w:tcPr>
          <w:p w14:paraId="179FD3C2"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Názov opatrenia stratégie CLLD</w:t>
            </w:r>
          </w:p>
        </w:tc>
        <w:tc>
          <w:tcPr>
            <w:tcW w:w="3402" w:type="dxa"/>
          </w:tcPr>
          <w:p w14:paraId="698B6C0D"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 xml:space="preserve">Rozpočet na opatrenie </w:t>
            </w:r>
          </w:p>
        </w:tc>
        <w:tc>
          <w:tcPr>
            <w:tcW w:w="1701" w:type="dxa"/>
          </w:tcPr>
          <w:p w14:paraId="24BD1FDE"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 xml:space="preserve">Oprávnený prijímateľ – verejný sektor </w:t>
            </w:r>
          </w:p>
          <w:p w14:paraId="067C45C5"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i/>
              </w:rPr>
              <w:t>(označiť „X“)</w:t>
            </w:r>
          </w:p>
        </w:tc>
        <w:tc>
          <w:tcPr>
            <w:tcW w:w="1843" w:type="dxa"/>
          </w:tcPr>
          <w:p w14:paraId="688D39EE"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Oprávnený prijímateľ – neverejný sektor</w:t>
            </w:r>
          </w:p>
          <w:p w14:paraId="0CF4557A" w14:textId="77777777" w:rsidR="00B5707A" w:rsidRPr="00891B13" w:rsidRDefault="00B5707A" w:rsidP="00387D99">
            <w:pPr>
              <w:spacing w:line="276" w:lineRule="auto"/>
              <w:rPr>
                <w:rFonts w:ascii="Times New Roman" w:hAnsi="Times New Roman" w:cs="Times New Roman"/>
                <w:i/>
              </w:rPr>
            </w:pPr>
            <w:r w:rsidRPr="00891B13">
              <w:rPr>
                <w:rFonts w:ascii="Times New Roman" w:hAnsi="Times New Roman" w:cs="Times New Roman"/>
                <w:i/>
              </w:rPr>
              <w:t>(označiť „X“)</w:t>
            </w:r>
          </w:p>
        </w:tc>
      </w:tr>
      <w:tr w:rsidR="00B5707A" w:rsidRPr="00891B13" w14:paraId="2B3249D6" w14:textId="77777777" w:rsidTr="00B5707A">
        <w:tc>
          <w:tcPr>
            <w:tcW w:w="2660" w:type="dxa"/>
          </w:tcPr>
          <w:p w14:paraId="08C1EA39"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1.1 Podpora na investície do vytvárania, zlepšovania alebo rozširovania miestnych základných služieb pre vidiecke obyvateľstvo vrátane voľného času a kultúry a súvisiacej infraštruktúry</w:t>
            </w:r>
          </w:p>
        </w:tc>
        <w:tc>
          <w:tcPr>
            <w:tcW w:w="3402" w:type="dxa"/>
          </w:tcPr>
          <w:p w14:paraId="12434E59" w14:textId="77777777" w:rsidR="00B5707A" w:rsidRDefault="00B5707A" w:rsidP="00387D99">
            <w:pPr>
              <w:spacing w:line="276" w:lineRule="auto"/>
              <w:rPr>
                <w:rFonts w:ascii="Times New Roman" w:hAnsi="Times New Roman" w:cs="Times New Roman"/>
                <w:b/>
              </w:rPr>
            </w:pPr>
          </w:p>
          <w:p w14:paraId="3B21644E" w14:textId="77777777" w:rsidR="00BA560B" w:rsidRDefault="00BA560B" w:rsidP="00387D99">
            <w:pPr>
              <w:spacing w:line="276" w:lineRule="auto"/>
              <w:rPr>
                <w:rFonts w:ascii="Times New Roman" w:hAnsi="Times New Roman" w:cs="Times New Roman"/>
                <w:b/>
              </w:rPr>
            </w:pPr>
          </w:p>
          <w:p w14:paraId="0B11D21D" w14:textId="77777777" w:rsidR="00727FB6" w:rsidRPr="00891B13" w:rsidRDefault="00B84B06" w:rsidP="00387D99">
            <w:pPr>
              <w:spacing w:line="276" w:lineRule="auto"/>
              <w:rPr>
                <w:rFonts w:ascii="Times New Roman" w:hAnsi="Times New Roman" w:cs="Times New Roman"/>
                <w:b/>
              </w:rPr>
            </w:pPr>
            <w:r>
              <w:rPr>
                <w:rFonts w:ascii="Times New Roman" w:hAnsi="Times New Roman" w:cs="Times New Roman"/>
                <w:b/>
              </w:rPr>
              <w:t>232 560,00</w:t>
            </w:r>
          </w:p>
        </w:tc>
        <w:tc>
          <w:tcPr>
            <w:tcW w:w="1701" w:type="dxa"/>
          </w:tcPr>
          <w:p w14:paraId="45B66AD7" w14:textId="77777777" w:rsidR="00B5707A" w:rsidRPr="00891B13" w:rsidRDefault="00B5707A" w:rsidP="00387D99">
            <w:pPr>
              <w:spacing w:line="276" w:lineRule="auto"/>
              <w:rPr>
                <w:rFonts w:ascii="Times New Roman" w:hAnsi="Times New Roman" w:cs="Times New Roman"/>
                <w:b/>
              </w:rPr>
            </w:pPr>
            <w:r>
              <w:rPr>
                <w:rFonts w:ascii="Times New Roman" w:hAnsi="Times New Roman" w:cs="Times New Roman"/>
                <w:b/>
              </w:rPr>
              <w:t>X</w:t>
            </w:r>
          </w:p>
        </w:tc>
        <w:tc>
          <w:tcPr>
            <w:tcW w:w="1843" w:type="dxa"/>
          </w:tcPr>
          <w:p w14:paraId="022D9ED0" w14:textId="77777777" w:rsidR="00B5707A" w:rsidRPr="00891B13" w:rsidRDefault="00B5707A" w:rsidP="00387D99">
            <w:pPr>
              <w:spacing w:line="276" w:lineRule="auto"/>
              <w:rPr>
                <w:rFonts w:ascii="Times New Roman" w:hAnsi="Times New Roman" w:cs="Times New Roman"/>
                <w:b/>
              </w:rPr>
            </w:pPr>
          </w:p>
        </w:tc>
      </w:tr>
      <w:tr w:rsidR="00B5707A" w:rsidRPr="00891B13" w14:paraId="1DEB6496" w14:textId="77777777" w:rsidTr="00B5707A">
        <w:tc>
          <w:tcPr>
            <w:tcW w:w="2660" w:type="dxa"/>
          </w:tcPr>
          <w:p w14:paraId="43475A08"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1.2 Rozvoj základnej infraštruktúry v mestách a obciach</w:t>
            </w:r>
          </w:p>
        </w:tc>
        <w:tc>
          <w:tcPr>
            <w:tcW w:w="3402" w:type="dxa"/>
          </w:tcPr>
          <w:p w14:paraId="2355B3BC" w14:textId="77777777" w:rsidR="00B5707A" w:rsidRDefault="00B5707A" w:rsidP="00387D99">
            <w:pPr>
              <w:rPr>
                <w:rFonts w:ascii="Times New Roman" w:hAnsi="Times New Roman" w:cs="Times New Roman"/>
                <w:b/>
              </w:rPr>
            </w:pPr>
          </w:p>
          <w:p w14:paraId="29DCEA12" w14:textId="77777777" w:rsidR="00727FB6" w:rsidRDefault="00727FB6" w:rsidP="00387D99">
            <w:pPr>
              <w:rPr>
                <w:rFonts w:ascii="Times New Roman" w:hAnsi="Times New Roman" w:cs="Times New Roman"/>
                <w:b/>
              </w:rPr>
            </w:pPr>
          </w:p>
          <w:p w14:paraId="1B0C85EA" w14:textId="77777777" w:rsidR="00BA560B" w:rsidRPr="00891B13" w:rsidRDefault="00727FB6" w:rsidP="00387D99">
            <w:pPr>
              <w:rPr>
                <w:rFonts w:ascii="Times New Roman" w:hAnsi="Times New Roman" w:cs="Times New Roman"/>
                <w:b/>
              </w:rPr>
            </w:pPr>
            <w:r>
              <w:rPr>
                <w:rFonts w:ascii="Times New Roman" w:hAnsi="Times New Roman" w:cs="Times New Roman"/>
                <w:b/>
              </w:rPr>
              <w:t>337 470,00</w:t>
            </w:r>
          </w:p>
        </w:tc>
        <w:tc>
          <w:tcPr>
            <w:tcW w:w="1701" w:type="dxa"/>
          </w:tcPr>
          <w:p w14:paraId="4A7A1F86"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c>
          <w:tcPr>
            <w:tcW w:w="1843" w:type="dxa"/>
          </w:tcPr>
          <w:p w14:paraId="4A183664" w14:textId="77777777" w:rsidR="00B5707A" w:rsidRPr="00891B13" w:rsidRDefault="00B5707A" w:rsidP="00387D99">
            <w:pPr>
              <w:rPr>
                <w:rFonts w:ascii="Times New Roman" w:hAnsi="Times New Roman" w:cs="Times New Roman"/>
                <w:b/>
              </w:rPr>
            </w:pPr>
          </w:p>
        </w:tc>
      </w:tr>
      <w:tr w:rsidR="00B5707A" w:rsidRPr="00891B13" w14:paraId="6123E3D1" w14:textId="77777777" w:rsidTr="00B5707A">
        <w:tc>
          <w:tcPr>
            <w:tcW w:w="2660" w:type="dxa"/>
          </w:tcPr>
          <w:p w14:paraId="6A7E8231"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2.1 Podpora na investície do rekreačnej infraštruktúry, turistických informácií a do turistickej infraštruktúry malých rozmerov na verejné využitie</w:t>
            </w:r>
          </w:p>
        </w:tc>
        <w:tc>
          <w:tcPr>
            <w:tcW w:w="3402" w:type="dxa"/>
          </w:tcPr>
          <w:p w14:paraId="12557861" w14:textId="77777777" w:rsidR="00B5707A" w:rsidRDefault="00B5707A" w:rsidP="00387D99">
            <w:pPr>
              <w:rPr>
                <w:rFonts w:ascii="Times New Roman" w:hAnsi="Times New Roman" w:cs="Times New Roman"/>
                <w:b/>
              </w:rPr>
            </w:pPr>
          </w:p>
          <w:p w14:paraId="73F7EE43" w14:textId="77777777" w:rsidR="00BA560B" w:rsidRDefault="00BA560B" w:rsidP="00387D99">
            <w:pPr>
              <w:rPr>
                <w:rFonts w:ascii="Times New Roman" w:hAnsi="Times New Roman" w:cs="Times New Roman"/>
                <w:b/>
              </w:rPr>
            </w:pPr>
          </w:p>
          <w:p w14:paraId="097C760E" w14:textId="77777777" w:rsidR="00727FB6" w:rsidRPr="00891B13" w:rsidRDefault="00B84B06" w:rsidP="00387D99">
            <w:pPr>
              <w:rPr>
                <w:rFonts w:ascii="Times New Roman" w:hAnsi="Times New Roman" w:cs="Times New Roman"/>
                <w:b/>
              </w:rPr>
            </w:pPr>
            <w:r>
              <w:rPr>
                <w:rFonts w:ascii="Times New Roman" w:hAnsi="Times New Roman" w:cs="Times New Roman"/>
                <w:b/>
              </w:rPr>
              <w:t>147 988,00</w:t>
            </w:r>
          </w:p>
        </w:tc>
        <w:tc>
          <w:tcPr>
            <w:tcW w:w="1701" w:type="dxa"/>
          </w:tcPr>
          <w:p w14:paraId="06C9B85A"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c>
          <w:tcPr>
            <w:tcW w:w="1843" w:type="dxa"/>
          </w:tcPr>
          <w:p w14:paraId="03B21031" w14:textId="77777777" w:rsidR="00B5707A" w:rsidRPr="00891B13" w:rsidRDefault="00B5707A" w:rsidP="00387D99">
            <w:pPr>
              <w:rPr>
                <w:rFonts w:ascii="Times New Roman" w:hAnsi="Times New Roman" w:cs="Times New Roman"/>
                <w:b/>
              </w:rPr>
            </w:pPr>
          </w:p>
        </w:tc>
      </w:tr>
      <w:tr w:rsidR="00B5707A" w:rsidRPr="00891B13" w14:paraId="5207148A" w14:textId="77777777" w:rsidTr="00B5707A">
        <w:tc>
          <w:tcPr>
            <w:tcW w:w="2660" w:type="dxa"/>
          </w:tcPr>
          <w:p w14:paraId="38E7B5B9"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2.3 Podpora na investície do rozvoja vidieckeho cestovného ruchu a agroturistiky</w:t>
            </w:r>
          </w:p>
        </w:tc>
        <w:tc>
          <w:tcPr>
            <w:tcW w:w="3402" w:type="dxa"/>
          </w:tcPr>
          <w:p w14:paraId="2C334A28" w14:textId="77777777" w:rsidR="00B5707A" w:rsidRDefault="00B5707A" w:rsidP="00387D99">
            <w:pPr>
              <w:rPr>
                <w:rFonts w:ascii="Times New Roman" w:hAnsi="Times New Roman" w:cs="Times New Roman"/>
                <w:b/>
              </w:rPr>
            </w:pPr>
          </w:p>
          <w:p w14:paraId="46B0B31A" w14:textId="77777777" w:rsidR="00BA560B" w:rsidRDefault="00BA560B" w:rsidP="00387D99">
            <w:pPr>
              <w:rPr>
                <w:rFonts w:ascii="Times New Roman" w:hAnsi="Times New Roman" w:cs="Times New Roman"/>
                <w:b/>
              </w:rPr>
            </w:pPr>
          </w:p>
          <w:p w14:paraId="03D3CCBB" w14:textId="77777777" w:rsidR="00727FB6" w:rsidRPr="00891B13" w:rsidRDefault="00727FB6" w:rsidP="00387D99">
            <w:pPr>
              <w:rPr>
                <w:rFonts w:ascii="Times New Roman" w:hAnsi="Times New Roman" w:cs="Times New Roman"/>
                <w:b/>
              </w:rPr>
            </w:pPr>
            <w:r>
              <w:rPr>
                <w:rFonts w:ascii="Times New Roman" w:hAnsi="Times New Roman" w:cs="Times New Roman"/>
                <w:b/>
              </w:rPr>
              <w:t>266 385,00</w:t>
            </w:r>
          </w:p>
        </w:tc>
        <w:tc>
          <w:tcPr>
            <w:tcW w:w="1701" w:type="dxa"/>
          </w:tcPr>
          <w:p w14:paraId="6F61E511" w14:textId="77777777" w:rsidR="00B5707A" w:rsidRPr="00891B13" w:rsidRDefault="00B5707A" w:rsidP="00387D99">
            <w:pPr>
              <w:rPr>
                <w:rFonts w:ascii="Times New Roman" w:hAnsi="Times New Roman" w:cs="Times New Roman"/>
                <w:b/>
              </w:rPr>
            </w:pPr>
          </w:p>
        </w:tc>
        <w:tc>
          <w:tcPr>
            <w:tcW w:w="1843" w:type="dxa"/>
          </w:tcPr>
          <w:p w14:paraId="199DB3CA"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r>
      <w:tr w:rsidR="00B5707A" w:rsidRPr="00891B13" w14:paraId="3FA2A974" w14:textId="77777777" w:rsidTr="00B5707A">
        <w:tc>
          <w:tcPr>
            <w:tcW w:w="2660" w:type="dxa"/>
          </w:tcPr>
          <w:p w14:paraId="74ABC8E6" w14:textId="77777777" w:rsidR="00B5707A" w:rsidRPr="00891B13" w:rsidRDefault="00B5707A" w:rsidP="00387D99">
            <w:pPr>
              <w:rPr>
                <w:rFonts w:ascii="Times New Roman" w:hAnsi="Times New Roman" w:cs="Times New Roman"/>
              </w:rPr>
            </w:pPr>
            <w:r>
              <w:rPr>
                <w:rFonts w:ascii="Times New Roman" w:hAnsi="Times New Roman" w:cs="Times New Roman"/>
              </w:rPr>
              <w:lastRenderedPageBreak/>
              <w:t>2.4  Budovanie a značenie jazdeckých a bežkárskych trás</w:t>
            </w:r>
          </w:p>
        </w:tc>
        <w:tc>
          <w:tcPr>
            <w:tcW w:w="3402" w:type="dxa"/>
          </w:tcPr>
          <w:p w14:paraId="7D47066E" w14:textId="77777777" w:rsidR="00EB021B" w:rsidRDefault="00EB021B" w:rsidP="00387D99">
            <w:pPr>
              <w:rPr>
                <w:rFonts w:ascii="Times New Roman" w:hAnsi="Times New Roman" w:cs="Times New Roman"/>
                <w:b/>
              </w:rPr>
            </w:pPr>
            <w:r>
              <w:rPr>
                <w:rFonts w:ascii="Times New Roman" w:hAnsi="Times New Roman" w:cs="Times New Roman"/>
                <w:b/>
              </w:rPr>
              <w:t>95 000,00</w:t>
            </w:r>
          </w:p>
          <w:p w14:paraId="28CE92F0" w14:textId="77777777" w:rsidR="00B5707A" w:rsidRPr="00891B13" w:rsidRDefault="000A13FD" w:rsidP="00387D99">
            <w:pPr>
              <w:rPr>
                <w:rFonts w:ascii="Times New Roman" w:hAnsi="Times New Roman" w:cs="Times New Roman"/>
                <w:b/>
              </w:rPr>
            </w:pPr>
            <w:r>
              <w:rPr>
                <w:rFonts w:ascii="Times New Roman" w:hAnsi="Times New Roman" w:cs="Times New Roman"/>
                <w:b/>
              </w:rPr>
              <w:t>Financie mimo IROP a PRV</w:t>
            </w:r>
          </w:p>
        </w:tc>
        <w:tc>
          <w:tcPr>
            <w:tcW w:w="1701" w:type="dxa"/>
          </w:tcPr>
          <w:p w14:paraId="17E7C719" w14:textId="77777777" w:rsidR="00B5707A" w:rsidRPr="00891B13" w:rsidRDefault="000540E5" w:rsidP="00387D99">
            <w:pPr>
              <w:rPr>
                <w:rFonts w:ascii="Times New Roman" w:hAnsi="Times New Roman" w:cs="Times New Roman"/>
                <w:b/>
              </w:rPr>
            </w:pPr>
            <w:r>
              <w:rPr>
                <w:rFonts w:ascii="Times New Roman" w:hAnsi="Times New Roman" w:cs="Times New Roman"/>
                <w:b/>
              </w:rPr>
              <w:t>-</w:t>
            </w:r>
          </w:p>
        </w:tc>
        <w:tc>
          <w:tcPr>
            <w:tcW w:w="1843" w:type="dxa"/>
          </w:tcPr>
          <w:p w14:paraId="31CDCF9E" w14:textId="77777777" w:rsidR="00B5707A" w:rsidRPr="00891B13" w:rsidRDefault="000540E5" w:rsidP="00387D99">
            <w:pPr>
              <w:rPr>
                <w:rFonts w:ascii="Times New Roman" w:hAnsi="Times New Roman" w:cs="Times New Roman"/>
                <w:b/>
              </w:rPr>
            </w:pPr>
            <w:r>
              <w:rPr>
                <w:rFonts w:ascii="Times New Roman" w:hAnsi="Times New Roman" w:cs="Times New Roman"/>
                <w:b/>
              </w:rPr>
              <w:t>-</w:t>
            </w:r>
          </w:p>
        </w:tc>
      </w:tr>
      <w:tr w:rsidR="00B5707A" w:rsidRPr="00891B13" w14:paraId="4591A59B" w14:textId="77777777" w:rsidTr="00B5707A">
        <w:tc>
          <w:tcPr>
            <w:tcW w:w="2660" w:type="dxa"/>
          </w:tcPr>
          <w:p w14:paraId="5E4BA4CD"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2.5 Grantový program „Podporujeme akčných!“</w:t>
            </w:r>
          </w:p>
        </w:tc>
        <w:tc>
          <w:tcPr>
            <w:tcW w:w="3402" w:type="dxa"/>
          </w:tcPr>
          <w:p w14:paraId="16FE2843" w14:textId="77777777" w:rsidR="00EB021B" w:rsidRDefault="00EB021B" w:rsidP="00387D99">
            <w:pPr>
              <w:rPr>
                <w:rFonts w:ascii="Times New Roman" w:hAnsi="Times New Roman" w:cs="Times New Roman"/>
                <w:b/>
              </w:rPr>
            </w:pPr>
            <w:r>
              <w:rPr>
                <w:rFonts w:ascii="Times New Roman" w:hAnsi="Times New Roman" w:cs="Times New Roman"/>
                <w:b/>
              </w:rPr>
              <w:t>0</w:t>
            </w:r>
          </w:p>
          <w:p w14:paraId="2F5B5960" w14:textId="77777777" w:rsidR="00B5707A" w:rsidRPr="00891B13" w:rsidRDefault="000A13FD" w:rsidP="00387D99">
            <w:pPr>
              <w:rPr>
                <w:rFonts w:ascii="Times New Roman" w:hAnsi="Times New Roman" w:cs="Times New Roman"/>
                <w:b/>
              </w:rPr>
            </w:pPr>
            <w:r>
              <w:rPr>
                <w:rFonts w:ascii="Times New Roman" w:hAnsi="Times New Roman" w:cs="Times New Roman"/>
                <w:b/>
              </w:rPr>
              <w:t>Financie mimo IROP a PRV</w:t>
            </w:r>
          </w:p>
        </w:tc>
        <w:tc>
          <w:tcPr>
            <w:tcW w:w="1701" w:type="dxa"/>
          </w:tcPr>
          <w:p w14:paraId="5E8072D8" w14:textId="77777777" w:rsidR="00B5707A" w:rsidRPr="00891B13" w:rsidRDefault="000540E5" w:rsidP="00387D99">
            <w:pPr>
              <w:rPr>
                <w:rFonts w:ascii="Times New Roman" w:hAnsi="Times New Roman" w:cs="Times New Roman"/>
                <w:b/>
              </w:rPr>
            </w:pPr>
            <w:r>
              <w:rPr>
                <w:rFonts w:ascii="Times New Roman" w:hAnsi="Times New Roman" w:cs="Times New Roman"/>
                <w:b/>
              </w:rPr>
              <w:t>-</w:t>
            </w:r>
          </w:p>
        </w:tc>
        <w:tc>
          <w:tcPr>
            <w:tcW w:w="1843" w:type="dxa"/>
          </w:tcPr>
          <w:p w14:paraId="00C2A070" w14:textId="77777777" w:rsidR="00B5707A" w:rsidRPr="00891B13" w:rsidRDefault="000540E5" w:rsidP="00387D99">
            <w:pPr>
              <w:rPr>
                <w:rFonts w:ascii="Times New Roman" w:hAnsi="Times New Roman" w:cs="Times New Roman"/>
                <w:b/>
              </w:rPr>
            </w:pPr>
            <w:r>
              <w:rPr>
                <w:rFonts w:ascii="Times New Roman" w:hAnsi="Times New Roman" w:cs="Times New Roman"/>
                <w:b/>
              </w:rPr>
              <w:t>-</w:t>
            </w:r>
          </w:p>
        </w:tc>
      </w:tr>
      <w:tr w:rsidR="000A13FD" w:rsidRPr="00891B13" w14:paraId="6A16B343" w14:textId="77777777" w:rsidTr="00B5707A">
        <w:tc>
          <w:tcPr>
            <w:tcW w:w="2660" w:type="dxa"/>
          </w:tcPr>
          <w:p w14:paraId="7F8AF8A2" w14:textId="77777777" w:rsidR="000A13FD" w:rsidRDefault="000A13FD" w:rsidP="00387D99">
            <w:pPr>
              <w:rPr>
                <w:rFonts w:ascii="Times New Roman" w:hAnsi="Times New Roman" w:cs="Times New Roman"/>
              </w:rPr>
            </w:pPr>
            <w:r>
              <w:rPr>
                <w:rFonts w:ascii="Times New Roman" w:hAnsi="Times New Roman" w:cs="Times New Roman"/>
              </w:rPr>
              <w:t>2.6 Projekty spolupráce so zameraním na cestovný ruch</w:t>
            </w:r>
          </w:p>
        </w:tc>
        <w:tc>
          <w:tcPr>
            <w:tcW w:w="3402" w:type="dxa"/>
          </w:tcPr>
          <w:p w14:paraId="1171558B" w14:textId="77777777" w:rsidR="00EB021B" w:rsidRDefault="00EB021B" w:rsidP="00387D99">
            <w:pPr>
              <w:rPr>
                <w:rFonts w:ascii="Times New Roman" w:hAnsi="Times New Roman" w:cs="Times New Roman"/>
                <w:b/>
              </w:rPr>
            </w:pPr>
            <w:r>
              <w:rPr>
                <w:rFonts w:ascii="Times New Roman" w:hAnsi="Times New Roman" w:cs="Times New Roman"/>
                <w:b/>
              </w:rPr>
              <w:t>190 000,00</w:t>
            </w:r>
          </w:p>
          <w:p w14:paraId="43EB5E2F" w14:textId="77777777" w:rsidR="000A13FD" w:rsidRPr="000A13FD" w:rsidRDefault="000A13FD" w:rsidP="00387D99">
            <w:pPr>
              <w:rPr>
                <w:rFonts w:ascii="Times New Roman" w:hAnsi="Times New Roman" w:cs="Times New Roman"/>
              </w:rPr>
            </w:pPr>
            <w:r>
              <w:rPr>
                <w:rFonts w:ascii="Times New Roman" w:hAnsi="Times New Roman" w:cs="Times New Roman"/>
                <w:b/>
              </w:rPr>
              <w:t>Financie mimo IROP a PRV</w:t>
            </w:r>
          </w:p>
        </w:tc>
        <w:tc>
          <w:tcPr>
            <w:tcW w:w="1701" w:type="dxa"/>
          </w:tcPr>
          <w:p w14:paraId="3788FCC1" w14:textId="77777777" w:rsidR="000A13FD" w:rsidRPr="00891B13" w:rsidRDefault="000540E5" w:rsidP="00387D99">
            <w:pPr>
              <w:rPr>
                <w:rFonts w:ascii="Times New Roman" w:hAnsi="Times New Roman" w:cs="Times New Roman"/>
                <w:b/>
              </w:rPr>
            </w:pPr>
            <w:r>
              <w:rPr>
                <w:rFonts w:ascii="Times New Roman" w:hAnsi="Times New Roman" w:cs="Times New Roman"/>
                <w:b/>
              </w:rPr>
              <w:t>-</w:t>
            </w:r>
          </w:p>
        </w:tc>
        <w:tc>
          <w:tcPr>
            <w:tcW w:w="1843" w:type="dxa"/>
          </w:tcPr>
          <w:p w14:paraId="1D553D20" w14:textId="77777777" w:rsidR="000A13FD" w:rsidRDefault="000540E5" w:rsidP="00387D99">
            <w:pPr>
              <w:rPr>
                <w:rFonts w:ascii="Times New Roman" w:hAnsi="Times New Roman" w:cs="Times New Roman"/>
                <w:b/>
              </w:rPr>
            </w:pPr>
            <w:r>
              <w:rPr>
                <w:rFonts w:ascii="Times New Roman" w:hAnsi="Times New Roman" w:cs="Times New Roman"/>
                <w:b/>
              </w:rPr>
              <w:t>-</w:t>
            </w:r>
          </w:p>
        </w:tc>
      </w:tr>
      <w:tr w:rsidR="00B5707A" w:rsidRPr="00891B13" w14:paraId="7617F348" w14:textId="77777777" w:rsidTr="00B5707A">
        <w:tc>
          <w:tcPr>
            <w:tcW w:w="2660" w:type="dxa"/>
          </w:tcPr>
          <w:p w14:paraId="03E80BDA"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3.2 Podpora investícií do lesníckych technológií a spracovania, do mobilizácie lesníckych výrobkov a ich uvádzania na trh</w:t>
            </w:r>
          </w:p>
        </w:tc>
        <w:tc>
          <w:tcPr>
            <w:tcW w:w="3402" w:type="dxa"/>
          </w:tcPr>
          <w:p w14:paraId="781B5CFE" w14:textId="77777777" w:rsidR="00B5707A" w:rsidRDefault="00B5707A" w:rsidP="00387D99">
            <w:pPr>
              <w:rPr>
                <w:rFonts w:ascii="Times New Roman" w:hAnsi="Times New Roman" w:cs="Times New Roman"/>
                <w:b/>
              </w:rPr>
            </w:pPr>
          </w:p>
          <w:p w14:paraId="4CCB8252" w14:textId="77777777" w:rsidR="00BA560B" w:rsidRDefault="00BA560B" w:rsidP="00387D99">
            <w:pPr>
              <w:rPr>
                <w:rFonts w:ascii="Times New Roman" w:hAnsi="Times New Roman" w:cs="Times New Roman"/>
                <w:b/>
              </w:rPr>
            </w:pPr>
          </w:p>
          <w:p w14:paraId="36535BFB" w14:textId="77777777" w:rsidR="00216FA2" w:rsidRPr="00891B13" w:rsidRDefault="00216FA2" w:rsidP="00387D99">
            <w:pPr>
              <w:rPr>
                <w:rFonts w:ascii="Times New Roman" w:hAnsi="Times New Roman" w:cs="Times New Roman"/>
                <w:b/>
              </w:rPr>
            </w:pPr>
            <w:r>
              <w:rPr>
                <w:rFonts w:ascii="Times New Roman" w:hAnsi="Times New Roman" w:cs="Times New Roman"/>
                <w:b/>
              </w:rPr>
              <w:t>114 163,00</w:t>
            </w:r>
          </w:p>
        </w:tc>
        <w:tc>
          <w:tcPr>
            <w:tcW w:w="1701" w:type="dxa"/>
          </w:tcPr>
          <w:p w14:paraId="36FC7E02" w14:textId="77777777" w:rsidR="00B5707A" w:rsidRPr="00891B13" w:rsidRDefault="00B5707A" w:rsidP="00387D99">
            <w:pPr>
              <w:rPr>
                <w:rFonts w:ascii="Times New Roman" w:hAnsi="Times New Roman" w:cs="Times New Roman"/>
                <w:b/>
              </w:rPr>
            </w:pPr>
          </w:p>
        </w:tc>
        <w:tc>
          <w:tcPr>
            <w:tcW w:w="1843" w:type="dxa"/>
          </w:tcPr>
          <w:p w14:paraId="0F7AD3B1"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r>
      <w:tr w:rsidR="00B5707A" w:rsidRPr="00891B13" w14:paraId="3DD2E933" w14:textId="77777777" w:rsidTr="00B5707A">
        <w:tc>
          <w:tcPr>
            <w:tcW w:w="2660" w:type="dxa"/>
          </w:tcPr>
          <w:p w14:paraId="0FDD0406"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3.3 Vznik nových a rozširovanie existujúcich podnikov v oblasti remeselnej a priemyselnej výroby</w:t>
            </w:r>
          </w:p>
        </w:tc>
        <w:tc>
          <w:tcPr>
            <w:tcW w:w="3402" w:type="dxa"/>
          </w:tcPr>
          <w:p w14:paraId="2CF01F31" w14:textId="77777777" w:rsidR="00BA560B" w:rsidRDefault="00BA560B" w:rsidP="00387D99">
            <w:pPr>
              <w:rPr>
                <w:rFonts w:ascii="Times New Roman" w:hAnsi="Times New Roman" w:cs="Times New Roman"/>
                <w:b/>
              </w:rPr>
            </w:pPr>
          </w:p>
          <w:p w14:paraId="12E95972" w14:textId="77777777" w:rsidR="00727FB6" w:rsidRPr="00891B13" w:rsidRDefault="00727FB6" w:rsidP="00387D99">
            <w:pPr>
              <w:rPr>
                <w:rFonts w:ascii="Times New Roman" w:hAnsi="Times New Roman" w:cs="Times New Roman"/>
                <w:b/>
              </w:rPr>
            </w:pPr>
            <w:r>
              <w:rPr>
                <w:rFonts w:ascii="Times New Roman" w:hAnsi="Times New Roman" w:cs="Times New Roman"/>
                <w:b/>
              </w:rPr>
              <w:t>168 735,00</w:t>
            </w:r>
          </w:p>
        </w:tc>
        <w:tc>
          <w:tcPr>
            <w:tcW w:w="1701" w:type="dxa"/>
          </w:tcPr>
          <w:p w14:paraId="1D191833" w14:textId="77777777" w:rsidR="00B5707A" w:rsidRPr="00891B13" w:rsidRDefault="00B5707A" w:rsidP="00387D99">
            <w:pPr>
              <w:rPr>
                <w:rFonts w:ascii="Times New Roman" w:hAnsi="Times New Roman" w:cs="Times New Roman"/>
                <w:b/>
              </w:rPr>
            </w:pPr>
          </w:p>
        </w:tc>
        <w:tc>
          <w:tcPr>
            <w:tcW w:w="1843" w:type="dxa"/>
          </w:tcPr>
          <w:p w14:paraId="66C20F54"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r>
      <w:tr w:rsidR="00B5707A" w:rsidRPr="00891B13" w14:paraId="0DF302C4" w14:textId="77777777" w:rsidTr="00B5707A">
        <w:tc>
          <w:tcPr>
            <w:tcW w:w="2660" w:type="dxa"/>
          </w:tcPr>
          <w:p w14:paraId="5F4921A4" w14:textId="77777777" w:rsidR="00B5707A" w:rsidRPr="00891B13" w:rsidRDefault="00B5707A" w:rsidP="00387D99">
            <w:pPr>
              <w:spacing w:line="276" w:lineRule="auto"/>
              <w:rPr>
                <w:rFonts w:ascii="Times New Roman" w:hAnsi="Times New Roman" w:cs="Times New Roman"/>
              </w:rPr>
            </w:pPr>
            <w:r>
              <w:rPr>
                <w:rFonts w:ascii="Times New Roman" w:hAnsi="Times New Roman" w:cs="Times New Roman"/>
              </w:rPr>
              <w:t>3.4</w:t>
            </w:r>
            <w:r>
              <w:rPr>
                <w:rFonts w:ascii="Times New Roman" w:hAnsi="Times New Roman" w:cs="Times New Roman"/>
                <w:b/>
              </w:rPr>
              <w:t xml:space="preserve"> </w:t>
            </w:r>
            <w:r>
              <w:rPr>
                <w:rFonts w:ascii="Times New Roman" w:hAnsi="Times New Roman" w:cs="Times New Roman"/>
              </w:rPr>
              <w:t>Kvalitné služby na vidieku</w:t>
            </w:r>
          </w:p>
        </w:tc>
        <w:tc>
          <w:tcPr>
            <w:tcW w:w="3402" w:type="dxa"/>
          </w:tcPr>
          <w:p w14:paraId="139C81CC" w14:textId="77777777" w:rsidR="00B5707A" w:rsidRDefault="00B5707A" w:rsidP="00387D99">
            <w:pPr>
              <w:rPr>
                <w:rFonts w:ascii="Times New Roman" w:hAnsi="Times New Roman" w:cs="Times New Roman"/>
                <w:b/>
              </w:rPr>
            </w:pPr>
          </w:p>
          <w:p w14:paraId="762C3431" w14:textId="77777777" w:rsidR="00BA560B" w:rsidRDefault="00BA560B" w:rsidP="00387D99">
            <w:pPr>
              <w:rPr>
                <w:rFonts w:ascii="Times New Roman" w:hAnsi="Times New Roman" w:cs="Times New Roman"/>
                <w:b/>
              </w:rPr>
            </w:pPr>
          </w:p>
          <w:p w14:paraId="18DB27C6" w14:textId="77777777" w:rsidR="00727FB6" w:rsidRPr="00891B13" w:rsidRDefault="00727FB6" w:rsidP="00387D99">
            <w:pPr>
              <w:rPr>
                <w:rFonts w:ascii="Times New Roman" w:hAnsi="Times New Roman" w:cs="Times New Roman"/>
                <w:b/>
              </w:rPr>
            </w:pPr>
            <w:r>
              <w:rPr>
                <w:rFonts w:ascii="Times New Roman" w:hAnsi="Times New Roman" w:cs="Times New Roman"/>
                <w:b/>
              </w:rPr>
              <w:t>168 735,00</w:t>
            </w:r>
          </w:p>
        </w:tc>
        <w:tc>
          <w:tcPr>
            <w:tcW w:w="1701" w:type="dxa"/>
          </w:tcPr>
          <w:p w14:paraId="2A91A708" w14:textId="77777777" w:rsidR="00B5707A" w:rsidRPr="00891B13" w:rsidRDefault="00B5707A" w:rsidP="00387D99">
            <w:pPr>
              <w:rPr>
                <w:rFonts w:ascii="Times New Roman" w:hAnsi="Times New Roman" w:cs="Times New Roman"/>
                <w:b/>
              </w:rPr>
            </w:pPr>
          </w:p>
        </w:tc>
        <w:tc>
          <w:tcPr>
            <w:tcW w:w="1843" w:type="dxa"/>
          </w:tcPr>
          <w:p w14:paraId="30C1980D" w14:textId="77777777" w:rsidR="00B5707A" w:rsidRPr="00891B13" w:rsidRDefault="00B5707A" w:rsidP="00387D99">
            <w:pPr>
              <w:rPr>
                <w:rFonts w:ascii="Times New Roman" w:hAnsi="Times New Roman" w:cs="Times New Roman"/>
                <w:b/>
              </w:rPr>
            </w:pPr>
            <w:r>
              <w:rPr>
                <w:rFonts w:ascii="Times New Roman" w:hAnsi="Times New Roman" w:cs="Times New Roman"/>
                <w:b/>
              </w:rPr>
              <w:t>X</w:t>
            </w:r>
          </w:p>
        </w:tc>
      </w:tr>
      <w:tr w:rsidR="00B5707A" w:rsidRPr="00891B13" w14:paraId="4BCFC710" w14:textId="77777777" w:rsidTr="00B5707A">
        <w:tc>
          <w:tcPr>
            <w:tcW w:w="2660" w:type="dxa"/>
          </w:tcPr>
          <w:p w14:paraId="3EBDDD17" w14:textId="77777777" w:rsidR="00B5707A" w:rsidRPr="001419DF" w:rsidRDefault="00B5707A" w:rsidP="00387D99">
            <w:pPr>
              <w:rPr>
                <w:rFonts w:ascii="Times New Roman" w:hAnsi="Times New Roman" w:cs="Times New Roman"/>
              </w:rPr>
            </w:pPr>
            <w:r w:rsidRPr="001419DF">
              <w:rPr>
                <w:rFonts w:ascii="Times New Roman" w:hAnsi="Times New Roman" w:cs="Times New Roman"/>
              </w:rPr>
              <w:t>3.5 Spolupráca medzi malými hospodárskymi subjektmi</w:t>
            </w:r>
            <w:r>
              <w:rPr>
                <w:rFonts w:ascii="Times New Roman" w:hAnsi="Times New Roman" w:cs="Times New Roman"/>
              </w:rPr>
              <w:t xml:space="preserve"> pri organizácii spoločných pra</w:t>
            </w:r>
            <w:r w:rsidRPr="001419DF">
              <w:rPr>
                <w:rFonts w:ascii="Times New Roman" w:hAnsi="Times New Roman" w:cs="Times New Roman"/>
              </w:rPr>
              <w:t>c</w:t>
            </w:r>
            <w:r>
              <w:rPr>
                <w:rFonts w:ascii="Times New Roman" w:hAnsi="Times New Roman" w:cs="Times New Roman"/>
              </w:rPr>
              <w:t>o</w:t>
            </w:r>
            <w:r w:rsidRPr="001419DF">
              <w:rPr>
                <w:rFonts w:ascii="Times New Roman" w:hAnsi="Times New Roman" w:cs="Times New Roman"/>
              </w:rPr>
              <w:t>vný</w:t>
            </w:r>
            <w:r>
              <w:rPr>
                <w:rFonts w:ascii="Times New Roman" w:hAnsi="Times New Roman" w:cs="Times New Roman"/>
              </w:rPr>
              <w:t>c</w:t>
            </w:r>
            <w:r w:rsidRPr="001419DF">
              <w:rPr>
                <w:rFonts w:ascii="Times New Roman" w:hAnsi="Times New Roman" w:cs="Times New Roman"/>
              </w:rPr>
              <w:t>h procesov a spoločnom využívaní zariadení a zdrojov a pri rozvoji služieb v oblasti cestovného ruchu/ich uvádzania na trh</w:t>
            </w:r>
          </w:p>
        </w:tc>
        <w:tc>
          <w:tcPr>
            <w:tcW w:w="3402" w:type="dxa"/>
          </w:tcPr>
          <w:p w14:paraId="14D78490" w14:textId="77777777" w:rsidR="000540E5" w:rsidRDefault="000540E5" w:rsidP="00387D99">
            <w:pPr>
              <w:rPr>
                <w:rFonts w:ascii="Times New Roman" w:hAnsi="Times New Roman" w:cs="Times New Roman"/>
                <w:b/>
              </w:rPr>
            </w:pPr>
          </w:p>
          <w:p w14:paraId="2B054D8C" w14:textId="77777777" w:rsidR="00EB021B" w:rsidRDefault="00EB021B" w:rsidP="00387D99">
            <w:pPr>
              <w:rPr>
                <w:rFonts w:ascii="Times New Roman" w:hAnsi="Times New Roman" w:cs="Times New Roman"/>
                <w:b/>
              </w:rPr>
            </w:pPr>
            <w:r>
              <w:rPr>
                <w:rFonts w:ascii="Times New Roman" w:hAnsi="Times New Roman" w:cs="Times New Roman"/>
                <w:b/>
              </w:rPr>
              <w:t>190 000,00</w:t>
            </w:r>
          </w:p>
          <w:p w14:paraId="057CC769" w14:textId="77777777" w:rsidR="000540E5" w:rsidRPr="00891B13" w:rsidRDefault="000540E5" w:rsidP="00387D99">
            <w:pPr>
              <w:rPr>
                <w:rFonts w:ascii="Times New Roman" w:hAnsi="Times New Roman" w:cs="Times New Roman"/>
                <w:b/>
              </w:rPr>
            </w:pPr>
            <w:r>
              <w:rPr>
                <w:rFonts w:ascii="Times New Roman" w:hAnsi="Times New Roman" w:cs="Times New Roman"/>
                <w:b/>
              </w:rPr>
              <w:t>Projekt bude predložený v rámci výzvy z PRV SR 2014 - 2020</w:t>
            </w:r>
          </w:p>
        </w:tc>
        <w:tc>
          <w:tcPr>
            <w:tcW w:w="1701" w:type="dxa"/>
          </w:tcPr>
          <w:p w14:paraId="1EFAA891" w14:textId="77777777" w:rsidR="00B5707A" w:rsidRDefault="000540E5" w:rsidP="00387D99">
            <w:pPr>
              <w:rPr>
                <w:rFonts w:ascii="Times New Roman" w:hAnsi="Times New Roman" w:cs="Times New Roman"/>
                <w:b/>
              </w:rPr>
            </w:pPr>
            <w:r>
              <w:rPr>
                <w:rFonts w:ascii="Times New Roman" w:hAnsi="Times New Roman" w:cs="Times New Roman"/>
                <w:b/>
              </w:rPr>
              <w:t>-</w:t>
            </w:r>
          </w:p>
        </w:tc>
        <w:tc>
          <w:tcPr>
            <w:tcW w:w="1843" w:type="dxa"/>
          </w:tcPr>
          <w:p w14:paraId="1121769B" w14:textId="77777777" w:rsidR="00B5707A" w:rsidRDefault="000540E5" w:rsidP="00387D99">
            <w:pPr>
              <w:rPr>
                <w:rFonts w:ascii="Times New Roman" w:hAnsi="Times New Roman" w:cs="Times New Roman"/>
                <w:b/>
              </w:rPr>
            </w:pPr>
            <w:r>
              <w:rPr>
                <w:rFonts w:ascii="Times New Roman" w:hAnsi="Times New Roman" w:cs="Times New Roman"/>
                <w:b/>
              </w:rPr>
              <w:t>-</w:t>
            </w:r>
          </w:p>
        </w:tc>
      </w:tr>
      <w:tr w:rsidR="000D49B8" w:rsidRPr="000D49B8" w14:paraId="309B958D" w14:textId="77777777" w:rsidTr="00B5707A">
        <w:tc>
          <w:tcPr>
            <w:tcW w:w="2660" w:type="dxa"/>
          </w:tcPr>
          <w:p w14:paraId="7D1497D6" w14:textId="77777777" w:rsidR="000D49B8" w:rsidRPr="000D49B8" w:rsidRDefault="000D49B8" w:rsidP="00387D99">
            <w:pPr>
              <w:rPr>
                <w:rFonts w:ascii="Times New Roman" w:hAnsi="Times New Roman" w:cs="Times New Roman"/>
              </w:rPr>
            </w:pPr>
            <w:r w:rsidRPr="000D49B8">
              <w:rPr>
                <w:rFonts w:ascii="Times New Roman" w:hAnsi="Times New Roman" w:cs="Times New Roman"/>
              </w:rPr>
              <w:t xml:space="preserve">3.6 </w:t>
            </w:r>
            <w:r w:rsidRPr="000D49B8">
              <w:rPr>
                <w:rFonts w:ascii="Times New Roman" w:hAnsi="Times New Roman" w:cs="Times New Roman"/>
                <w:sz w:val="24"/>
                <w:szCs w:val="24"/>
              </w:rPr>
              <w:t>Podpora zamestnanosti, začleňovania a rozvoja ľudských zdrojov</w:t>
            </w:r>
          </w:p>
        </w:tc>
        <w:tc>
          <w:tcPr>
            <w:tcW w:w="3402" w:type="dxa"/>
          </w:tcPr>
          <w:p w14:paraId="1A11E395" w14:textId="77777777" w:rsidR="00084A31" w:rsidRDefault="00084A31" w:rsidP="00387D99">
            <w:pPr>
              <w:rPr>
                <w:rFonts w:ascii="Times New Roman" w:hAnsi="Times New Roman" w:cs="Times New Roman"/>
                <w:b/>
              </w:rPr>
            </w:pPr>
            <w:r>
              <w:rPr>
                <w:rFonts w:ascii="Times New Roman" w:hAnsi="Times New Roman" w:cs="Times New Roman"/>
                <w:b/>
              </w:rPr>
              <w:t>47 500,00</w:t>
            </w:r>
          </w:p>
          <w:p w14:paraId="3B5481E7" w14:textId="77777777" w:rsidR="000D49B8" w:rsidRPr="000D49B8" w:rsidRDefault="000A13FD" w:rsidP="00387D99">
            <w:pPr>
              <w:rPr>
                <w:rFonts w:ascii="Times New Roman" w:hAnsi="Times New Roman" w:cs="Times New Roman"/>
              </w:rPr>
            </w:pPr>
            <w:r>
              <w:rPr>
                <w:rFonts w:ascii="Times New Roman" w:hAnsi="Times New Roman" w:cs="Times New Roman"/>
                <w:b/>
              </w:rPr>
              <w:t>Financie mimo IROP a PRV</w:t>
            </w:r>
          </w:p>
        </w:tc>
        <w:tc>
          <w:tcPr>
            <w:tcW w:w="1701" w:type="dxa"/>
          </w:tcPr>
          <w:p w14:paraId="34084C4B" w14:textId="77777777" w:rsidR="000D49B8" w:rsidRPr="000D49B8" w:rsidRDefault="000D49B8" w:rsidP="00387D99">
            <w:pPr>
              <w:rPr>
                <w:rFonts w:ascii="Times New Roman" w:hAnsi="Times New Roman" w:cs="Times New Roman"/>
              </w:rPr>
            </w:pPr>
          </w:p>
        </w:tc>
        <w:tc>
          <w:tcPr>
            <w:tcW w:w="1843" w:type="dxa"/>
          </w:tcPr>
          <w:p w14:paraId="3D6396C3" w14:textId="77777777" w:rsidR="000D49B8" w:rsidRPr="000D49B8" w:rsidRDefault="000D49B8" w:rsidP="00387D99">
            <w:pPr>
              <w:rPr>
                <w:rFonts w:ascii="Times New Roman" w:hAnsi="Times New Roman" w:cs="Times New Roman"/>
              </w:rPr>
            </w:pPr>
          </w:p>
        </w:tc>
      </w:tr>
      <w:tr w:rsidR="00656C94" w:rsidRPr="000D49B8" w14:paraId="01DBAB03" w14:textId="77777777" w:rsidTr="00BB35D3">
        <w:tc>
          <w:tcPr>
            <w:tcW w:w="2660" w:type="dxa"/>
          </w:tcPr>
          <w:p w14:paraId="5BC50C7A" w14:textId="77777777" w:rsidR="00656C94" w:rsidRPr="000D49B8" w:rsidRDefault="00656C94" w:rsidP="00BB35D3">
            <w:pPr>
              <w:rPr>
                <w:rFonts w:ascii="Times New Roman" w:hAnsi="Times New Roman" w:cs="Times New Roman"/>
              </w:rPr>
            </w:pPr>
            <w:r>
              <w:rPr>
                <w:rFonts w:ascii="Times New Roman" w:hAnsi="Times New Roman" w:cs="Times New Roman"/>
              </w:rPr>
              <w:t>4.1 Chod MAS a animácie</w:t>
            </w:r>
          </w:p>
        </w:tc>
        <w:tc>
          <w:tcPr>
            <w:tcW w:w="3402" w:type="dxa"/>
          </w:tcPr>
          <w:p w14:paraId="317C7E63" w14:textId="77777777" w:rsidR="00656C94" w:rsidRPr="000D49B8" w:rsidRDefault="00656C94" w:rsidP="00BB35D3">
            <w:pPr>
              <w:rPr>
                <w:rFonts w:ascii="Times New Roman" w:hAnsi="Times New Roman" w:cs="Times New Roman"/>
              </w:rPr>
            </w:pPr>
            <w:r>
              <w:rPr>
                <w:rFonts w:ascii="Times New Roman" w:hAnsi="Times New Roman" w:cs="Times New Roman"/>
                <w:b/>
              </w:rPr>
              <w:t>Neprojektové opatrenie</w:t>
            </w:r>
          </w:p>
        </w:tc>
        <w:tc>
          <w:tcPr>
            <w:tcW w:w="1701" w:type="dxa"/>
          </w:tcPr>
          <w:p w14:paraId="10095C2F" w14:textId="77777777" w:rsidR="00656C94" w:rsidRPr="000D49B8" w:rsidRDefault="00656C94" w:rsidP="00BB35D3">
            <w:pPr>
              <w:rPr>
                <w:rFonts w:ascii="Times New Roman" w:hAnsi="Times New Roman" w:cs="Times New Roman"/>
              </w:rPr>
            </w:pPr>
          </w:p>
        </w:tc>
        <w:tc>
          <w:tcPr>
            <w:tcW w:w="1843" w:type="dxa"/>
          </w:tcPr>
          <w:p w14:paraId="52221DBD" w14:textId="77777777" w:rsidR="00656C94" w:rsidRPr="000D49B8" w:rsidRDefault="00656C94" w:rsidP="00BB35D3">
            <w:pPr>
              <w:rPr>
                <w:rFonts w:ascii="Times New Roman" w:hAnsi="Times New Roman" w:cs="Times New Roman"/>
              </w:rPr>
            </w:pPr>
          </w:p>
        </w:tc>
      </w:tr>
      <w:tr w:rsidR="00B5707A" w:rsidRPr="00891B13" w14:paraId="7458912F" w14:textId="77777777" w:rsidTr="00B5707A">
        <w:tc>
          <w:tcPr>
            <w:tcW w:w="2660" w:type="dxa"/>
            <w:tcBorders>
              <w:bottom w:val="single" w:sz="4" w:space="0" w:color="auto"/>
            </w:tcBorders>
          </w:tcPr>
          <w:p w14:paraId="633C5347"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 xml:space="preserve">Celkový rozpočet podľa sektorov </w:t>
            </w:r>
          </w:p>
        </w:tc>
        <w:tc>
          <w:tcPr>
            <w:tcW w:w="3402" w:type="dxa"/>
            <w:tcBorders>
              <w:bottom w:val="single" w:sz="4" w:space="0" w:color="auto"/>
            </w:tcBorders>
          </w:tcPr>
          <w:p w14:paraId="1C53A5B0"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w:t>
            </w:r>
          </w:p>
        </w:tc>
        <w:tc>
          <w:tcPr>
            <w:tcW w:w="1701" w:type="dxa"/>
            <w:tcBorders>
              <w:bottom w:val="single" w:sz="4" w:space="0" w:color="auto"/>
            </w:tcBorders>
          </w:tcPr>
          <w:p w14:paraId="500801B7" w14:textId="77777777" w:rsidR="00B5707A" w:rsidRDefault="00B5707A" w:rsidP="00387D99">
            <w:pPr>
              <w:spacing w:line="276" w:lineRule="auto"/>
              <w:rPr>
                <w:rFonts w:ascii="Times New Roman" w:hAnsi="Times New Roman" w:cs="Times New Roman"/>
                <w:b/>
              </w:rPr>
            </w:pPr>
          </w:p>
          <w:p w14:paraId="5E36ACD5" w14:textId="77777777" w:rsidR="00BA560B" w:rsidRDefault="00BA560B" w:rsidP="00387D99">
            <w:pPr>
              <w:spacing w:line="276" w:lineRule="auto"/>
              <w:rPr>
                <w:rFonts w:ascii="Times New Roman" w:hAnsi="Times New Roman" w:cs="Times New Roman"/>
                <w:b/>
              </w:rPr>
            </w:pPr>
          </w:p>
          <w:p w14:paraId="72916209" w14:textId="77777777" w:rsidR="00727FB6" w:rsidRPr="00891B13" w:rsidRDefault="00727FB6" w:rsidP="00387D99">
            <w:pPr>
              <w:spacing w:line="276" w:lineRule="auto"/>
              <w:rPr>
                <w:rFonts w:ascii="Times New Roman" w:hAnsi="Times New Roman" w:cs="Times New Roman"/>
                <w:b/>
              </w:rPr>
            </w:pPr>
            <w:r>
              <w:rPr>
                <w:rFonts w:ascii="Times New Roman" w:hAnsi="Times New Roman" w:cs="Times New Roman"/>
                <w:b/>
              </w:rPr>
              <w:t>718 018,00</w:t>
            </w:r>
          </w:p>
        </w:tc>
        <w:tc>
          <w:tcPr>
            <w:tcW w:w="1843" w:type="dxa"/>
            <w:tcBorders>
              <w:bottom w:val="single" w:sz="4" w:space="0" w:color="auto"/>
            </w:tcBorders>
          </w:tcPr>
          <w:p w14:paraId="4E6ADA5F" w14:textId="77777777" w:rsidR="00B5707A" w:rsidRDefault="00B5707A" w:rsidP="00387D99">
            <w:pPr>
              <w:spacing w:line="276" w:lineRule="auto"/>
              <w:rPr>
                <w:rFonts w:ascii="Times New Roman" w:hAnsi="Times New Roman" w:cs="Times New Roman"/>
                <w:b/>
              </w:rPr>
            </w:pPr>
          </w:p>
          <w:p w14:paraId="744845F3" w14:textId="77777777" w:rsidR="00BA560B" w:rsidRDefault="00BA560B" w:rsidP="00387D99">
            <w:pPr>
              <w:spacing w:line="276" w:lineRule="auto"/>
              <w:rPr>
                <w:rFonts w:ascii="Times New Roman" w:hAnsi="Times New Roman" w:cs="Times New Roman"/>
                <w:b/>
              </w:rPr>
            </w:pPr>
          </w:p>
          <w:p w14:paraId="13B07A82" w14:textId="77777777" w:rsidR="00727FB6" w:rsidRPr="00891B13" w:rsidRDefault="00727FB6" w:rsidP="00387D99">
            <w:pPr>
              <w:spacing w:line="276" w:lineRule="auto"/>
              <w:rPr>
                <w:rFonts w:ascii="Times New Roman" w:hAnsi="Times New Roman" w:cs="Times New Roman"/>
                <w:b/>
              </w:rPr>
            </w:pPr>
            <w:r>
              <w:rPr>
                <w:rFonts w:ascii="Times New Roman" w:hAnsi="Times New Roman" w:cs="Times New Roman"/>
                <w:b/>
              </w:rPr>
              <w:t>718 018,00</w:t>
            </w:r>
          </w:p>
        </w:tc>
      </w:tr>
      <w:tr w:rsidR="00B5707A" w:rsidRPr="00891B13" w14:paraId="752F6924" w14:textId="77777777" w:rsidTr="00B5707A">
        <w:tc>
          <w:tcPr>
            <w:tcW w:w="2660" w:type="dxa"/>
          </w:tcPr>
          <w:p w14:paraId="04C6AE9D"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 xml:space="preserve">Percentuálny pomer zamerania stratégie </w:t>
            </w:r>
          </w:p>
        </w:tc>
        <w:tc>
          <w:tcPr>
            <w:tcW w:w="3402" w:type="dxa"/>
          </w:tcPr>
          <w:p w14:paraId="55257E4C" w14:textId="77777777" w:rsidR="00B5707A" w:rsidRPr="00891B13" w:rsidRDefault="00B5707A" w:rsidP="00387D99">
            <w:pPr>
              <w:spacing w:line="276" w:lineRule="auto"/>
              <w:rPr>
                <w:rFonts w:ascii="Times New Roman" w:hAnsi="Times New Roman" w:cs="Times New Roman"/>
                <w:b/>
              </w:rPr>
            </w:pPr>
            <w:r w:rsidRPr="00891B13">
              <w:rPr>
                <w:rFonts w:ascii="Times New Roman" w:hAnsi="Times New Roman" w:cs="Times New Roman"/>
                <w:b/>
              </w:rPr>
              <w:t>-----------------------------------------------</w:t>
            </w:r>
          </w:p>
        </w:tc>
        <w:tc>
          <w:tcPr>
            <w:tcW w:w="1701" w:type="dxa"/>
          </w:tcPr>
          <w:p w14:paraId="1A6B0B78" w14:textId="77777777" w:rsidR="00B5707A" w:rsidRDefault="00B5707A" w:rsidP="00387D99">
            <w:pPr>
              <w:spacing w:line="276" w:lineRule="auto"/>
              <w:rPr>
                <w:rFonts w:ascii="Times New Roman" w:hAnsi="Times New Roman" w:cs="Times New Roman"/>
                <w:b/>
              </w:rPr>
            </w:pPr>
          </w:p>
          <w:p w14:paraId="17A3B69D" w14:textId="77777777" w:rsidR="00727FB6" w:rsidRPr="00891B13" w:rsidRDefault="00727FB6" w:rsidP="00387D99">
            <w:pPr>
              <w:spacing w:line="276" w:lineRule="auto"/>
              <w:rPr>
                <w:rFonts w:ascii="Times New Roman" w:hAnsi="Times New Roman" w:cs="Times New Roman"/>
                <w:b/>
              </w:rPr>
            </w:pPr>
            <w:r>
              <w:rPr>
                <w:rFonts w:ascii="Times New Roman" w:hAnsi="Times New Roman" w:cs="Times New Roman"/>
                <w:b/>
              </w:rPr>
              <w:t>50 %</w:t>
            </w:r>
          </w:p>
        </w:tc>
        <w:tc>
          <w:tcPr>
            <w:tcW w:w="1843" w:type="dxa"/>
          </w:tcPr>
          <w:p w14:paraId="7EA16B77" w14:textId="77777777" w:rsidR="00B5707A" w:rsidRDefault="00B5707A" w:rsidP="00387D99">
            <w:pPr>
              <w:spacing w:line="276" w:lineRule="auto"/>
              <w:rPr>
                <w:rFonts w:ascii="Times New Roman" w:hAnsi="Times New Roman" w:cs="Times New Roman"/>
                <w:b/>
              </w:rPr>
            </w:pPr>
          </w:p>
          <w:p w14:paraId="11A4AA8C" w14:textId="77777777" w:rsidR="00727FB6" w:rsidRPr="00891B13" w:rsidRDefault="00727FB6" w:rsidP="00387D99">
            <w:pPr>
              <w:spacing w:line="276" w:lineRule="auto"/>
              <w:rPr>
                <w:rFonts w:ascii="Times New Roman" w:hAnsi="Times New Roman" w:cs="Times New Roman"/>
                <w:b/>
              </w:rPr>
            </w:pPr>
            <w:r>
              <w:rPr>
                <w:rFonts w:ascii="Times New Roman" w:hAnsi="Times New Roman" w:cs="Times New Roman"/>
                <w:b/>
              </w:rPr>
              <w:t>50 %</w:t>
            </w:r>
          </w:p>
        </w:tc>
      </w:tr>
    </w:tbl>
    <w:p w14:paraId="36E17155" w14:textId="77777777" w:rsidR="00512FE8" w:rsidRDefault="00512FE8" w:rsidP="00E37887">
      <w:pPr>
        <w:spacing w:after="0" w:line="360" w:lineRule="auto"/>
        <w:rPr>
          <w:rFonts w:ascii="Times New Roman" w:hAnsi="Times New Roman" w:cs="Times New Roman"/>
          <w:color w:val="FF0000"/>
        </w:rPr>
      </w:pPr>
    </w:p>
    <w:p w14:paraId="01C5890C" w14:textId="77777777" w:rsidR="00E135B2" w:rsidRDefault="00E135B2" w:rsidP="00E37887">
      <w:pPr>
        <w:spacing w:after="0" w:line="360" w:lineRule="auto"/>
        <w:rPr>
          <w:rFonts w:ascii="Times New Roman" w:hAnsi="Times New Roman" w:cs="Times New Roman"/>
          <w:color w:val="FF0000"/>
        </w:rPr>
      </w:pPr>
    </w:p>
    <w:p w14:paraId="1227498F" w14:textId="77777777" w:rsidR="007A044F" w:rsidRDefault="007A044F" w:rsidP="00E37887">
      <w:pPr>
        <w:spacing w:after="0" w:line="360" w:lineRule="auto"/>
        <w:rPr>
          <w:rFonts w:ascii="Times New Roman" w:hAnsi="Times New Roman" w:cs="Times New Roman"/>
          <w:color w:val="FF0000"/>
        </w:rPr>
      </w:pPr>
    </w:p>
    <w:p w14:paraId="083DAF46" w14:textId="77777777" w:rsidR="007A044F" w:rsidRPr="00891B13" w:rsidRDefault="007A044F" w:rsidP="00E37887">
      <w:pPr>
        <w:spacing w:after="0" w:line="360" w:lineRule="auto"/>
        <w:rPr>
          <w:rFonts w:ascii="Times New Roman" w:hAnsi="Times New Roman" w:cs="Times New Roman"/>
          <w:color w:val="FF0000"/>
        </w:rPr>
      </w:pPr>
    </w:p>
    <w:p w14:paraId="4179BD03" w14:textId="77777777" w:rsidR="00EE385A" w:rsidRDefault="00EE385A">
      <w:pPr>
        <w:rPr>
          <w:rFonts w:ascii="Times New Roman" w:hAnsi="Times New Roman" w:cs="Times New Roman"/>
          <w:b/>
          <w:sz w:val="24"/>
          <w:szCs w:val="24"/>
        </w:rPr>
      </w:pPr>
      <w:r>
        <w:rPr>
          <w:rFonts w:ascii="Times New Roman" w:hAnsi="Times New Roman" w:cs="Times New Roman"/>
          <w:b/>
          <w:sz w:val="24"/>
          <w:szCs w:val="24"/>
        </w:rPr>
        <w:br w:type="page"/>
      </w:r>
    </w:p>
    <w:p w14:paraId="7654F8D9"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272" w:name="_Toc437877513"/>
      <w:bookmarkStart w:id="2273" w:name="_Toc437877711"/>
      <w:bookmarkStart w:id="2274" w:name="_Toc437877911"/>
      <w:bookmarkStart w:id="2275" w:name="_Toc437878111"/>
      <w:bookmarkStart w:id="2276" w:name="_Toc437878314"/>
      <w:bookmarkStart w:id="2277" w:name="_Toc437878518"/>
      <w:bookmarkStart w:id="2278" w:name="_Toc437878722"/>
      <w:bookmarkStart w:id="2279" w:name="_Toc437878926"/>
      <w:bookmarkStart w:id="2280" w:name="_Toc439150094"/>
      <w:bookmarkStart w:id="2281" w:name="_Toc439150450"/>
      <w:bookmarkStart w:id="2282" w:name="_Toc439150649"/>
      <w:bookmarkStart w:id="2283" w:name="_Toc485645728"/>
      <w:bookmarkStart w:id="2284" w:name="_Toc485645887"/>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34DB9817"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285" w:name="_Toc437877514"/>
      <w:bookmarkStart w:id="2286" w:name="_Toc437877712"/>
      <w:bookmarkStart w:id="2287" w:name="_Toc437877912"/>
      <w:bookmarkStart w:id="2288" w:name="_Toc437878112"/>
      <w:bookmarkStart w:id="2289" w:name="_Toc437878315"/>
      <w:bookmarkStart w:id="2290" w:name="_Toc437878519"/>
      <w:bookmarkStart w:id="2291" w:name="_Toc437878723"/>
      <w:bookmarkStart w:id="2292" w:name="_Toc437878927"/>
      <w:bookmarkStart w:id="2293" w:name="_Toc439150095"/>
      <w:bookmarkStart w:id="2294" w:name="_Toc439150451"/>
      <w:bookmarkStart w:id="2295" w:name="_Toc439150650"/>
      <w:bookmarkStart w:id="2296" w:name="_Toc485645729"/>
      <w:bookmarkStart w:id="2297" w:name="_Toc485645888"/>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7667C8D"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298" w:name="_Toc437877515"/>
      <w:bookmarkStart w:id="2299" w:name="_Toc437877713"/>
      <w:bookmarkStart w:id="2300" w:name="_Toc437877913"/>
      <w:bookmarkStart w:id="2301" w:name="_Toc437878113"/>
      <w:bookmarkStart w:id="2302" w:name="_Toc437878316"/>
      <w:bookmarkStart w:id="2303" w:name="_Toc437878520"/>
      <w:bookmarkStart w:id="2304" w:name="_Toc437878724"/>
      <w:bookmarkStart w:id="2305" w:name="_Toc437878928"/>
      <w:bookmarkStart w:id="2306" w:name="_Toc439150096"/>
      <w:bookmarkStart w:id="2307" w:name="_Toc439150452"/>
      <w:bookmarkStart w:id="2308" w:name="_Toc439150651"/>
      <w:bookmarkStart w:id="2309" w:name="_Toc485645730"/>
      <w:bookmarkStart w:id="2310" w:name="_Toc485645889"/>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61C51107"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311" w:name="_Toc437877516"/>
      <w:bookmarkStart w:id="2312" w:name="_Toc437877714"/>
      <w:bookmarkStart w:id="2313" w:name="_Toc437877914"/>
      <w:bookmarkStart w:id="2314" w:name="_Toc437878114"/>
      <w:bookmarkStart w:id="2315" w:name="_Toc437878317"/>
      <w:bookmarkStart w:id="2316" w:name="_Toc437878521"/>
      <w:bookmarkStart w:id="2317" w:name="_Toc437878725"/>
      <w:bookmarkStart w:id="2318" w:name="_Toc437878929"/>
      <w:bookmarkStart w:id="2319" w:name="_Toc439150097"/>
      <w:bookmarkStart w:id="2320" w:name="_Toc439150453"/>
      <w:bookmarkStart w:id="2321" w:name="_Toc439150652"/>
      <w:bookmarkStart w:id="2322" w:name="_Toc485645731"/>
      <w:bookmarkStart w:id="2323" w:name="_Toc48564589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602B1148"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324" w:name="_Toc437877517"/>
      <w:bookmarkStart w:id="2325" w:name="_Toc437877715"/>
      <w:bookmarkStart w:id="2326" w:name="_Toc437877915"/>
      <w:bookmarkStart w:id="2327" w:name="_Toc437878115"/>
      <w:bookmarkStart w:id="2328" w:name="_Toc437878318"/>
      <w:bookmarkStart w:id="2329" w:name="_Toc437878522"/>
      <w:bookmarkStart w:id="2330" w:name="_Toc437878726"/>
      <w:bookmarkStart w:id="2331" w:name="_Toc437878930"/>
      <w:bookmarkStart w:id="2332" w:name="_Toc439150098"/>
      <w:bookmarkStart w:id="2333" w:name="_Toc439150454"/>
      <w:bookmarkStart w:id="2334" w:name="_Toc439150653"/>
      <w:bookmarkStart w:id="2335" w:name="_Toc485645732"/>
      <w:bookmarkStart w:id="2336" w:name="_Toc485645891"/>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6F42EBE4" w14:textId="77777777" w:rsidR="00EE385A" w:rsidRPr="00EE385A" w:rsidRDefault="00EE385A" w:rsidP="003301D6">
      <w:pPr>
        <w:pStyle w:val="Odsekzoznamu"/>
        <w:keepNext/>
        <w:keepLines/>
        <w:numPr>
          <w:ilvl w:val="0"/>
          <w:numId w:val="25"/>
        </w:numPr>
        <w:spacing w:after="0" w:line="360" w:lineRule="auto"/>
        <w:contextualSpacing w:val="0"/>
        <w:outlineLvl w:val="0"/>
        <w:rPr>
          <w:rFonts w:ascii="Times New Roman" w:eastAsiaTheme="majorEastAsia" w:hAnsi="Times New Roman" w:cstheme="majorBidi"/>
          <w:b/>
          <w:vanish/>
          <w:sz w:val="28"/>
          <w:szCs w:val="32"/>
        </w:rPr>
      </w:pPr>
      <w:bookmarkStart w:id="2337" w:name="_Toc437877518"/>
      <w:bookmarkStart w:id="2338" w:name="_Toc437877716"/>
      <w:bookmarkStart w:id="2339" w:name="_Toc437877916"/>
      <w:bookmarkStart w:id="2340" w:name="_Toc437878116"/>
      <w:bookmarkStart w:id="2341" w:name="_Toc437878319"/>
      <w:bookmarkStart w:id="2342" w:name="_Toc437878523"/>
      <w:bookmarkStart w:id="2343" w:name="_Toc437878727"/>
      <w:bookmarkStart w:id="2344" w:name="_Toc437878931"/>
      <w:bookmarkStart w:id="2345" w:name="_Toc439150099"/>
      <w:bookmarkStart w:id="2346" w:name="_Toc439150455"/>
      <w:bookmarkStart w:id="2347" w:name="_Toc439150654"/>
      <w:bookmarkStart w:id="2348" w:name="_Toc485645733"/>
      <w:bookmarkStart w:id="2349" w:name="_Toc485645892"/>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756089E1" w14:textId="77777777" w:rsidR="000527A2" w:rsidRPr="00891B13" w:rsidRDefault="000527A2" w:rsidP="003301D6">
      <w:pPr>
        <w:pStyle w:val="Nadpis1"/>
        <w:numPr>
          <w:ilvl w:val="0"/>
          <w:numId w:val="7"/>
        </w:numPr>
      </w:pPr>
      <w:bookmarkStart w:id="2350" w:name="_Toc485645893"/>
      <w:r w:rsidRPr="00891B13">
        <w:t>Zhodnotenie prínosov st</w:t>
      </w:r>
      <w:r w:rsidR="002F6D48" w:rsidRPr="00891B13">
        <w:t>ratégie CLLD, jej synergie a doplnkovosť</w:t>
      </w:r>
      <w:bookmarkEnd w:id="2350"/>
    </w:p>
    <w:p w14:paraId="139666EA" w14:textId="77777777" w:rsidR="00512FE8" w:rsidRPr="00891B13" w:rsidRDefault="00512FE8" w:rsidP="00E37887">
      <w:pPr>
        <w:spacing w:after="0" w:line="360" w:lineRule="auto"/>
        <w:rPr>
          <w:rFonts w:ascii="Times New Roman" w:hAnsi="Times New Roman" w:cs="Times New Roman"/>
          <w:sz w:val="24"/>
          <w:szCs w:val="24"/>
        </w:rPr>
      </w:pPr>
    </w:p>
    <w:p w14:paraId="0BF6E153" w14:textId="77777777" w:rsidR="00195BDA" w:rsidRDefault="00053F33" w:rsidP="003301D6">
      <w:pPr>
        <w:pStyle w:val="Nadpis2"/>
        <w:numPr>
          <w:ilvl w:val="1"/>
          <w:numId w:val="26"/>
        </w:numPr>
        <w:ind w:left="709"/>
      </w:pPr>
      <w:bookmarkStart w:id="2351" w:name="_Toc485645894"/>
      <w:r w:rsidRPr="00891B13">
        <w:t>Prínos</w:t>
      </w:r>
      <w:r w:rsidR="002E3388" w:rsidRPr="00891B13">
        <w:t>y</w:t>
      </w:r>
      <w:r w:rsidRPr="00891B13">
        <w:t xml:space="preserve"> k zlepšovaniu ekonomického rozvoja územia</w:t>
      </w:r>
      <w:bookmarkEnd w:id="2351"/>
    </w:p>
    <w:p w14:paraId="192ED71D" w14:textId="77777777" w:rsidR="00195BDA" w:rsidRDefault="00195BDA" w:rsidP="00195BDA">
      <w:pPr>
        <w:pStyle w:val="Nadpis2"/>
      </w:pPr>
    </w:p>
    <w:p w14:paraId="34FF4296" w14:textId="77777777" w:rsidR="00195BDA" w:rsidRPr="00195BDA" w:rsidRDefault="00195BDA" w:rsidP="00195BDA">
      <w:pPr>
        <w:pStyle w:val="Nadpis2"/>
        <w:jc w:val="both"/>
        <w:rPr>
          <w:b w:val="0"/>
        </w:rPr>
      </w:pPr>
      <w:r>
        <w:rPr>
          <w:rFonts w:cs="Times New Roman"/>
          <w:b w:val="0"/>
        </w:rPr>
        <w:tab/>
      </w:r>
      <w:bookmarkStart w:id="2352" w:name="_Toc439150102"/>
      <w:bookmarkStart w:id="2353" w:name="_Toc439150657"/>
      <w:bookmarkStart w:id="2354" w:name="_Toc485645736"/>
      <w:bookmarkStart w:id="2355" w:name="_Toc485645895"/>
      <w:r w:rsidRPr="00195BDA">
        <w:rPr>
          <w:rFonts w:cs="Times New Roman"/>
          <w:b w:val="0"/>
        </w:rPr>
        <w:t>Zlepšovanie ekonomického rozvoja územia je jednou z kľúčových priorít stratégie. Stratégia vytvára podmienky pre rozvoj malého a stredného podnikania všeobecne. Podporou nových a existujúcich podnikov či samostatne zárobkovo činných osôb na obstaranie technológie či stavebno-technické úpravy prispieva k tvorbe nových pracovných miest, čo pomôže udržať kvalitnú pracovnú silu v regióne. Stratégia je zameraná multisektorálne, keďže investície sú nasmerované ako na primárny sektor ekonomiky (poľnohospodárstvo a lesného hospodárstvo), tak na priemysel ale i služby, a to predovšetkým v oblasti vidieckeho cestovného ruchu, ktorého rozvoj má v regióne dobré predpoklady.</w:t>
      </w:r>
      <w:bookmarkEnd w:id="2352"/>
      <w:bookmarkEnd w:id="2353"/>
      <w:bookmarkEnd w:id="2354"/>
      <w:bookmarkEnd w:id="2355"/>
      <w:r w:rsidRPr="00195BDA">
        <w:rPr>
          <w:rFonts w:cs="Times New Roman"/>
          <w:b w:val="0"/>
        </w:rPr>
        <w:t xml:space="preserve"> </w:t>
      </w:r>
    </w:p>
    <w:p w14:paraId="3FAA402C" w14:textId="77777777" w:rsidR="00195BDA" w:rsidRPr="00195BDA" w:rsidRDefault="00195BDA" w:rsidP="00195BDA">
      <w:pPr>
        <w:pStyle w:val="Odsekzoznamu"/>
        <w:spacing w:line="360" w:lineRule="auto"/>
        <w:ind w:left="0"/>
        <w:jc w:val="both"/>
        <w:rPr>
          <w:rFonts w:ascii="Times New Roman" w:hAnsi="Times New Roman" w:cs="Times New Roman"/>
          <w:sz w:val="24"/>
        </w:rPr>
      </w:pPr>
      <w:r>
        <w:rPr>
          <w:rFonts w:ascii="Times New Roman" w:hAnsi="Times New Roman" w:cs="Times New Roman"/>
          <w:sz w:val="24"/>
        </w:rPr>
        <w:tab/>
      </w:r>
      <w:r w:rsidR="00C544CF">
        <w:rPr>
          <w:rFonts w:ascii="Times New Roman" w:hAnsi="Times New Roman" w:cs="Times New Roman"/>
          <w:sz w:val="24"/>
        </w:rPr>
        <w:t xml:space="preserve">Celková alokácia na realizáciu CLLD stratégie vo výške </w:t>
      </w:r>
      <w:r w:rsidR="00C544CF" w:rsidRPr="00C10E73">
        <w:rPr>
          <w:rFonts w:ascii="Times New Roman" w:hAnsi="Times New Roman" w:cs="Times New Roman"/>
          <w:sz w:val="24"/>
        </w:rPr>
        <w:t>1 723 242,34</w:t>
      </w:r>
      <w:r w:rsidR="00C544CF">
        <w:rPr>
          <w:rFonts w:ascii="Times New Roman" w:hAnsi="Times New Roman" w:cs="Times New Roman"/>
          <w:sz w:val="24"/>
        </w:rPr>
        <w:t xml:space="preserve"> EUR nám ukladá povinnosť vytvoriť 13 pracovných miest.</w:t>
      </w:r>
      <w:r w:rsidRPr="00195BDA">
        <w:rPr>
          <w:rFonts w:ascii="Times New Roman" w:hAnsi="Times New Roman" w:cs="Times New Roman"/>
          <w:sz w:val="24"/>
        </w:rPr>
        <w:t>. V rámci opatrení PRV bud</w:t>
      </w:r>
      <w:r w:rsidR="00C544CF">
        <w:rPr>
          <w:rFonts w:ascii="Times New Roman" w:hAnsi="Times New Roman" w:cs="Times New Roman"/>
          <w:sz w:val="24"/>
        </w:rPr>
        <w:t xml:space="preserve">ú generovať pracovné pozície opatrenie </w:t>
      </w:r>
      <w:r w:rsidR="00C544CF" w:rsidRPr="00C10E73">
        <w:rPr>
          <w:rFonts w:ascii="Times New Roman" w:hAnsi="Times New Roman" w:cs="Times New Roman"/>
          <w:sz w:val="24"/>
        </w:rPr>
        <w:t>2.3 Podpora na investície do rozvoja vidieckeho cestovného ruchu a agroturistiky</w:t>
      </w:r>
      <w:r w:rsidR="00C544CF" w:rsidRPr="00C10E73" w:rsidDel="00C10E73">
        <w:rPr>
          <w:rFonts w:ascii="Times New Roman" w:hAnsi="Times New Roman" w:cs="Times New Roman"/>
          <w:sz w:val="24"/>
        </w:rPr>
        <w:t xml:space="preserve"> </w:t>
      </w:r>
      <w:r w:rsidR="00C544CF">
        <w:rPr>
          <w:rFonts w:ascii="Times New Roman" w:hAnsi="Times New Roman" w:cs="Times New Roman"/>
          <w:sz w:val="24"/>
        </w:rPr>
        <w:t xml:space="preserve">– 5 pracovných miest a </w:t>
      </w:r>
      <w:r w:rsidR="00C544CF" w:rsidRPr="00C10E73">
        <w:rPr>
          <w:rFonts w:ascii="Times New Roman" w:hAnsi="Times New Roman" w:cs="Times New Roman"/>
          <w:sz w:val="24"/>
        </w:rPr>
        <w:t>3.2 Podpora investícií do lesníckych technológií a spracovania, do mobilizácie lesníckych výrobkov a ich uvádzania na trh</w:t>
      </w:r>
      <w:r w:rsidR="00C544CF" w:rsidRPr="00C10E73" w:rsidDel="00C10E73">
        <w:rPr>
          <w:rFonts w:ascii="Times New Roman" w:hAnsi="Times New Roman" w:cs="Times New Roman"/>
          <w:sz w:val="24"/>
        </w:rPr>
        <w:t xml:space="preserve"> </w:t>
      </w:r>
      <w:r w:rsidR="00C544CF">
        <w:rPr>
          <w:rFonts w:ascii="Times New Roman" w:hAnsi="Times New Roman" w:cs="Times New Roman"/>
          <w:sz w:val="24"/>
        </w:rPr>
        <w:t>(2 pracovné miesta), čo je spolu</w:t>
      </w:r>
      <w:r w:rsidRPr="00195BDA">
        <w:rPr>
          <w:rFonts w:ascii="Times New Roman" w:hAnsi="Times New Roman" w:cs="Times New Roman"/>
          <w:sz w:val="24"/>
        </w:rPr>
        <w:t xml:space="preserve"> </w:t>
      </w:r>
      <w:r w:rsidR="00C544CF">
        <w:rPr>
          <w:rFonts w:ascii="Times New Roman" w:hAnsi="Times New Roman" w:cs="Times New Roman"/>
          <w:sz w:val="24"/>
        </w:rPr>
        <w:t>7</w:t>
      </w:r>
      <w:r w:rsidR="00C544CF" w:rsidRPr="00195BDA">
        <w:rPr>
          <w:rFonts w:ascii="Times New Roman" w:hAnsi="Times New Roman" w:cs="Times New Roman"/>
          <w:sz w:val="24"/>
        </w:rPr>
        <w:t xml:space="preserve"> vytvorených </w:t>
      </w:r>
      <w:r w:rsidRPr="00195BDA">
        <w:rPr>
          <w:rFonts w:ascii="Times New Roman" w:hAnsi="Times New Roman" w:cs="Times New Roman"/>
          <w:sz w:val="24"/>
        </w:rPr>
        <w:t xml:space="preserve">pracovných miest. </w:t>
      </w:r>
      <w:r w:rsidR="00C544CF">
        <w:rPr>
          <w:rFonts w:ascii="Times New Roman" w:hAnsi="Times New Roman" w:cs="Times New Roman"/>
          <w:sz w:val="24"/>
        </w:rPr>
        <w:t xml:space="preserve">V rámci </w:t>
      </w:r>
      <w:r w:rsidRPr="00195BDA">
        <w:rPr>
          <w:rFonts w:ascii="Times New Roman" w:hAnsi="Times New Roman" w:cs="Times New Roman"/>
          <w:sz w:val="24"/>
        </w:rPr>
        <w:t xml:space="preserve">IROP </w:t>
      </w:r>
      <w:r w:rsidR="00C544CF">
        <w:rPr>
          <w:rFonts w:ascii="Times New Roman" w:hAnsi="Times New Roman" w:cs="Times New Roman"/>
          <w:sz w:val="24"/>
        </w:rPr>
        <w:t xml:space="preserve"> budú</w:t>
      </w:r>
      <w:r w:rsidRPr="00195BDA">
        <w:rPr>
          <w:rFonts w:ascii="Times New Roman" w:hAnsi="Times New Roman" w:cs="Times New Roman"/>
          <w:sz w:val="24"/>
        </w:rPr>
        <w:t xml:space="preserve"> počas implementácie stratégie generova</w:t>
      </w:r>
      <w:r w:rsidR="00C544CF">
        <w:rPr>
          <w:rFonts w:ascii="Times New Roman" w:hAnsi="Times New Roman" w:cs="Times New Roman"/>
          <w:sz w:val="24"/>
        </w:rPr>
        <w:t>né</w:t>
      </w:r>
      <w:r w:rsidRPr="00195BDA">
        <w:rPr>
          <w:rFonts w:ascii="Times New Roman" w:hAnsi="Times New Roman" w:cs="Times New Roman"/>
          <w:sz w:val="24"/>
        </w:rPr>
        <w:t xml:space="preserve"> </w:t>
      </w:r>
      <w:r w:rsidR="00C544CF">
        <w:rPr>
          <w:rFonts w:ascii="Times New Roman" w:hAnsi="Times New Roman" w:cs="Times New Roman"/>
          <w:sz w:val="24"/>
        </w:rPr>
        <w:t>po 3 pracovné miesta</w:t>
      </w:r>
      <w:r w:rsidR="00C544CF" w:rsidRPr="00195BDA" w:rsidDel="00C10E73">
        <w:rPr>
          <w:rFonts w:ascii="Times New Roman" w:hAnsi="Times New Roman" w:cs="Times New Roman"/>
          <w:sz w:val="24"/>
        </w:rPr>
        <w:t xml:space="preserve"> </w:t>
      </w:r>
      <w:r w:rsidR="00C544CF">
        <w:rPr>
          <w:rFonts w:ascii="Times New Roman" w:hAnsi="Times New Roman" w:cs="Times New Roman"/>
          <w:sz w:val="24"/>
        </w:rPr>
        <w:t xml:space="preserve">opatreniami </w:t>
      </w:r>
      <w:r w:rsidR="00C544CF" w:rsidRPr="00C10E73">
        <w:rPr>
          <w:rFonts w:ascii="Times New Roman" w:hAnsi="Times New Roman" w:cs="Times New Roman"/>
          <w:sz w:val="24"/>
        </w:rPr>
        <w:t>3.3 Vznik nových a rozširovanie existujúcich podnikov v oblasti remeselnej a priemyselnej výroby</w:t>
      </w:r>
      <w:r w:rsidR="00C544CF" w:rsidRPr="00C10E73" w:rsidDel="00C10E73">
        <w:rPr>
          <w:rFonts w:ascii="Times New Roman" w:hAnsi="Times New Roman" w:cs="Times New Roman"/>
          <w:sz w:val="24"/>
        </w:rPr>
        <w:t xml:space="preserve"> </w:t>
      </w:r>
      <w:r w:rsidR="00C544CF">
        <w:rPr>
          <w:rFonts w:ascii="Times New Roman" w:hAnsi="Times New Roman" w:cs="Times New Roman"/>
          <w:sz w:val="24"/>
        </w:rPr>
        <w:t xml:space="preserve">a </w:t>
      </w:r>
      <w:r w:rsidR="00C544CF">
        <w:rPr>
          <w:rFonts w:ascii="Times New Roman" w:hAnsi="Times New Roman" w:cs="Times New Roman"/>
        </w:rPr>
        <w:t>3.4</w:t>
      </w:r>
      <w:r w:rsidR="00C544CF">
        <w:rPr>
          <w:rFonts w:ascii="Times New Roman" w:hAnsi="Times New Roman" w:cs="Times New Roman"/>
          <w:b/>
        </w:rPr>
        <w:t xml:space="preserve"> </w:t>
      </w:r>
      <w:r w:rsidR="00C544CF">
        <w:rPr>
          <w:rFonts w:ascii="Times New Roman" w:hAnsi="Times New Roman" w:cs="Times New Roman"/>
        </w:rPr>
        <w:t>Kvalitné služby na vidieku,</w:t>
      </w:r>
      <w:r w:rsidR="00C544CF">
        <w:rPr>
          <w:rFonts w:ascii="Times New Roman" w:hAnsi="Times New Roman" w:cs="Times New Roman"/>
          <w:sz w:val="24"/>
        </w:rPr>
        <w:t xml:space="preserve"> čo je</w:t>
      </w:r>
      <w:r w:rsidR="00C544CF" w:rsidRPr="00195BDA" w:rsidDel="00C10E73">
        <w:rPr>
          <w:rFonts w:ascii="Times New Roman" w:hAnsi="Times New Roman" w:cs="Times New Roman"/>
          <w:sz w:val="24"/>
        </w:rPr>
        <w:t xml:space="preserve"> </w:t>
      </w:r>
      <w:r w:rsidR="00C544CF">
        <w:rPr>
          <w:rFonts w:ascii="Times New Roman" w:hAnsi="Times New Roman" w:cs="Times New Roman"/>
          <w:sz w:val="24"/>
        </w:rPr>
        <w:t xml:space="preserve"> za IROP6</w:t>
      </w:r>
      <w:r w:rsidR="00C544CF" w:rsidRPr="00195BDA">
        <w:rPr>
          <w:rFonts w:ascii="Times New Roman" w:hAnsi="Times New Roman" w:cs="Times New Roman"/>
          <w:sz w:val="24"/>
        </w:rPr>
        <w:t xml:space="preserve"> </w:t>
      </w:r>
      <w:r w:rsidRPr="00195BDA">
        <w:rPr>
          <w:rFonts w:ascii="Times New Roman" w:hAnsi="Times New Roman" w:cs="Times New Roman"/>
          <w:sz w:val="24"/>
        </w:rPr>
        <w:t>pracovných pozícií</w:t>
      </w:r>
      <w:r w:rsidR="00C544CF">
        <w:rPr>
          <w:rFonts w:ascii="Times New Roman" w:hAnsi="Times New Roman" w:cs="Times New Roman"/>
          <w:sz w:val="24"/>
        </w:rPr>
        <w:t xml:space="preserve"> a </w:t>
      </w:r>
      <w:r w:rsidRPr="00195BDA">
        <w:rPr>
          <w:rFonts w:ascii="Times New Roman" w:hAnsi="Times New Roman" w:cs="Times New Roman"/>
          <w:sz w:val="24"/>
        </w:rPr>
        <w:t xml:space="preserve">spolu </w:t>
      </w:r>
      <w:r w:rsidR="00C544CF">
        <w:rPr>
          <w:rFonts w:ascii="Times New Roman" w:hAnsi="Times New Roman" w:cs="Times New Roman"/>
          <w:sz w:val="24"/>
        </w:rPr>
        <w:t>za celú stratégiu 13</w:t>
      </w:r>
      <w:r w:rsidRPr="00195BDA">
        <w:rPr>
          <w:rFonts w:ascii="Times New Roman" w:hAnsi="Times New Roman" w:cs="Times New Roman"/>
          <w:sz w:val="24"/>
        </w:rPr>
        <w:t xml:space="preserve">. </w:t>
      </w:r>
    </w:p>
    <w:p w14:paraId="016C9CFF" w14:textId="77777777" w:rsidR="00195BDA" w:rsidRPr="00195BDA" w:rsidRDefault="00195BDA" w:rsidP="00195BDA">
      <w:pPr>
        <w:pStyle w:val="Odsekzoznamu"/>
        <w:spacing w:line="360" w:lineRule="auto"/>
        <w:ind w:left="0"/>
        <w:jc w:val="both"/>
        <w:rPr>
          <w:rFonts w:ascii="Times New Roman" w:hAnsi="Times New Roman" w:cs="Times New Roman"/>
          <w:sz w:val="24"/>
        </w:rPr>
      </w:pPr>
      <w:r>
        <w:rPr>
          <w:rFonts w:ascii="Times New Roman" w:hAnsi="Times New Roman" w:cs="Times New Roman"/>
          <w:sz w:val="24"/>
        </w:rPr>
        <w:tab/>
      </w:r>
      <w:r w:rsidRPr="00195BDA">
        <w:rPr>
          <w:rFonts w:ascii="Times New Roman" w:hAnsi="Times New Roman" w:cs="Times New Roman"/>
          <w:sz w:val="24"/>
        </w:rPr>
        <w:t xml:space="preserve">Jednotlivé opatrenia v nadväznosti na </w:t>
      </w:r>
      <w:r w:rsidRPr="00195BDA">
        <w:rPr>
          <w:rFonts w:ascii="Times New Roman" w:hAnsi="Times New Roman" w:cs="Times New Roman"/>
          <w:sz w:val="24"/>
          <w:szCs w:val="24"/>
        </w:rPr>
        <w:t>SWOT analýzu a identifikáciu potrieb reflektujú</w:t>
      </w:r>
      <w:r w:rsidRPr="00195BDA">
        <w:rPr>
          <w:rFonts w:ascii="Times New Roman" w:hAnsi="Times New Roman" w:cs="Times New Roman"/>
          <w:sz w:val="24"/>
        </w:rPr>
        <w:t xml:space="preserve"> miestne špecifiká a konkurenčné výhody. Napr. využitie hustej siete miestnych komunikácií medzi jednotlivými osadami ako aj</w:t>
      </w:r>
      <w:r w:rsidRPr="006049BA">
        <w:t xml:space="preserve"> </w:t>
      </w:r>
      <w:r w:rsidRPr="00195BDA">
        <w:rPr>
          <w:rFonts w:ascii="Times New Roman" w:hAnsi="Times New Roman" w:cs="Times New Roman"/>
          <w:sz w:val="24"/>
        </w:rPr>
        <w:t xml:space="preserve">prepojenosť ciest v lesoch Bielych a Malých Karpát je dobré využiť na budovanie cyklotrás a občianskej a poznávacej infraštruktúry ako sú náučné či turistické chodníky apod.. Blízkosť hraníc s Českou republikou je i bude využívaná pri spoločných cezhraničných projektov spolupráce so zameraním na cestovný ruch. Väčšie plochy lesov oproti susedným regiónom bude vhodné využiť na získavanie a spracovania lesných produktov a dendrohmoty vznikajúcej pri ťažbe dreva. Tradícia ovocinárstva i dobré podmienky pre jeho rozvoj budú pretavené do vytvárania nových produktov u pestovateľov ovocia ako sú lekváry, ovocné vína, sušené ovocie. Dostatok subjektov podnikajúcich v spracovaní poľnohospodárskych výrobkov a potravinárstve ako aj ich dobré skúsenosti v implementácií projektov podporených z eurofondov dávajú dobrú perspektívu pre spoluprácu </w:t>
      </w:r>
      <w:r w:rsidRPr="00195BDA">
        <w:rPr>
          <w:rFonts w:ascii="Times New Roman" w:hAnsi="Times New Roman" w:cs="Times New Roman"/>
          <w:sz w:val="24"/>
        </w:rPr>
        <w:lastRenderedPageBreak/>
        <w:t xml:space="preserve">medzi malými hospodárskymi subjektmi pri organizácii spoločných pracovných procesov a spoločnom využívaní zariadení a zdrojov a ich uvádzania na trh a pri rozvoji služieb v oblasti cestovného ruchu. Existencia dobre fungujúceho občianskeho združenia Osveta myjavských Rómov dáva dobrý predpoklad </w:t>
      </w:r>
      <w:r w:rsidRPr="00195BDA">
        <w:rPr>
          <w:rFonts w:ascii="Times New Roman" w:hAnsi="Times New Roman" w:cs="Times New Roman"/>
          <w:sz w:val="24"/>
          <w:szCs w:val="24"/>
        </w:rPr>
        <w:t xml:space="preserve">pri mobilizácií Rómskeho etnika na spoluprácu na takýchto projektoch. Takisto pri realizácii projektov v oblasti </w:t>
      </w:r>
      <w:r w:rsidRPr="00195BDA">
        <w:rPr>
          <w:rFonts w:ascii="Times New Roman" w:hAnsi="Times New Roman" w:cs="Times New Roman"/>
          <w:sz w:val="24"/>
        </w:rPr>
        <w:t>poľnohospodárstva a lesného hospodárstva ale aj potravinárstva sa vzhľadom na relatívne nízku nezamestnanosť vytvára priestor na vytvorenie pracovných miest hlavne pre zástupcov znevýhodnených skupín obyvateľstva, čo by malo ešte viac nakopnúť rozvoj ekonomického potenciálu územia.</w:t>
      </w:r>
    </w:p>
    <w:p w14:paraId="3ECFA147" w14:textId="77777777" w:rsidR="00195BDA" w:rsidRPr="00195BDA" w:rsidRDefault="00195BDA" w:rsidP="00195BDA">
      <w:pPr>
        <w:pStyle w:val="Odsekzoznamu"/>
        <w:spacing w:line="360" w:lineRule="auto"/>
        <w:ind w:left="0"/>
        <w:jc w:val="both"/>
        <w:rPr>
          <w:rFonts w:ascii="Times New Roman" w:hAnsi="Times New Roman" w:cs="Times New Roman"/>
          <w:sz w:val="24"/>
        </w:rPr>
      </w:pPr>
      <w:r>
        <w:rPr>
          <w:rFonts w:ascii="Times New Roman" w:hAnsi="Times New Roman" w:cs="Times New Roman"/>
          <w:sz w:val="24"/>
        </w:rPr>
        <w:tab/>
      </w:r>
      <w:r w:rsidRPr="00195BDA">
        <w:rPr>
          <w:rFonts w:ascii="Times New Roman" w:hAnsi="Times New Roman" w:cs="Times New Roman"/>
          <w:sz w:val="24"/>
        </w:rPr>
        <w:t>Dôležitým motorom rozvoja vidieckych oblastí bude zlepšená infraštruktúra miestneho vidieckeho cestovného ruchu a agroturistiky</w:t>
      </w:r>
      <w:r w:rsidRPr="006049BA">
        <w:t xml:space="preserve"> </w:t>
      </w:r>
      <w:r w:rsidRPr="00195BDA">
        <w:rPr>
          <w:rFonts w:ascii="Times New Roman" w:hAnsi="Times New Roman" w:cs="Times New Roman"/>
          <w:sz w:val="24"/>
        </w:rPr>
        <w:t>zameraná na vytváranie podmienok pre rekreačné a relaxačné činnosti, vrátane vytvárania podmienok na poskytovanie vzdelávania a vytvorenie konferenčných priestorov. Cieľom stratégie je zabezpečiť efektívny a udržateľný rast regiónu vzhľadom na jeho potenciál vo vidieckom cestovnom ruchu podporou investícií do budovania infraštruktúry cestovného ruchu v lesných ekosystémoch.</w:t>
      </w:r>
    </w:p>
    <w:p w14:paraId="3E6AF4F0" w14:textId="77777777" w:rsidR="00195BDA" w:rsidRPr="00195BDA" w:rsidRDefault="00195BDA" w:rsidP="00195BD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95BDA">
        <w:rPr>
          <w:rFonts w:ascii="Times New Roman" w:hAnsi="Times New Roman" w:cs="Times New Roman"/>
          <w:sz w:val="24"/>
          <w:szCs w:val="24"/>
        </w:rPr>
        <w:t>Veľký podiel na využití ekonomického dopytu bude mať produkcia populácie v staršom veku – strieborná ekonomika. Starnúce obyvateľstvo kopaničiarskeho regiónu s jedným z najhorších hodnôt indexu starnutia na Slovensku vytvára početnú skupinu obyvateľstva, ktorá v podmienkach uplatňovania princípu aktívneho starnutia vytvára novú rastúcu skupinu spotrebiteľov so špecifickými požiadavkami. Napr. objekty agroturistiky budú využívať vo veľkej miere práve ľudia vo veku 50 – 70 rokov. Ďalej objekty sociálnych služieb iba ľudia vo veku nad 75 rokov a objekty komunitných služieb vo veľkej miere ľudia vo veku 50 – 70 rokov.</w:t>
      </w:r>
    </w:p>
    <w:p w14:paraId="28437FD1" w14:textId="77777777" w:rsidR="00195BDA" w:rsidRPr="00195BDA" w:rsidRDefault="00195BDA" w:rsidP="00195BD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95BDA">
        <w:rPr>
          <w:rFonts w:ascii="Times New Roman" w:hAnsi="Times New Roman" w:cs="Times New Roman"/>
          <w:sz w:val="24"/>
          <w:szCs w:val="24"/>
        </w:rPr>
        <w:t xml:space="preserve">Bude podporovaný predaj domácej produkcie cez odbytové organizácie výrobcov a rozvoj krátkych dodávateľských reťazcov. Podpora spolupráce malých hospodárskych subjektov či podporou krátkych dodávateľských reťazcov a miestnych trhov bude mať pozitívny vplyv na zvýšenie zamestnanosti na vidieku. Uplatnením krátkych dodávateľských reťazcov je možné redukovať náklady na obchod a distribúciu a významne podporiť príjmy prvovýrobcov, čím sa zároveň zvýši ich životaschopnosť. Inovatívne postupy pri spracovaní a marketingu produktov taktiež prispejú k vyššej ekonomickej výkonnosti malých podnikov. Inkorporácia inovatívnych prvkov príp. technológií najmä v oblasti ochrany životného prostredia a inkorporácia inovatívnych zariadení na efektívne využívanie prírodných zdrojov na zachytávanie dažďovej vody a jej následné využitie na pranie, splachovanie WC, umývanie či polievanie rastlín bude pri jednotlivých podnikateľských projektových zámeroch </w:t>
      </w:r>
      <w:r w:rsidRPr="00195BDA">
        <w:rPr>
          <w:rFonts w:ascii="Times New Roman" w:hAnsi="Times New Roman" w:cs="Times New Roman"/>
          <w:sz w:val="24"/>
          <w:szCs w:val="24"/>
        </w:rPr>
        <w:lastRenderedPageBreak/>
        <w:t>zvýhodňované. Takisto pri verejných investíciách bude rozhodujúcim kritériom, či projekt súvisí aj s ekonomickým rozvojom alebo kombinuje viacero akcií vytvárajúcich konkrétne podmienky pre ekonomický rozvoj vidieckych obcí (napr., že podporené investície budú mať pozitívny vplyv na zamestnanosť, rozvoj podnikania a pod.), samozrejme za predpokladu súladu ekonomického rozvoja s ochranou životného prostredia a racionálneho využitia prírodných zdrojov.</w:t>
      </w:r>
    </w:p>
    <w:p w14:paraId="408B4C98" w14:textId="77777777" w:rsidR="00195BDA" w:rsidRPr="00195BDA" w:rsidRDefault="00195BDA" w:rsidP="00195BDA">
      <w:pPr>
        <w:pStyle w:val="Odsekzoznamu"/>
        <w:ind w:left="567"/>
      </w:pPr>
    </w:p>
    <w:p w14:paraId="3B062AA0" w14:textId="77777777" w:rsidR="00053F33" w:rsidRPr="00891B13" w:rsidRDefault="002E3388" w:rsidP="003301D6">
      <w:pPr>
        <w:pStyle w:val="Nadpis2"/>
        <w:numPr>
          <w:ilvl w:val="1"/>
          <w:numId w:val="26"/>
        </w:numPr>
        <w:ind w:left="709"/>
      </w:pPr>
      <w:bookmarkStart w:id="2356" w:name="_Toc485645896"/>
      <w:r w:rsidRPr="00891B13">
        <w:t>P</w:t>
      </w:r>
      <w:r w:rsidR="00053F33" w:rsidRPr="00891B13">
        <w:t>rínos</w:t>
      </w:r>
      <w:r w:rsidRPr="00891B13">
        <w:t>y</w:t>
      </w:r>
      <w:r w:rsidR="00053F33" w:rsidRPr="00891B13">
        <w:t xml:space="preserve"> k napĺňaniu cieľov PRV</w:t>
      </w:r>
      <w:bookmarkEnd w:id="2356"/>
    </w:p>
    <w:p w14:paraId="769E19EF" w14:textId="77777777" w:rsidR="008E71B7" w:rsidRDefault="008E71B7" w:rsidP="00E37887">
      <w:pPr>
        <w:spacing w:after="0" w:line="360" w:lineRule="auto"/>
        <w:ind w:firstLine="360"/>
        <w:jc w:val="both"/>
        <w:rPr>
          <w:rFonts w:ascii="Times New Roman" w:hAnsi="Times New Roman" w:cs="Times New Roman"/>
          <w:sz w:val="24"/>
          <w:szCs w:val="24"/>
        </w:rPr>
      </w:pPr>
    </w:p>
    <w:p w14:paraId="2A55CF8D" w14:textId="77777777" w:rsidR="00195BDA" w:rsidRDefault="00195BDA" w:rsidP="00195BDA">
      <w:pPr>
        <w:spacing w:after="0" w:line="360" w:lineRule="auto"/>
        <w:jc w:val="both"/>
        <w:rPr>
          <w:rFonts w:ascii="Times New Roman" w:hAnsi="Times New Roman" w:cs="Times New Roman"/>
          <w:sz w:val="24"/>
          <w:szCs w:val="24"/>
        </w:rPr>
      </w:pPr>
      <w:r>
        <w:rPr>
          <w:rFonts w:ascii="Times New Roman" w:hAnsi="Times New Roman" w:cs="Times New Roman"/>
          <w:sz w:val="24"/>
        </w:rPr>
        <w:tab/>
        <w:t xml:space="preserve">Pre napĺňanie najdôležitejšieho strategického cieľa PRV </w:t>
      </w:r>
      <w:r w:rsidRPr="00ED2760">
        <w:rPr>
          <w:rFonts w:ascii="Times New Roman" w:hAnsi="Times New Roman" w:cs="Times New Roman"/>
          <w:sz w:val="24"/>
          <w:szCs w:val="24"/>
        </w:rPr>
        <w:t xml:space="preserve">posilnenie </w:t>
      </w:r>
      <w:r w:rsidRPr="008E71B7">
        <w:rPr>
          <w:rFonts w:ascii="Times New Roman" w:hAnsi="Times New Roman" w:cs="Times New Roman"/>
          <w:sz w:val="24"/>
          <w:szCs w:val="24"/>
        </w:rPr>
        <w:t>konkurencieschopnosti poľnohospodárstva, lesníctva a potravinárstva</w:t>
      </w:r>
      <w:r>
        <w:rPr>
          <w:rFonts w:ascii="Times New Roman" w:hAnsi="Times New Roman" w:cs="Times New Roman"/>
          <w:sz w:val="24"/>
          <w:szCs w:val="24"/>
        </w:rPr>
        <w:t xml:space="preserve"> bolo v rámci stratégia vytvorených niekoľko opatrení. Ide o nasledovné opatrenia:</w:t>
      </w:r>
    </w:p>
    <w:p w14:paraId="39081317" w14:textId="77777777" w:rsidR="00195BDA" w:rsidRPr="00195BDA" w:rsidRDefault="00195BDA" w:rsidP="003301D6">
      <w:pPr>
        <w:pStyle w:val="Odsekzoznamu"/>
        <w:numPr>
          <w:ilvl w:val="0"/>
          <w:numId w:val="32"/>
        </w:numPr>
        <w:spacing w:line="360" w:lineRule="auto"/>
        <w:ind w:left="567"/>
        <w:jc w:val="both"/>
        <w:rPr>
          <w:rFonts w:ascii="Times New Roman" w:hAnsi="Times New Roman" w:cs="Times New Roman"/>
          <w:sz w:val="24"/>
        </w:rPr>
      </w:pPr>
      <w:r>
        <w:rPr>
          <w:rFonts w:ascii="Times New Roman" w:hAnsi="Times New Roman" w:cs="Times New Roman"/>
          <w:sz w:val="24"/>
        </w:rPr>
        <w:t xml:space="preserve">3.2 </w:t>
      </w:r>
      <w:r w:rsidRPr="00195BDA">
        <w:rPr>
          <w:rFonts w:ascii="Times New Roman" w:hAnsi="Times New Roman" w:cs="Times New Roman"/>
          <w:sz w:val="24"/>
        </w:rPr>
        <w:t xml:space="preserve">Podpora investícií do lesníckych technológií a spracovania, do mobilizácie lesníckych výrobkov a ich uvádzania na trh. Toto opatrenie prispieva k fokusovej oblasti </w:t>
      </w:r>
      <w:r w:rsidRPr="00195BDA">
        <w:rPr>
          <w:rFonts w:ascii="Times New Roman" w:hAnsi="Times New Roman" w:cs="Times New Roman"/>
          <w:sz w:val="24"/>
          <w:szCs w:val="24"/>
        </w:rPr>
        <w:t>2C Zlepšenie hospodárskeho výkonu lesného hospodárstva. Napĺňané bude prostredníctvom aktivity spracovanie lesných produktov, ktoré takýmto spôsobom získavajú pridanú hodnotu a tiež ich uvádzanie na trh</w:t>
      </w:r>
      <w:r w:rsidR="00B269E5">
        <w:rPr>
          <w:rFonts w:ascii="Times New Roman" w:hAnsi="Times New Roman" w:cs="Times New Roman"/>
          <w:sz w:val="24"/>
          <w:szCs w:val="24"/>
        </w:rPr>
        <w:t>,</w:t>
      </w:r>
    </w:p>
    <w:p w14:paraId="05D11C0C" w14:textId="77777777" w:rsidR="00195BDA" w:rsidRPr="00195BDA" w:rsidRDefault="00B269E5" w:rsidP="003301D6">
      <w:pPr>
        <w:pStyle w:val="Odsekzoznamu"/>
        <w:numPr>
          <w:ilvl w:val="0"/>
          <w:numId w:val="32"/>
        </w:numPr>
        <w:spacing w:after="0" w:line="360" w:lineRule="auto"/>
        <w:ind w:left="567"/>
        <w:jc w:val="both"/>
        <w:rPr>
          <w:rFonts w:ascii="Times New Roman" w:hAnsi="Times New Roman" w:cs="Times New Roman"/>
          <w:sz w:val="24"/>
        </w:rPr>
      </w:pPr>
      <w:r>
        <w:rPr>
          <w:rFonts w:ascii="Times New Roman" w:hAnsi="Times New Roman" w:cs="Times New Roman"/>
          <w:sz w:val="24"/>
        </w:rPr>
        <w:t xml:space="preserve">3.5 </w:t>
      </w:r>
      <w:r w:rsidR="00195BDA" w:rsidRPr="00195BDA">
        <w:rPr>
          <w:rFonts w:ascii="Times New Roman" w:hAnsi="Times New Roman" w:cs="Times New Roman"/>
          <w:sz w:val="24"/>
        </w:rPr>
        <w:t xml:space="preserve">Spolupráca medzi malými hospodárskymi subjektmi (mikropodnikmi) v odvetví poľnohospodárstva, potravinovom reťazci, sektore lesného hospodárstva a v sektore cestovného ruchu pri organizácii spoločných pracovných procesov, spoločnom využívaní zariadení a zdrojov a pri rozvoji služieb a marketingu v oblasti cestovného ruchu. Cieľom je prostredníctvom spolupráce zvýšiť efektivitu vykonávaných činností. Toto opatrenie prispieva k fokusovým oblastiam 1A Podpora inovácie, spolupráce a rozvoja vedomostnej základne vo vidieckych oblastiach; 1B Posilnenie prepojenia poľnohospodárstva, výroby potravín a lesného hospodárstva s výskumom a inováciou, a to aj na účely zlepšenia environmentálneho riadenia a výkonu; 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 5C Uľahčenie dodávok a využívania obnoviteľných zdrojov energie, vedľajších produktov, odpadov, zvyškov a iných nepotravinových surovín na účely </w:t>
      </w:r>
      <w:r w:rsidR="00195BDA" w:rsidRPr="00195BDA">
        <w:rPr>
          <w:rFonts w:ascii="Times New Roman" w:hAnsi="Times New Roman" w:cs="Times New Roman"/>
          <w:sz w:val="24"/>
        </w:rPr>
        <w:lastRenderedPageBreak/>
        <w:t>bioekonomiky; 6A Uľahčenie diverzifikácie, zakladania a rozvoja malých podnikov ako aj vytvárania pracovných miest</w:t>
      </w:r>
      <w:r>
        <w:rPr>
          <w:rFonts w:ascii="Times New Roman" w:hAnsi="Times New Roman" w:cs="Times New Roman"/>
          <w:sz w:val="24"/>
        </w:rPr>
        <w:t>.</w:t>
      </w:r>
    </w:p>
    <w:p w14:paraId="422D9ECC" w14:textId="77777777" w:rsidR="00C544CF" w:rsidRDefault="00B269E5" w:rsidP="00C544CF">
      <w:pPr>
        <w:spacing w:after="0" w:line="360" w:lineRule="auto"/>
        <w:jc w:val="both"/>
        <w:rPr>
          <w:rFonts w:ascii="Times New Roman" w:hAnsi="Times New Roman" w:cs="Times New Roman"/>
          <w:sz w:val="24"/>
        </w:rPr>
      </w:pPr>
      <w:r>
        <w:rPr>
          <w:rFonts w:ascii="Times New Roman" w:hAnsi="Times New Roman" w:cs="Times New Roman"/>
          <w:sz w:val="24"/>
        </w:rPr>
        <w:tab/>
      </w:r>
      <w:r w:rsidR="00195BDA">
        <w:rPr>
          <w:rFonts w:ascii="Times New Roman" w:hAnsi="Times New Roman" w:cs="Times New Roman"/>
          <w:sz w:val="24"/>
        </w:rPr>
        <w:t xml:space="preserve">K cieľu PRV </w:t>
      </w:r>
      <w:r w:rsidR="00195BDA" w:rsidRPr="004C1629">
        <w:rPr>
          <w:rFonts w:ascii="Times New Roman" w:hAnsi="Times New Roman" w:cs="Times New Roman"/>
          <w:sz w:val="24"/>
        </w:rPr>
        <w:t>Vyvážený územný rozvoj vidieckych hospodárstiev a komunít vrátane vytvárania a udržiavania pracovných miest</w:t>
      </w:r>
      <w:r w:rsidR="00195BDA">
        <w:rPr>
          <w:rFonts w:ascii="Times New Roman" w:hAnsi="Times New Roman" w:cs="Times New Roman"/>
          <w:sz w:val="24"/>
        </w:rPr>
        <w:t xml:space="preserve"> </w:t>
      </w:r>
      <w:r>
        <w:rPr>
          <w:rFonts w:ascii="Times New Roman" w:hAnsi="Times New Roman" w:cs="Times New Roman"/>
          <w:sz w:val="24"/>
        </w:rPr>
        <w:t>prispieva</w:t>
      </w:r>
      <w:r w:rsidR="00195BDA">
        <w:rPr>
          <w:rFonts w:ascii="Times New Roman" w:hAnsi="Times New Roman" w:cs="Times New Roman"/>
          <w:sz w:val="24"/>
        </w:rPr>
        <w:t xml:space="preserve"> stratégia existenciou opatrenia </w:t>
      </w:r>
      <w:r w:rsidR="00195BDA" w:rsidRPr="004C1629">
        <w:rPr>
          <w:rFonts w:ascii="Times New Roman" w:hAnsi="Times New Roman" w:cs="Times New Roman"/>
          <w:sz w:val="24"/>
        </w:rPr>
        <w:t>2.3 Podpora na investície do rozvoja vidieckeho cestovného ruchu a</w:t>
      </w:r>
      <w:r w:rsidR="00195BDA">
        <w:rPr>
          <w:rFonts w:ascii="Times New Roman" w:hAnsi="Times New Roman" w:cs="Times New Roman"/>
          <w:sz w:val="24"/>
        </w:rPr>
        <w:t> </w:t>
      </w:r>
      <w:r w:rsidR="00195BDA" w:rsidRPr="004C1629">
        <w:rPr>
          <w:rFonts w:ascii="Times New Roman" w:hAnsi="Times New Roman" w:cs="Times New Roman"/>
          <w:sz w:val="24"/>
        </w:rPr>
        <w:t>agroturistiky</w:t>
      </w:r>
      <w:r w:rsidR="00195BDA">
        <w:rPr>
          <w:rFonts w:ascii="Times New Roman" w:hAnsi="Times New Roman" w:cs="Times New Roman"/>
          <w:sz w:val="24"/>
        </w:rPr>
        <w:t xml:space="preserve">, kde sú zaradené </w:t>
      </w:r>
      <w:r w:rsidR="00195BDA" w:rsidRPr="009D1E7F">
        <w:rPr>
          <w:rFonts w:ascii="Times New Roman" w:hAnsi="Times New Roman" w:cs="Times New Roman"/>
          <w:sz w:val="24"/>
        </w:rPr>
        <w:t>činnosti spojené s vidieckym cestovným ruchom a agroturistikou zamerané na vytváranie podmienok pre rekreačné a relaxačné činnosti, vrátane vytvárania podmienok na poskytovanie vzdelávania a vytvorenie konferenčných priestorov</w:t>
      </w:r>
      <w:r w:rsidR="00195BDA">
        <w:rPr>
          <w:rFonts w:ascii="Times New Roman" w:hAnsi="Times New Roman" w:cs="Times New Roman"/>
          <w:sz w:val="24"/>
        </w:rPr>
        <w:t xml:space="preserve"> a </w:t>
      </w:r>
      <w:r w:rsidR="00195BDA" w:rsidRPr="009D1E7F">
        <w:rPr>
          <w:rFonts w:ascii="Times New Roman" w:hAnsi="Times New Roman" w:cs="Times New Roman"/>
          <w:sz w:val="24"/>
        </w:rPr>
        <w:t>činnosti spojené s poskytovaním služieb pre cieľovú skupinu: deti, seniori a občania so zníženou schopnosťou pohybu. V rámci danej oblasti je možné sa zamerať aj na terapie (hipoterapia, animoterapia), lesnú pedagogiku a pod., ktoré prispievajú k rekonvalescencii, lepšiemu začleneniu do spoločenského života, zvýšeniu motoriky cieľovej skupiny</w:t>
      </w:r>
      <w:r w:rsidR="00195BDA">
        <w:rPr>
          <w:rFonts w:ascii="Times New Roman" w:hAnsi="Times New Roman" w:cs="Times New Roman"/>
          <w:sz w:val="24"/>
        </w:rPr>
        <w:t xml:space="preserve">. Opatrenie prispieva k fokusovej oblasti </w:t>
      </w:r>
      <w:r w:rsidR="00195BDA" w:rsidRPr="009D1E7F">
        <w:rPr>
          <w:rFonts w:ascii="Times New Roman" w:hAnsi="Times New Roman" w:cs="Times New Roman"/>
          <w:sz w:val="24"/>
        </w:rPr>
        <w:t>6A Uľahčenie diverzifikácie, zakladania a rozvoja malých podnikov ako aj vytvárania pracovných miest</w:t>
      </w:r>
      <w:r w:rsidR="00195BDA">
        <w:rPr>
          <w:rFonts w:ascii="Times New Roman" w:hAnsi="Times New Roman" w:cs="Times New Roman"/>
          <w:sz w:val="24"/>
        </w:rPr>
        <w:t xml:space="preserve">. </w:t>
      </w:r>
    </w:p>
    <w:p w14:paraId="6B31D8EA" w14:textId="77777777" w:rsidR="00C544CF" w:rsidRDefault="00C544CF" w:rsidP="00C544CF">
      <w:pPr>
        <w:spacing w:after="0" w:line="360" w:lineRule="auto"/>
        <w:ind w:firstLine="360"/>
        <w:jc w:val="both"/>
        <w:rPr>
          <w:rFonts w:ascii="Times New Roman" w:hAnsi="Times New Roman" w:cs="Times New Roman"/>
          <w:sz w:val="24"/>
        </w:rPr>
      </w:pPr>
      <w:r>
        <w:rPr>
          <w:rFonts w:ascii="Times New Roman" w:hAnsi="Times New Roman" w:cs="Times New Roman"/>
          <w:sz w:val="24"/>
        </w:rPr>
        <w:t>V prípade schválenia dotačnej alokácie budú napĺňať najdôležitejší strategický cieľ</w:t>
      </w:r>
      <w:r w:rsidRPr="003F44EC">
        <w:rPr>
          <w:rFonts w:ascii="Times New Roman" w:hAnsi="Times New Roman" w:cs="Times New Roman"/>
          <w:sz w:val="24"/>
        </w:rPr>
        <w:t xml:space="preserve"> PRV posilnenie konkurencieschopnosti poľnohospodárstva, lesníctva a potravinárstva </w:t>
      </w:r>
      <w:r>
        <w:rPr>
          <w:rFonts w:ascii="Times New Roman" w:hAnsi="Times New Roman" w:cs="Times New Roman"/>
          <w:sz w:val="24"/>
        </w:rPr>
        <w:t>aj nasledovné opatrenia:</w:t>
      </w:r>
    </w:p>
    <w:p w14:paraId="725B7CEB" w14:textId="77777777" w:rsidR="00C544CF" w:rsidRDefault="00C544CF" w:rsidP="00C544CF">
      <w:pPr>
        <w:pStyle w:val="Odsekzoznamu"/>
        <w:numPr>
          <w:ilvl w:val="0"/>
          <w:numId w:val="1"/>
        </w:numPr>
        <w:spacing w:after="0" w:line="360" w:lineRule="auto"/>
        <w:jc w:val="both"/>
        <w:rPr>
          <w:rFonts w:ascii="Times New Roman" w:hAnsi="Times New Roman" w:cs="Times New Roman"/>
          <w:sz w:val="24"/>
        </w:rPr>
      </w:pPr>
      <w:r w:rsidRPr="003F44EC">
        <w:rPr>
          <w:rFonts w:ascii="Times New Roman" w:hAnsi="Times New Roman" w:cs="Times New Roman"/>
          <w:sz w:val="24"/>
        </w:rPr>
        <w:t>2.2 Podpora na investície do zlepšenia environmentálnej hodnoty lesných ekosystémov, ktoré prispieva k fokusovej oblasti 4A Obnova, zachovanie a zvýšenie biologickej diverzity vrátane na územiach sústavy Natura 2000 a v oblastiach s prírodnými alebo inými špecifickými obmedzeniami a v poľnohospodárskej činnosti s vysokou prírodnou hodnotou a obnova, zachovanie, ako aj zlepšenie stavu krajinných oblastí Európy. Podporovaná bude aktivita budovanie a obnova občianskej a poznávacej infraštruktúry v lesných ekosystémoch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14:paraId="3AD44393" w14:textId="77777777" w:rsidR="00C544CF" w:rsidRPr="003F44EC" w:rsidRDefault="00C544CF" w:rsidP="00C544CF">
      <w:pPr>
        <w:pStyle w:val="Odsekzoznamu"/>
        <w:numPr>
          <w:ilvl w:val="0"/>
          <w:numId w:val="1"/>
        </w:numPr>
        <w:spacing w:after="0" w:line="360" w:lineRule="auto"/>
        <w:jc w:val="both"/>
        <w:rPr>
          <w:rFonts w:ascii="Times New Roman" w:hAnsi="Times New Roman" w:cs="Times New Roman"/>
          <w:sz w:val="24"/>
        </w:rPr>
      </w:pPr>
      <w:r w:rsidRPr="003F44EC">
        <w:rPr>
          <w:rFonts w:ascii="Times New Roman" w:hAnsi="Times New Roman" w:cs="Times New Roman"/>
          <w:sz w:val="24"/>
        </w:rPr>
        <w:t xml:space="preserve">3.1 Podpora pre investície na spracovanie a uvádzanie na trh a (alebo) vývoj poľnohospodárskych výrobkov - prispieva k fokusovej oblasti 3A zvýšenie konkurencieschopnosti prvovýrobcov prostredníctvom ich lepšej integrácie do poľnohospodársko-potravinového reťazca pomocou systémov kvality, pridávania hodnoty poľnohospodárskym produktom, propagácie na miestnych trhoch a v </w:t>
      </w:r>
      <w:r w:rsidRPr="003F44EC">
        <w:rPr>
          <w:rFonts w:ascii="Times New Roman" w:hAnsi="Times New Roman" w:cs="Times New Roman"/>
          <w:sz w:val="24"/>
        </w:rPr>
        <w:lastRenderedPageBreak/>
        <w:t>krátkych dodávateľských reťazcoch, skupín a organizácií výrobcov a medziodvetvových organizácií. Takisto prispieva sekundárne k fokusovej oblasti 6A Uľahčenie diverzifikácie, zakladania a rozvoja malých podnikov ako aj vytvárania pracovných miest. Pre podnikateľov budú pripravené prostriedky na výstavbu, rekonštrukciu a modernizáciu objektov súvisiacich so spracovaním, skladovaním, uvádzaním na trh a/alebo vývojom poľnohospodárskych a potravinárskych výrobkov, vrátane kancelárií (sklady obalových materiálov, čistiacich a dezinfekčných prostriedkov a pomôcok). Ďalej na obstaranie, rekonštrukciu a modernizáciu zariadení, strojov, prístrojov a technológií, spracovateľských a výrobných kapacít, vrátane laboratórneho vybavenia a detektorov kovov v rámci procesu spracovania, skladovania, uvádzania na trh produktov a /alebo vývoja poľnohospodárskych a potravinárskych výrobkov, vrátane produktov s chráneným označením pôvodu, chráneným zemepisným označením a zaručených tradičných špecialít. Budú zavedené technológie a postupy s cieľom vytvoriť nové alebo kvalitnejšie výrobky a otvorenie nových trhov, najmä v súvislosti s krátkym dodávateľským reťazcom vrátane podpory uvádzania výrobkov na trh alebo vypracovania programov správnej výrobnej praxe. Pri opatrení 3.1 Podpora pre investície na spracovanie/uvádzanie na trh a/alebo vývoj poľnohospodárskych výrobkov budú uprednostňované projekty prispievajúce k hlavným cieľom PRV v rámci opatrenia 4.2 na základe analýzy potrieb – zvýšenie podielu domácej produkcie s vyššou pridanou hodnotou (napr. vyššia kvalita výrobkov, regionálne a miestne špeciality), zlepšenie spracovania (modernizácia strojov a zariadení, nové technológie, zlepšenie spracovania miestnych surovín) a zlepšenie kvality (napr. zvyšovanie biologickej hodnoty výrobkov v súlade s trendmi zdravej výživy).</w:t>
      </w:r>
    </w:p>
    <w:p w14:paraId="7C313025" w14:textId="77777777" w:rsidR="00195BDA" w:rsidRDefault="00195BDA" w:rsidP="00B269E5">
      <w:pPr>
        <w:spacing w:after="0" w:line="360" w:lineRule="auto"/>
        <w:jc w:val="both"/>
        <w:rPr>
          <w:rFonts w:ascii="Times New Roman" w:hAnsi="Times New Roman" w:cs="Times New Roman"/>
          <w:sz w:val="24"/>
        </w:rPr>
      </w:pPr>
    </w:p>
    <w:p w14:paraId="0611022B" w14:textId="77777777" w:rsidR="00767252" w:rsidRPr="00C41E2F" w:rsidRDefault="00B269E5" w:rsidP="00767252">
      <w:pPr>
        <w:spacing w:after="0" w:line="360" w:lineRule="auto"/>
        <w:jc w:val="both"/>
        <w:rPr>
          <w:rFonts w:ascii="Times New Roman" w:hAnsi="Times New Roman" w:cs="Times New Roman"/>
          <w:sz w:val="24"/>
        </w:rPr>
      </w:pPr>
      <w:r>
        <w:rPr>
          <w:rFonts w:ascii="Times New Roman" w:hAnsi="Times New Roman" w:cs="Times New Roman"/>
          <w:sz w:val="24"/>
        </w:rPr>
        <w:tab/>
      </w:r>
      <w:r w:rsidR="00195BDA">
        <w:rPr>
          <w:rFonts w:ascii="Times New Roman" w:hAnsi="Times New Roman" w:cs="Times New Roman"/>
          <w:sz w:val="24"/>
        </w:rPr>
        <w:t xml:space="preserve">Cieľ PRV </w:t>
      </w:r>
      <w:r w:rsidR="00195BDA" w:rsidRPr="009D1E7F">
        <w:rPr>
          <w:rFonts w:ascii="Times New Roman" w:hAnsi="Times New Roman" w:cs="Times New Roman"/>
          <w:sz w:val="24"/>
        </w:rPr>
        <w:t>Udržateľný manažment prírodných zdrojov a prispôsobovanie sa klimatickým zmenám</w:t>
      </w:r>
      <w:r w:rsidR="00195BDA">
        <w:rPr>
          <w:rFonts w:ascii="Times New Roman" w:hAnsi="Times New Roman" w:cs="Times New Roman"/>
          <w:sz w:val="24"/>
        </w:rPr>
        <w:t xml:space="preserve"> rieši stratégia prierezovo vo všetkých opatreniach, kedy bodovo zvýhodňuje projekty zohľadňujúce vplyvy na </w:t>
      </w:r>
      <w:r w:rsidR="00195BDA" w:rsidRPr="009D1E7F">
        <w:rPr>
          <w:rFonts w:ascii="Times New Roman" w:hAnsi="Times New Roman" w:cs="Times New Roman"/>
          <w:sz w:val="24"/>
        </w:rPr>
        <w:t>životné prostredie, zmierňovanie</w:t>
      </w:r>
      <w:r w:rsidR="00195BDA">
        <w:rPr>
          <w:rFonts w:ascii="Times New Roman" w:hAnsi="Times New Roman" w:cs="Times New Roman"/>
          <w:sz w:val="24"/>
        </w:rPr>
        <w:t xml:space="preserve"> klimatických zmien a klimatickú adaptáciu. </w:t>
      </w:r>
      <w:r w:rsidR="00767252" w:rsidRPr="00C41E2F">
        <w:rPr>
          <w:rFonts w:ascii="Times New Roman" w:hAnsi="Times New Roman" w:cs="Times New Roman"/>
          <w:sz w:val="24"/>
        </w:rPr>
        <w:t>Stratégia prierezovo podporuje environmentálnu účinnosť plánovaných projektov, predpokladá zavádzanie inovatívnych ekologických prvkov a prístupov, prvkov zelenej infraštruktúry.</w:t>
      </w:r>
    </w:p>
    <w:p w14:paraId="558CCF83" w14:textId="77777777" w:rsidR="00767252" w:rsidRDefault="00767252" w:rsidP="00767252">
      <w:pPr>
        <w:spacing w:after="0" w:line="360" w:lineRule="auto"/>
        <w:jc w:val="both"/>
        <w:rPr>
          <w:rFonts w:ascii="Times New Roman" w:hAnsi="Times New Roman" w:cs="Times New Roman"/>
          <w:sz w:val="24"/>
        </w:rPr>
      </w:pPr>
      <w:r w:rsidRPr="00C41E2F">
        <w:rPr>
          <w:rFonts w:ascii="Times New Roman" w:hAnsi="Times New Roman" w:cs="Times New Roman"/>
          <w:sz w:val="24"/>
        </w:rPr>
        <w:tab/>
        <w:t>Opatrenie 1.1</w:t>
      </w:r>
      <w:r>
        <w:rPr>
          <w:rFonts w:ascii="Times New Roman" w:hAnsi="Times New Roman" w:cs="Times New Roman"/>
          <w:sz w:val="24"/>
        </w:rPr>
        <w:t xml:space="preserve"> </w:t>
      </w:r>
      <w:r w:rsidRPr="00C41E2F">
        <w:rPr>
          <w:rFonts w:ascii="Times New Roman" w:hAnsi="Times New Roman" w:cs="Times New Roman"/>
          <w:sz w:val="24"/>
        </w:rPr>
        <w:t xml:space="preserve">Podpora na investície do vytvárania, zlepšovania alebo rozširovania miestnych základných služieb pre vidiecke obyvateľstvo vrátane voľného času a kultúry a </w:t>
      </w:r>
      <w:r w:rsidRPr="00C41E2F">
        <w:rPr>
          <w:rFonts w:ascii="Times New Roman" w:hAnsi="Times New Roman" w:cs="Times New Roman"/>
          <w:sz w:val="24"/>
        </w:rPr>
        <w:lastRenderedPageBreak/>
        <w:t xml:space="preserve">súvisiacej infraštruktúry. Opatrenie bude sekundárne prispievať k FO 5C prostredníctvom investícií do OZE a úspor energie, ktoré budú môcť byť súčasťou iných investícií v rámci opatrenia (napr. súčasťou rekonštrukcie kultúrneho domu bude výstavba kotolne na OZE a pod.). </w:t>
      </w:r>
      <w:r>
        <w:rPr>
          <w:rFonts w:ascii="Times New Roman" w:hAnsi="Times New Roman" w:cs="Times New Roman"/>
          <w:sz w:val="24"/>
        </w:rPr>
        <w:t xml:space="preserve"> </w:t>
      </w:r>
    </w:p>
    <w:p w14:paraId="1601AEA8" w14:textId="77777777" w:rsidR="00767252" w:rsidRDefault="00767252" w:rsidP="00767252">
      <w:pPr>
        <w:spacing w:after="0" w:line="360" w:lineRule="auto"/>
        <w:ind w:firstLine="709"/>
        <w:jc w:val="both"/>
        <w:rPr>
          <w:rFonts w:ascii="Times New Roman" w:hAnsi="Times New Roman" w:cs="Times New Roman"/>
          <w:sz w:val="24"/>
        </w:rPr>
      </w:pPr>
      <w:r w:rsidRPr="00C41E2F">
        <w:rPr>
          <w:rFonts w:ascii="Times New Roman" w:hAnsi="Times New Roman" w:cs="Times New Roman"/>
          <w:sz w:val="24"/>
        </w:rPr>
        <w:t>Opatrenie 2.1 Podpora na investície do rekreačnej infraštruktúry, turistických informácií a do turistickej infraštruktúry malých rozmerov na verejné využitie - zvýhodňované projekty využívajúce využitie OZE a rieši úspory energie. Body sú i za projekty obsahujúce prvky zelenej infraštruktúry</w:t>
      </w:r>
      <w:r>
        <w:rPr>
          <w:rFonts w:ascii="Times New Roman" w:hAnsi="Times New Roman" w:cs="Times New Roman"/>
          <w:sz w:val="24"/>
        </w:rPr>
        <w:t>.</w:t>
      </w:r>
    </w:p>
    <w:p w14:paraId="5996233E" w14:textId="77777777" w:rsidR="00767252" w:rsidRPr="00C41E2F" w:rsidRDefault="00767252" w:rsidP="00767252">
      <w:pPr>
        <w:spacing w:after="0" w:line="360" w:lineRule="auto"/>
        <w:ind w:firstLine="709"/>
        <w:jc w:val="both"/>
        <w:rPr>
          <w:rFonts w:ascii="Times New Roman" w:hAnsi="Times New Roman" w:cs="Times New Roman"/>
          <w:sz w:val="24"/>
        </w:rPr>
      </w:pPr>
      <w:r w:rsidRPr="00C41E2F">
        <w:rPr>
          <w:rFonts w:ascii="Times New Roman" w:hAnsi="Times New Roman" w:cs="Times New Roman"/>
          <w:sz w:val="24"/>
        </w:rPr>
        <w:t xml:space="preserve">Opatrenie 2.3 Podpora na investície do rozvoja vidieckeho cestovného ruchu a agroturistiky. V rámci činnosti sú oprávnené investície súvisiace s využívaním  OZE ako aj  projekty obsahujúce prvky zelenej infraštruktúry. Uprednostňované sú projekty využívajúce inovatívne zariadenia na efektívne využívanie prírodných zdrojov ako napr. využitie zariadení na zachytávanie dažďovej vody a jej následné využitie na pranie, splachovanie WC, umývanie či polievanie rastlín. </w:t>
      </w:r>
    </w:p>
    <w:p w14:paraId="6FD2F4E9" w14:textId="77777777" w:rsidR="00767252" w:rsidRDefault="00767252" w:rsidP="00767252">
      <w:pPr>
        <w:spacing w:after="0" w:line="360" w:lineRule="auto"/>
        <w:ind w:firstLine="709"/>
        <w:jc w:val="both"/>
        <w:rPr>
          <w:rFonts w:ascii="Times New Roman" w:hAnsi="Times New Roman" w:cs="Times New Roman"/>
          <w:sz w:val="24"/>
        </w:rPr>
      </w:pPr>
      <w:r w:rsidRPr="00C41E2F">
        <w:rPr>
          <w:rFonts w:ascii="Times New Roman" w:hAnsi="Times New Roman" w:cs="Times New Roman"/>
          <w:sz w:val="24"/>
        </w:rPr>
        <w:t>Opatrenie 3.2 Podpora investícií do lesníckych technológií a spracovania, do mobilizácie lesníckych výrobkov a ich uvádzania na trh zvýhodňuje projekty zamerané na výrobu biomasy.</w:t>
      </w:r>
    </w:p>
    <w:p w14:paraId="0B0A845C" w14:textId="77777777" w:rsidR="00767252" w:rsidRDefault="00767252" w:rsidP="00767252">
      <w:pPr>
        <w:spacing w:after="0" w:line="360" w:lineRule="auto"/>
        <w:ind w:firstLine="709"/>
        <w:jc w:val="both"/>
        <w:rPr>
          <w:rFonts w:ascii="Times New Roman" w:hAnsi="Times New Roman" w:cs="Times New Roman"/>
          <w:sz w:val="24"/>
        </w:rPr>
      </w:pPr>
      <w:r w:rsidRPr="00C41E2F">
        <w:rPr>
          <w:rFonts w:ascii="Times New Roman" w:hAnsi="Times New Roman" w:cs="Times New Roman"/>
          <w:sz w:val="24"/>
        </w:rPr>
        <w:t>Opatrenie 3.5 Spolupráca medzi malými hospodárskymi subjektmi pri organizácii spoločných pracovných procesov a spoločnom využívaní zariadení a zdrojov a pri rozvoji služieb v oblasti cestovného ruchu/ich uvádzania na trh. Zakladanie operačných skupín EIP ako aj iných skupín bude mať výrazný pozitívny vplyv na posilnenie inovatívneho potenciálu, a to aj v oblasti udržateľného manažmentu a efektívneho využívania prírodných zdrojov.</w:t>
      </w:r>
    </w:p>
    <w:p w14:paraId="2D847EB0" w14:textId="77777777" w:rsidR="00767252" w:rsidRDefault="00195BDA" w:rsidP="00767252">
      <w:pPr>
        <w:spacing w:after="0" w:line="360" w:lineRule="auto"/>
        <w:ind w:firstLine="709"/>
        <w:jc w:val="both"/>
        <w:rPr>
          <w:rFonts w:ascii="Times New Roman" w:hAnsi="Times New Roman" w:cs="Times New Roman"/>
          <w:sz w:val="24"/>
        </w:rPr>
      </w:pPr>
      <w:r>
        <w:rPr>
          <w:rFonts w:ascii="Times New Roman" w:hAnsi="Times New Roman" w:cs="Times New Roman"/>
          <w:sz w:val="24"/>
        </w:rPr>
        <w:t>Aj zapájanie marginalizovaných skupín obyvateľstva sú v stratégií takisto</w:t>
      </w:r>
      <w:r w:rsidR="00767252">
        <w:rPr>
          <w:rFonts w:ascii="Times New Roman" w:hAnsi="Times New Roman" w:cs="Times New Roman"/>
          <w:sz w:val="24"/>
        </w:rPr>
        <w:t>.</w:t>
      </w:r>
      <w:r>
        <w:rPr>
          <w:rFonts w:ascii="Times New Roman" w:hAnsi="Times New Roman" w:cs="Times New Roman"/>
          <w:sz w:val="24"/>
        </w:rPr>
        <w:t xml:space="preserve"> </w:t>
      </w:r>
      <w:r w:rsidR="00767252" w:rsidRPr="00767252">
        <w:rPr>
          <w:rFonts w:ascii="Times New Roman" w:hAnsi="Times New Roman" w:cs="Times New Roman"/>
          <w:sz w:val="24"/>
        </w:rPr>
        <w:t xml:space="preserve"> </w:t>
      </w:r>
      <w:r w:rsidR="00767252">
        <w:rPr>
          <w:rFonts w:ascii="Times New Roman" w:hAnsi="Times New Roman" w:cs="Times New Roman"/>
          <w:sz w:val="24"/>
        </w:rPr>
        <w:t xml:space="preserve">V troch zo štyroch opatrení PRV </w:t>
      </w:r>
      <w:r w:rsidR="00767252" w:rsidRPr="00562421">
        <w:rPr>
          <w:rFonts w:ascii="Times New Roman" w:hAnsi="Times New Roman" w:cs="Times New Roman"/>
          <w:sz w:val="24"/>
        </w:rPr>
        <w:t xml:space="preserve">(1.1, 2.1, 2.3) budú </w:t>
      </w:r>
      <w:r w:rsidR="00767252">
        <w:rPr>
          <w:rFonts w:ascii="Times New Roman" w:hAnsi="Times New Roman" w:cs="Times New Roman"/>
          <w:sz w:val="24"/>
        </w:rPr>
        <w:t xml:space="preserve">bodovo </w:t>
      </w:r>
      <w:r w:rsidR="00767252" w:rsidRPr="00562421">
        <w:rPr>
          <w:rFonts w:ascii="Times New Roman" w:hAnsi="Times New Roman" w:cs="Times New Roman"/>
          <w:sz w:val="24"/>
        </w:rPr>
        <w:t>zvýhodňované projekty, ktoré riešia začleňovanie marginalizovaných skupín obyvateľstva (vrátane marginalizovaných rómskych komunít).</w:t>
      </w:r>
    </w:p>
    <w:p w14:paraId="4EFCE16E" w14:textId="77777777" w:rsidR="008E71B7" w:rsidRPr="00E135B2" w:rsidRDefault="008E71B7" w:rsidP="009F4B75">
      <w:pPr>
        <w:pStyle w:val="Odsekzoznamu"/>
        <w:spacing w:after="0" w:line="360" w:lineRule="auto"/>
        <w:ind w:left="0"/>
        <w:jc w:val="both"/>
        <w:rPr>
          <w:rFonts w:ascii="Times New Roman" w:hAnsi="Times New Roman" w:cs="Times New Roman"/>
          <w:sz w:val="24"/>
          <w:szCs w:val="24"/>
        </w:rPr>
      </w:pPr>
    </w:p>
    <w:p w14:paraId="56611B57" w14:textId="77777777" w:rsidR="006B7A49" w:rsidRPr="008132C9" w:rsidRDefault="008132C9" w:rsidP="00B269E5">
      <w:pPr>
        <w:pStyle w:val="Nadpis2"/>
        <w:ind w:left="567"/>
      </w:pPr>
      <w:bookmarkStart w:id="2357" w:name="_Toc485645897"/>
      <w:r>
        <w:t xml:space="preserve">7.3 </w:t>
      </w:r>
      <w:r w:rsidR="007A15C5" w:rsidRPr="008132C9">
        <w:t>Prínosy k napĺňaniu cieľov IROP</w:t>
      </w:r>
      <w:bookmarkEnd w:id="2357"/>
    </w:p>
    <w:p w14:paraId="6662C566" w14:textId="77777777" w:rsidR="008E71B7" w:rsidRDefault="008E71B7" w:rsidP="00E37887">
      <w:pPr>
        <w:spacing w:after="0" w:line="360" w:lineRule="auto"/>
        <w:jc w:val="both"/>
        <w:rPr>
          <w:rFonts w:ascii="Times New Roman" w:hAnsi="Times New Roman" w:cs="Times New Roman"/>
          <w:sz w:val="24"/>
          <w:szCs w:val="24"/>
        </w:rPr>
      </w:pPr>
    </w:p>
    <w:p w14:paraId="763BD05D" w14:textId="77777777" w:rsidR="00B269E5" w:rsidRDefault="00B269E5" w:rsidP="00B26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Opatrenie </w:t>
      </w:r>
      <w:r w:rsidRPr="001654D3">
        <w:rPr>
          <w:rFonts w:ascii="Times New Roman" w:hAnsi="Times New Roman" w:cs="Times New Roman"/>
          <w:sz w:val="24"/>
          <w:szCs w:val="24"/>
        </w:rPr>
        <w:t>1.2 Rozvoj základnej infraštruktúry v mestách a</w:t>
      </w:r>
      <w:r>
        <w:rPr>
          <w:rFonts w:ascii="Times New Roman" w:hAnsi="Times New Roman" w:cs="Times New Roman"/>
          <w:sz w:val="24"/>
          <w:szCs w:val="24"/>
        </w:rPr>
        <w:t> </w:t>
      </w:r>
      <w:r w:rsidRPr="001654D3">
        <w:rPr>
          <w:rFonts w:ascii="Times New Roman" w:hAnsi="Times New Roman" w:cs="Times New Roman"/>
          <w:sz w:val="24"/>
          <w:szCs w:val="24"/>
        </w:rPr>
        <w:t>obciach</w:t>
      </w:r>
      <w:r>
        <w:rPr>
          <w:rFonts w:ascii="Times New Roman" w:hAnsi="Times New Roman" w:cs="Times New Roman"/>
          <w:sz w:val="24"/>
          <w:szCs w:val="24"/>
        </w:rPr>
        <w:t xml:space="preserve"> vychádzajúce zo špecifického cieľa </w:t>
      </w:r>
      <w:r w:rsidRPr="001654D3">
        <w:rPr>
          <w:rFonts w:ascii="Times New Roman" w:hAnsi="Times New Roman" w:cs="Times New Roman"/>
          <w:sz w:val="24"/>
          <w:szCs w:val="24"/>
        </w:rPr>
        <w:t>5.1.2 Zlepšenie udržateľných vzťahov medzi vidieckymi rozvojovými centrami a ich zázemím vo verejných službách a vo verejných infraštruktúrach</w:t>
      </w:r>
      <w:r>
        <w:rPr>
          <w:rFonts w:ascii="Times New Roman" w:hAnsi="Times New Roman" w:cs="Times New Roman"/>
          <w:sz w:val="24"/>
          <w:szCs w:val="24"/>
        </w:rPr>
        <w:t xml:space="preserve"> </w:t>
      </w:r>
      <w:r w:rsidRPr="001654D3">
        <w:rPr>
          <w:rFonts w:ascii="Times New Roman" w:hAnsi="Times New Roman" w:cs="Times New Roman"/>
          <w:sz w:val="24"/>
          <w:szCs w:val="24"/>
        </w:rPr>
        <w:t>Prioritnej osi 5</w:t>
      </w:r>
      <w:r>
        <w:rPr>
          <w:rFonts w:ascii="Times New Roman" w:hAnsi="Times New Roman" w:cs="Times New Roman"/>
          <w:sz w:val="24"/>
          <w:szCs w:val="24"/>
        </w:rPr>
        <w:t xml:space="preserve"> IROP prispieva k Špecifickému cieľu č. </w:t>
      </w:r>
      <w:r w:rsidRPr="0009070A">
        <w:rPr>
          <w:rFonts w:ascii="Times New Roman" w:hAnsi="Times New Roman" w:cs="Times New Roman"/>
          <w:i/>
          <w:sz w:val="24"/>
          <w:szCs w:val="24"/>
        </w:rPr>
        <w:t>1.2.2</w:t>
      </w:r>
      <w:r>
        <w:rPr>
          <w:rFonts w:ascii="Times New Roman" w:hAnsi="Times New Roman" w:cs="Times New Roman"/>
          <w:sz w:val="24"/>
          <w:szCs w:val="24"/>
        </w:rPr>
        <w:t xml:space="preserve"> IROP, ktorým je </w:t>
      </w:r>
      <w:r w:rsidRPr="0009070A">
        <w:rPr>
          <w:rFonts w:ascii="Times New Roman" w:hAnsi="Times New Roman" w:cs="Times New Roman"/>
          <w:i/>
          <w:sz w:val="24"/>
          <w:szCs w:val="24"/>
        </w:rPr>
        <w:t xml:space="preserve">Zvýšenie  atraktivity  a  </w:t>
      </w:r>
      <w:r w:rsidRPr="0009070A">
        <w:rPr>
          <w:rFonts w:ascii="Times New Roman" w:hAnsi="Times New Roman" w:cs="Times New Roman"/>
          <w:i/>
          <w:sz w:val="24"/>
          <w:szCs w:val="24"/>
        </w:rPr>
        <w:lastRenderedPageBreak/>
        <w:t>prepravnej  kapacity  nemotorovej  dopravy  (predovšetkým  cyklistickej dopravy) na celkovom počte prepravených osôb</w:t>
      </w:r>
      <w:r w:rsidRPr="001654D3">
        <w:rPr>
          <w:rFonts w:ascii="Times New Roman" w:hAnsi="Times New Roman" w:cs="Times New Roman"/>
          <w:sz w:val="24"/>
          <w:szCs w:val="24"/>
        </w:rPr>
        <w:t>.</w:t>
      </w:r>
      <w:r>
        <w:rPr>
          <w:rFonts w:ascii="Times New Roman" w:hAnsi="Times New Roman" w:cs="Times New Roman"/>
          <w:sz w:val="24"/>
          <w:szCs w:val="24"/>
        </w:rPr>
        <w:t xml:space="preserve"> Aktivity v tomto opatrení týkajúce sa podpory Infraštruktúry</w:t>
      </w:r>
      <w:r w:rsidRPr="0009070A">
        <w:rPr>
          <w:rFonts w:ascii="Times New Roman" w:hAnsi="Times New Roman" w:cs="Times New Roman"/>
          <w:sz w:val="24"/>
          <w:szCs w:val="24"/>
        </w:rPr>
        <w:t xml:space="preserve"> vzdelávania </w:t>
      </w:r>
      <w:r>
        <w:rPr>
          <w:rFonts w:ascii="Times New Roman" w:hAnsi="Times New Roman" w:cs="Times New Roman"/>
          <w:sz w:val="24"/>
          <w:szCs w:val="24"/>
        </w:rPr>
        <w:t>nám prispievajú Špecifickému cieľu</w:t>
      </w:r>
      <w:r w:rsidRPr="0009070A">
        <w:rPr>
          <w:rFonts w:ascii="Times New Roman" w:hAnsi="Times New Roman" w:cs="Times New Roman"/>
          <w:sz w:val="24"/>
          <w:szCs w:val="24"/>
        </w:rPr>
        <w:t xml:space="preserve"> č</w:t>
      </w:r>
      <w:r w:rsidRPr="0009070A">
        <w:rPr>
          <w:rFonts w:ascii="Times New Roman" w:hAnsi="Times New Roman" w:cs="Times New Roman"/>
          <w:i/>
          <w:sz w:val="24"/>
          <w:szCs w:val="24"/>
        </w:rPr>
        <w:t>. 2.2.1</w:t>
      </w:r>
      <w:r w:rsidRPr="0009070A">
        <w:rPr>
          <w:rFonts w:ascii="Times New Roman" w:hAnsi="Times New Roman" w:cs="Times New Roman"/>
          <w:sz w:val="24"/>
          <w:szCs w:val="24"/>
        </w:rPr>
        <w:t xml:space="preserve"> </w:t>
      </w:r>
      <w:r w:rsidRPr="0009070A">
        <w:rPr>
          <w:rFonts w:ascii="Times New Roman" w:hAnsi="Times New Roman" w:cs="Times New Roman"/>
          <w:i/>
          <w:sz w:val="24"/>
          <w:szCs w:val="24"/>
        </w:rPr>
        <w:t>Zvýšenie hrubej zaškolenosti detí materských škôl</w:t>
      </w:r>
      <w:r>
        <w:rPr>
          <w:rFonts w:ascii="Times New Roman" w:hAnsi="Times New Roman" w:cs="Times New Roman"/>
          <w:sz w:val="24"/>
          <w:szCs w:val="24"/>
        </w:rPr>
        <w:t xml:space="preserve"> a Špecifickému cieľu</w:t>
      </w:r>
      <w:r w:rsidRPr="0009070A">
        <w:rPr>
          <w:rFonts w:ascii="Times New Roman" w:hAnsi="Times New Roman" w:cs="Times New Roman"/>
          <w:sz w:val="24"/>
          <w:szCs w:val="24"/>
        </w:rPr>
        <w:t xml:space="preserve"> č. </w:t>
      </w:r>
      <w:r w:rsidRPr="0009070A">
        <w:rPr>
          <w:rFonts w:ascii="Times New Roman" w:hAnsi="Times New Roman" w:cs="Times New Roman"/>
          <w:i/>
          <w:sz w:val="24"/>
          <w:szCs w:val="24"/>
        </w:rPr>
        <w:t>2.2.1</w:t>
      </w:r>
      <w:r>
        <w:rPr>
          <w:rFonts w:ascii="Times New Roman" w:hAnsi="Times New Roman" w:cs="Times New Roman"/>
          <w:sz w:val="24"/>
          <w:szCs w:val="24"/>
        </w:rPr>
        <w:t xml:space="preserve"> </w:t>
      </w:r>
      <w:r w:rsidRPr="0009070A">
        <w:rPr>
          <w:rFonts w:ascii="Times New Roman" w:hAnsi="Times New Roman" w:cs="Times New Roman"/>
          <w:i/>
          <w:sz w:val="24"/>
          <w:szCs w:val="24"/>
        </w:rPr>
        <w:t xml:space="preserve">Zlepšenie kľúčových kompetencií </w:t>
      </w:r>
      <w:r w:rsidR="00767252">
        <w:rPr>
          <w:rFonts w:ascii="Times New Roman" w:hAnsi="Times New Roman" w:cs="Times New Roman"/>
          <w:i/>
          <w:sz w:val="24"/>
          <w:szCs w:val="24"/>
        </w:rPr>
        <w:t>ž</w:t>
      </w:r>
      <w:r w:rsidRPr="0009070A">
        <w:rPr>
          <w:rFonts w:ascii="Times New Roman" w:hAnsi="Times New Roman" w:cs="Times New Roman"/>
          <w:i/>
          <w:sz w:val="24"/>
          <w:szCs w:val="24"/>
        </w:rPr>
        <w:t>iakov základných škôl</w:t>
      </w:r>
      <w:r>
        <w:rPr>
          <w:rFonts w:ascii="Times New Roman" w:hAnsi="Times New Roman" w:cs="Times New Roman"/>
          <w:i/>
          <w:sz w:val="24"/>
          <w:szCs w:val="24"/>
        </w:rPr>
        <w:t>.</w:t>
      </w:r>
    </w:p>
    <w:p w14:paraId="6FB578B8" w14:textId="77777777" w:rsidR="00B269E5" w:rsidRDefault="00B269E5" w:rsidP="00B269E5">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Opatrenie </w:t>
      </w:r>
      <w:r w:rsidRPr="001654D3">
        <w:rPr>
          <w:rFonts w:ascii="Times New Roman" w:hAnsi="Times New Roman" w:cs="Times New Roman"/>
          <w:sz w:val="24"/>
          <w:szCs w:val="24"/>
        </w:rPr>
        <w:t>1.3 Podpora sociálnych a komunitných služieb</w:t>
      </w:r>
      <w:r>
        <w:rPr>
          <w:rFonts w:ascii="Times New Roman" w:hAnsi="Times New Roman" w:cs="Times New Roman"/>
          <w:sz w:val="24"/>
          <w:szCs w:val="24"/>
        </w:rPr>
        <w:t xml:space="preserve"> vychádzajúce tiež zo špecifického cieľa </w:t>
      </w:r>
      <w:r w:rsidRPr="001654D3">
        <w:rPr>
          <w:rFonts w:ascii="Times New Roman" w:hAnsi="Times New Roman" w:cs="Times New Roman"/>
          <w:sz w:val="24"/>
          <w:szCs w:val="24"/>
        </w:rPr>
        <w:t>5.1.2 Zlepšenie udržateľných vzťahov medzi vidieckymi rozvojovými centrami a ich zázemím vo verejných službách a vo verejných infraštruktúrach</w:t>
      </w:r>
      <w:r>
        <w:rPr>
          <w:rFonts w:ascii="Times New Roman" w:hAnsi="Times New Roman" w:cs="Times New Roman"/>
          <w:sz w:val="24"/>
          <w:szCs w:val="24"/>
        </w:rPr>
        <w:t xml:space="preserve"> </w:t>
      </w:r>
      <w:r w:rsidRPr="001654D3">
        <w:rPr>
          <w:rFonts w:ascii="Times New Roman" w:hAnsi="Times New Roman" w:cs="Times New Roman"/>
          <w:sz w:val="24"/>
          <w:szCs w:val="24"/>
        </w:rPr>
        <w:t>Prioritnej osi 5</w:t>
      </w:r>
      <w:r>
        <w:rPr>
          <w:rFonts w:ascii="Times New Roman" w:hAnsi="Times New Roman" w:cs="Times New Roman"/>
          <w:sz w:val="24"/>
          <w:szCs w:val="24"/>
        </w:rPr>
        <w:t xml:space="preserve"> IROP prispieva k Špecifickému cieľu č. </w:t>
      </w:r>
      <w:r w:rsidRPr="0009070A">
        <w:rPr>
          <w:rFonts w:ascii="Times New Roman" w:hAnsi="Times New Roman" w:cs="Times New Roman"/>
          <w:i/>
          <w:sz w:val="24"/>
          <w:szCs w:val="24"/>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r>
        <w:rPr>
          <w:rFonts w:ascii="Times New Roman" w:hAnsi="Times New Roman" w:cs="Times New Roman"/>
          <w:i/>
          <w:sz w:val="24"/>
          <w:szCs w:val="24"/>
        </w:rPr>
        <w:t>.</w:t>
      </w:r>
    </w:p>
    <w:p w14:paraId="1FE50B47" w14:textId="77777777" w:rsidR="00B269E5" w:rsidRDefault="00B269E5" w:rsidP="00B26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Keďže na základe výberových kritérií budú z opatrení IROP zvýhodnené čerpať financie obce nad 1 000 obyvateľov a teda aj 3 mestá kopaničiarskeho regiónu, prierezovo prispievajú jednotlivé aktivity aj k Špecifickému cieľu č. 4.3.1 </w:t>
      </w:r>
      <w:r w:rsidRPr="0009070A">
        <w:rPr>
          <w:rFonts w:ascii="Times New Roman" w:hAnsi="Times New Roman" w:cs="Times New Roman"/>
          <w:sz w:val="24"/>
          <w:szCs w:val="24"/>
        </w:rPr>
        <w:t>Zlepšenie  environmentálnych  aspektov  v mestách  a mestských  oblastiach  prostredníctvom budovania prvkov  zelenej infraštruktúry a adaptáciou urbanizovaného prostredia na  zmenu klímy ako aj za</w:t>
      </w:r>
      <w:r>
        <w:rPr>
          <w:rFonts w:ascii="Times New Roman" w:hAnsi="Times New Roman" w:cs="Times New Roman"/>
          <w:sz w:val="24"/>
          <w:szCs w:val="24"/>
        </w:rPr>
        <w:t>vádzaním systémových prvkov zniž</w:t>
      </w:r>
      <w:r w:rsidRPr="0009070A">
        <w:rPr>
          <w:rFonts w:ascii="Times New Roman" w:hAnsi="Times New Roman" w:cs="Times New Roman"/>
          <w:sz w:val="24"/>
          <w:szCs w:val="24"/>
        </w:rPr>
        <w:t>ovania znečistenia ovzdušia a hluku.</w:t>
      </w:r>
      <w:r>
        <w:rPr>
          <w:rFonts w:ascii="Times New Roman" w:hAnsi="Times New Roman" w:cs="Times New Roman"/>
          <w:sz w:val="24"/>
          <w:szCs w:val="24"/>
        </w:rPr>
        <w:t xml:space="preserve"> </w:t>
      </w:r>
    </w:p>
    <w:p w14:paraId="30EE73F1" w14:textId="77777777" w:rsidR="00B269E5" w:rsidRPr="006049BA" w:rsidRDefault="00B269E5" w:rsidP="00B26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49BA">
        <w:rPr>
          <w:rFonts w:ascii="Times New Roman" w:hAnsi="Times New Roman" w:cs="Times New Roman"/>
          <w:sz w:val="24"/>
          <w:szCs w:val="24"/>
        </w:rPr>
        <w:t>Cieľom stratégie je ďalej zabezpečiť kvalitné pripojenie znevýhodnených miest a vidieckych regiónov na infraštruktúru a verejné služby vo väčších sídlach. Najmä pre väčšinu vidieckych a niektorých mestských oblasti sú cesty II. a III. triedy hlavnými komunikačnými spojnicami, ktoré vytvárajú predpoklady pre začlenenie obyvateľstva do širších rozvojových procesov. Investovanie do regionálnych ciest umožní menej rozvíjajúcim a zaostávajúcim oblastiam znižovať vnútroregionálne rozdiely v prístupe k základným službám (vzdelanie, zdravotná a sociálna starostlivosť, kultúra atď.), v prístupe na trh práce, aj v prístupe k základným tovarom. Kvalitnejšie cesty nižších tried sú základnou podmienku pre zlepšenie každodennej mobility osôb vidieckych území spojenej aj s rastúcou diverzifikáciou hospodárstiev smerom k nepoľnohospodárskym činnostiam znamenajúcim zároveň rast zamestnanosti. Odstraňovaním prekážok v cestnej sieti tak dôjde k priamemu zlepšeniu jej plynulosti a zatraktívneniu dopravnej ponuky na trhu.</w:t>
      </w:r>
    </w:p>
    <w:p w14:paraId="46E2B386" w14:textId="77777777" w:rsidR="00767252" w:rsidRPr="006049BA" w:rsidRDefault="00B269E5" w:rsidP="007672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049BA">
        <w:rPr>
          <w:rFonts w:ascii="Times New Roman" w:hAnsi="Times New Roman" w:cs="Times New Roman"/>
          <w:sz w:val="24"/>
          <w:szCs w:val="24"/>
        </w:rPr>
        <w:t>Stratégia sa zameriava aj na vybudovanie, či modernizáci</w:t>
      </w:r>
      <w:r w:rsidR="00767252">
        <w:rPr>
          <w:rFonts w:ascii="Times New Roman" w:hAnsi="Times New Roman" w:cs="Times New Roman"/>
          <w:sz w:val="24"/>
          <w:szCs w:val="24"/>
        </w:rPr>
        <w:t>u</w:t>
      </w:r>
      <w:r w:rsidRPr="006049BA">
        <w:rPr>
          <w:rFonts w:ascii="Times New Roman" w:hAnsi="Times New Roman" w:cs="Times New Roman"/>
          <w:sz w:val="24"/>
          <w:szCs w:val="24"/>
        </w:rPr>
        <w:t xml:space="preserve"> odborných učební, laboratórií, jazykových učební ZŠ a skvalitnenie a rozšírenie </w:t>
      </w:r>
      <w:r>
        <w:rPr>
          <w:rFonts w:ascii="Times New Roman" w:hAnsi="Times New Roman" w:cs="Times New Roman"/>
          <w:sz w:val="24"/>
          <w:szCs w:val="24"/>
        </w:rPr>
        <w:t>kapacít predškolských zariadení.</w:t>
      </w:r>
      <w:r w:rsidR="00767252" w:rsidRPr="00767252">
        <w:rPr>
          <w:rFonts w:ascii="Times New Roman" w:hAnsi="Times New Roman" w:cs="Times New Roman"/>
          <w:sz w:val="24"/>
          <w:szCs w:val="24"/>
        </w:rPr>
        <w:t xml:space="preserve"> </w:t>
      </w:r>
      <w:r w:rsidR="00767252">
        <w:rPr>
          <w:rFonts w:ascii="Times New Roman" w:hAnsi="Times New Roman" w:cs="Times New Roman"/>
          <w:sz w:val="24"/>
          <w:szCs w:val="24"/>
        </w:rPr>
        <w:tab/>
        <w:t xml:space="preserve">V prípade dodatočnej alokácie bude riešiť aj </w:t>
      </w:r>
      <w:r w:rsidR="00767252" w:rsidRPr="006049BA">
        <w:rPr>
          <w:rFonts w:ascii="Times New Roman" w:hAnsi="Times New Roman" w:cs="Times New Roman"/>
          <w:sz w:val="24"/>
          <w:szCs w:val="24"/>
        </w:rPr>
        <w:t xml:space="preserve">vytváranie vhodných podmienok pre </w:t>
      </w:r>
      <w:r w:rsidR="00767252" w:rsidRPr="006049BA">
        <w:rPr>
          <w:rFonts w:ascii="Times New Roman" w:hAnsi="Times New Roman" w:cs="Times New Roman"/>
          <w:sz w:val="24"/>
          <w:szCs w:val="24"/>
        </w:rPr>
        <w:lastRenderedPageBreak/>
        <w:t>poskytovanie sociálnych služieb, ktoré sú v súlade so zásadami starostlivosti na komunitnej báze. Prostredníctvom toho bude podporované zvyšovanie kvality a kapacity komunitných sociálnych služieb, rozvoj terénnych a ambulantných sociálnych služieb a infraštruktúra komunitných centier</w:t>
      </w:r>
      <w:r w:rsidR="00767252">
        <w:rPr>
          <w:rFonts w:ascii="Times New Roman" w:hAnsi="Times New Roman" w:cs="Times New Roman"/>
          <w:sz w:val="24"/>
          <w:szCs w:val="24"/>
        </w:rPr>
        <w:t>.</w:t>
      </w:r>
    </w:p>
    <w:p w14:paraId="020E06C2" w14:textId="77777777" w:rsidR="00B269E5" w:rsidRPr="006049BA" w:rsidRDefault="00B269E5" w:rsidP="00B269E5">
      <w:pPr>
        <w:spacing w:after="0" w:line="360" w:lineRule="auto"/>
        <w:jc w:val="both"/>
        <w:rPr>
          <w:rFonts w:ascii="Times New Roman" w:hAnsi="Times New Roman" w:cs="Times New Roman"/>
          <w:sz w:val="24"/>
        </w:rPr>
      </w:pPr>
      <w:r>
        <w:rPr>
          <w:rFonts w:ascii="Times New Roman" w:hAnsi="Times New Roman" w:cs="Times New Roman"/>
          <w:sz w:val="24"/>
        </w:rPr>
        <w:tab/>
        <w:t>V rámci podnikateľskej sféry sa s</w:t>
      </w:r>
      <w:r w:rsidRPr="006049BA">
        <w:rPr>
          <w:rFonts w:ascii="Times New Roman" w:hAnsi="Times New Roman" w:cs="Times New Roman"/>
          <w:sz w:val="24"/>
        </w:rPr>
        <w:t>tratégia zameriava na zvýšenie zamestnanosti na miestnej úrovni podporou zakladania nových a existujúcich mikro a malých podnikov, samostatne zárobkovo činných osôb, družstiev. Aplikácia stratégie pomôže</w:t>
      </w:r>
      <w:r>
        <w:rPr>
          <w:rFonts w:ascii="Times New Roman" w:hAnsi="Times New Roman" w:cs="Times New Roman"/>
          <w:sz w:val="24"/>
        </w:rPr>
        <w:t xml:space="preserve"> k</w:t>
      </w:r>
      <w:r w:rsidRPr="006049BA">
        <w:rPr>
          <w:rFonts w:ascii="Times New Roman" w:hAnsi="Times New Roman" w:cs="Times New Roman"/>
          <w:sz w:val="24"/>
        </w:rPr>
        <w:t xml:space="preserve"> obstaraniu hmotného majetku pre účely tvorby pracovných miest či k nutným stavebnotechnickým úpravám budov spojených s umiestnením obstaranej technológie a</w:t>
      </w:r>
      <w:r>
        <w:rPr>
          <w:rFonts w:ascii="Times New Roman" w:hAnsi="Times New Roman" w:cs="Times New Roman"/>
          <w:sz w:val="24"/>
        </w:rPr>
        <w:t xml:space="preserve"> </w:t>
      </w:r>
      <w:r w:rsidRPr="006049BA">
        <w:rPr>
          <w:rFonts w:ascii="Times New Roman" w:hAnsi="Times New Roman" w:cs="Times New Roman"/>
          <w:sz w:val="24"/>
        </w:rPr>
        <w:t>s poskytovaním nových služieb.</w:t>
      </w:r>
    </w:p>
    <w:p w14:paraId="6F25E33E" w14:textId="77777777" w:rsidR="00B269E5" w:rsidRDefault="00B269E5" w:rsidP="00B26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49BA">
        <w:rPr>
          <w:rFonts w:ascii="Times New Roman" w:hAnsi="Times New Roman" w:cs="Times New Roman"/>
          <w:sz w:val="24"/>
          <w:szCs w:val="24"/>
        </w:rPr>
        <w:t xml:space="preserve">Budú podporení hlavne tí žiadatelia, ktorí sa zaviažu zvýšiť počet pracovných miest súvisiacich s projektom </w:t>
      </w:r>
      <w:r>
        <w:rPr>
          <w:rFonts w:ascii="Times New Roman" w:hAnsi="Times New Roman" w:cs="Times New Roman"/>
          <w:sz w:val="24"/>
          <w:szCs w:val="24"/>
        </w:rPr>
        <w:t>začleňujúcich</w:t>
      </w:r>
      <w:r w:rsidRPr="006049BA">
        <w:rPr>
          <w:rFonts w:ascii="Times New Roman" w:hAnsi="Times New Roman" w:cs="Times New Roman"/>
          <w:sz w:val="24"/>
          <w:szCs w:val="24"/>
        </w:rPr>
        <w:t xml:space="preserve"> do svojich aktivít marginalizované skupiny občanov a ktorí budú zavádzať inovatívne technológie</w:t>
      </w:r>
      <w:r>
        <w:rPr>
          <w:rFonts w:ascii="Times New Roman" w:hAnsi="Times New Roman" w:cs="Times New Roman"/>
          <w:sz w:val="24"/>
          <w:szCs w:val="24"/>
        </w:rPr>
        <w:t xml:space="preserve"> v nadväznosti priniesť na trh nové služby alebo produkty alebo produkty nové pre podnik a riešiť efektívne využívanie prírodných zdrojov a OZE.</w:t>
      </w:r>
    </w:p>
    <w:p w14:paraId="1B8BA628" w14:textId="77777777" w:rsidR="00767252" w:rsidRPr="006049BA" w:rsidRDefault="00B269E5" w:rsidP="007672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Finančná alokácia jednotlivých opatrení je výsledkom konsenzu pracovných skupín z jednotlivých sektorov, ktorá sa kreovala na viacerých zasadnutiach. I preto je r</w:t>
      </w:r>
      <w:r w:rsidRPr="000A3C79">
        <w:rPr>
          <w:rFonts w:ascii="Times New Roman" w:hAnsi="Times New Roman" w:cs="Times New Roman"/>
          <w:sz w:val="24"/>
          <w:szCs w:val="24"/>
        </w:rPr>
        <w:t xml:space="preserve">ozdiel medzi jednotlivými špecifickými cieľmi vo finančnom vyjadrení </w:t>
      </w:r>
      <w:r>
        <w:rPr>
          <w:rFonts w:ascii="Times New Roman" w:hAnsi="Times New Roman" w:cs="Times New Roman"/>
          <w:sz w:val="24"/>
          <w:szCs w:val="24"/>
        </w:rPr>
        <w:t>vyvážený, teda</w:t>
      </w:r>
      <w:r w:rsidRPr="000A3C79">
        <w:rPr>
          <w:rFonts w:ascii="Times New Roman" w:hAnsi="Times New Roman" w:cs="Times New Roman"/>
          <w:sz w:val="24"/>
          <w:szCs w:val="24"/>
        </w:rPr>
        <w:t xml:space="preserve"> nie je vo vzájomnom nepomere</w:t>
      </w:r>
      <w:r>
        <w:rPr>
          <w:rFonts w:ascii="Times New Roman" w:hAnsi="Times New Roman" w:cs="Times New Roman"/>
          <w:sz w:val="24"/>
          <w:szCs w:val="24"/>
        </w:rPr>
        <w:t xml:space="preserve">. Opatrenie </w:t>
      </w:r>
      <w:r w:rsidRPr="000A3C79">
        <w:rPr>
          <w:rFonts w:ascii="Times New Roman" w:hAnsi="Times New Roman" w:cs="Times New Roman"/>
          <w:sz w:val="24"/>
          <w:szCs w:val="24"/>
        </w:rPr>
        <w:t>1.2 Rozvoj základnej infraštruktúry v mestách a</w:t>
      </w:r>
      <w:r>
        <w:rPr>
          <w:rFonts w:ascii="Times New Roman" w:hAnsi="Times New Roman" w:cs="Times New Roman"/>
          <w:sz w:val="24"/>
          <w:szCs w:val="24"/>
        </w:rPr>
        <w:t> </w:t>
      </w:r>
      <w:r w:rsidRPr="000A3C79">
        <w:rPr>
          <w:rFonts w:ascii="Times New Roman" w:hAnsi="Times New Roman" w:cs="Times New Roman"/>
          <w:sz w:val="24"/>
          <w:szCs w:val="24"/>
        </w:rPr>
        <w:t>obciach</w:t>
      </w:r>
      <w:r>
        <w:rPr>
          <w:rFonts w:ascii="Times New Roman" w:hAnsi="Times New Roman" w:cs="Times New Roman"/>
          <w:sz w:val="24"/>
          <w:szCs w:val="24"/>
        </w:rPr>
        <w:t xml:space="preserve"> (určené pre verejný sektor) má alokáciu </w:t>
      </w:r>
      <w:r w:rsidR="00727FB6">
        <w:rPr>
          <w:rFonts w:ascii="Times New Roman" w:hAnsi="Times New Roman" w:cs="Times New Roman"/>
          <w:sz w:val="24"/>
          <w:szCs w:val="24"/>
        </w:rPr>
        <w:t>337 470,00 EUR</w:t>
      </w:r>
      <w:r>
        <w:rPr>
          <w:rFonts w:ascii="Times New Roman" w:hAnsi="Times New Roman" w:cs="Times New Roman"/>
          <w:sz w:val="24"/>
          <w:szCs w:val="24"/>
        </w:rPr>
        <w:t xml:space="preserve">. Na 2 opatrenia súkromného sektora bolo určených </w:t>
      </w:r>
      <w:r w:rsidR="0004434A">
        <w:rPr>
          <w:rFonts w:ascii="Times New Roman" w:hAnsi="Times New Roman" w:cs="Times New Roman"/>
          <w:sz w:val="24"/>
          <w:szCs w:val="24"/>
        </w:rPr>
        <w:t xml:space="preserve"> </w:t>
      </w:r>
      <w:r w:rsidR="00727FB6">
        <w:rPr>
          <w:rFonts w:ascii="Times New Roman" w:hAnsi="Times New Roman" w:cs="Times New Roman"/>
          <w:sz w:val="24"/>
          <w:szCs w:val="24"/>
        </w:rPr>
        <w:t>337 470,00</w:t>
      </w:r>
      <w:r>
        <w:rPr>
          <w:rFonts w:ascii="Times New Roman" w:hAnsi="Times New Roman" w:cs="Times New Roman"/>
          <w:sz w:val="24"/>
          <w:szCs w:val="24"/>
        </w:rPr>
        <w:t xml:space="preserve"> EUR.</w:t>
      </w:r>
      <w:r w:rsidR="00767252">
        <w:rPr>
          <w:rFonts w:ascii="Times New Roman" w:hAnsi="Times New Roman" w:cs="Times New Roman"/>
          <w:sz w:val="24"/>
          <w:szCs w:val="24"/>
        </w:rPr>
        <w:t xml:space="preserve"> </w:t>
      </w:r>
      <w:r w:rsidR="00767252">
        <w:rPr>
          <w:rFonts w:ascii="Times New Roman" w:hAnsi="Times New Roman" w:cs="Times New Roman"/>
          <w:sz w:val="24"/>
        </w:rPr>
        <w:t xml:space="preserve">V rámci </w:t>
      </w:r>
      <w:r w:rsidR="00767252" w:rsidRPr="00195BDA">
        <w:rPr>
          <w:rFonts w:ascii="Times New Roman" w:hAnsi="Times New Roman" w:cs="Times New Roman"/>
          <w:sz w:val="24"/>
        </w:rPr>
        <w:t xml:space="preserve">IROP </w:t>
      </w:r>
      <w:r w:rsidR="00767252">
        <w:rPr>
          <w:rFonts w:ascii="Times New Roman" w:hAnsi="Times New Roman" w:cs="Times New Roman"/>
          <w:sz w:val="24"/>
        </w:rPr>
        <w:t xml:space="preserve">budú </w:t>
      </w:r>
      <w:r w:rsidR="00767252" w:rsidRPr="00195BDA">
        <w:rPr>
          <w:rFonts w:ascii="Times New Roman" w:hAnsi="Times New Roman" w:cs="Times New Roman"/>
          <w:sz w:val="24"/>
        </w:rPr>
        <w:t>počas implementácie stratégie generova</w:t>
      </w:r>
      <w:r w:rsidR="00767252">
        <w:rPr>
          <w:rFonts w:ascii="Times New Roman" w:hAnsi="Times New Roman" w:cs="Times New Roman"/>
          <w:sz w:val="24"/>
        </w:rPr>
        <w:t>né po 3 pracovné miesta</w:t>
      </w:r>
      <w:r w:rsidR="00767252" w:rsidRPr="00195BDA" w:rsidDel="00C10E73">
        <w:rPr>
          <w:rFonts w:ascii="Times New Roman" w:hAnsi="Times New Roman" w:cs="Times New Roman"/>
          <w:sz w:val="24"/>
        </w:rPr>
        <w:t xml:space="preserve"> </w:t>
      </w:r>
      <w:r w:rsidR="00767252">
        <w:rPr>
          <w:rFonts w:ascii="Times New Roman" w:hAnsi="Times New Roman" w:cs="Times New Roman"/>
          <w:sz w:val="24"/>
        </w:rPr>
        <w:t xml:space="preserve">opatreniami </w:t>
      </w:r>
      <w:r w:rsidR="00767252" w:rsidRPr="00C10E73">
        <w:rPr>
          <w:rFonts w:ascii="Times New Roman" w:hAnsi="Times New Roman" w:cs="Times New Roman"/>
          <w:sz w:val="24"/>
        </w:rPr>
        <w:t>3.3 Vznik nových a rozširovanie existujúcich podnikov v oblasti remeselnej a priemyselnej výroby</w:t>
      </w:r>
      <w:r w:rsidR="00767252" w:rsidRPr="00C10E73" w:rsidDel="00C10E73">
        <w:rPr>
          <w:rFonts w:ascii="Times New Roman" w:hAnsi="Times New Roman" w:cs="Times New Roman"/>
          <w:sz w:val="24"/>
        </w:rPr>
        <w:t xml:space="preserve"> </w:t>
      </w:r>
      <w:r w:rsidR="00767252">
        <w:rPr>
          <w:rFonts w:ascii="Times New Roman" w:hAnsi="Times New Roman" w:cs="Times New Roman"/>
          <w:sz w:val="24"/>
        </w:rPr>
        <w:t xml:space="preserve">a </w:t>
      </w:r>
      <w:r w:rsidR="00767252">
        <w:rPr>
          <w:rFonts w:ascii="Times New Roman" w:hAnsi="Times New Roman" w:cs="Times New Roman"/>
        </w:rPr>
        <w:t>3.4</w:t>
      </w:r>
      <w:r w:rsidR="00767252">
        <w:rPr>
          <w:rFonts w:ascii="Times New Roman" w:hAnsi="Times New Roman" w:cs="Times New Roman"/>
          <w:b/>
        </w:rPr>
        <w:t xml:space="preserve"> </w:t>
      </w:r>
      <w:r w:rsidR="00767252">
        <w:rPr>
          <w:rFonts w:ascii="Times New Roman" w:hAnsi="Times New Roman" w:cs="Times New Roman"/>
        </w:rPr>
        <w:t>Kvalitné služby na vidieku,</w:t>
      </w:r>
      <w:r w:rsidR="00767252">
        <w:rPr>
          <w:rFonts w:ascii="Times New Roman" w:hAnsi="Times New Roman" w:cs="Times New Roman"/>
          <w:sz w:val="24"/>
        </w:rPr>
        <w:t xml:space="preserve"> čo je</w:t>
      </w:r>
      <w:r w:rsidR="00767252" w:rsidRPr="00195BDA" w:rsidDel="00C10E73">
        <w:rPr>
          <w:rFonts w:ascii="Times New Roman" w:hAnsi="Times New Roman" w:cs="Times New Roman"/>
          <w:sz w:val="24"/>
        </w:rPr>
        <w:t xml:space="preserve"> </w:t>
      </w:r>
      <w:r w:rsidR="00767252">
        <w:rPr>
          <w:rFonts w:ascii="Times New Roman" w:hAnsi="Times New Roman" w:cs="Times New Roman"/>
          <w:sz w:val="24"/>
        </w:rPr>
        <w:t>za IROP 6</w:t>
      </w:r>
      <w:r w:rsidR="00767252" w:rsidRPr="00195BDA">
        <w:rPr>
          <w:rFonts w:ascii="Times New Roman" w:hAnsi="Times New Roman" w:cs="Times New Roman"/>
          <w:sz w:val="24"/>
        </w:rPr>
        <w:t xml:space="preserve"> pracovných pozícií</w:t>
      </w:r>
    </w:p>
    <w:p w14:paraId="577214D6" w14:textId="77777777" w:rsidR="00B269E5" w:rsidRPr="006049BA" w:rsidRDefault="00B269E5" w:rsidP="00B26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963A72" w14:textId="77777777" w:rsidR="00AE4F12" w:rsidRPr="008132C9" w:rsidRDefault="008132C9" w:rsidP="009F4B75">
      <w:pPr>
        <w:pStyle w:val="Nadpis2"/>
        <w:ind w:left="426"/>
      </w:pPr>
      <w:bookmarkStart w:id="2358" w:name="_Toc485645898"/>
      <w:r>
        <w:t>7.</w:t>
      </w:r>
      <w:r w:rsidR="00C50E03">
        <w:t>4</w:t>
      </w:r>
      <w:r>
        <w:t xml:space="preserve"> </w:t>
      </w:r>
      <w:r w:rsidR="002F6D48" w:rsidRPr="008132C9">
        <w:t>S</w:t>
      </w:r>
      <w:r w:rsidR="00423FD5" w:rsidRPr="008132C9">
        <w:t>ynergie a doplnkovosť stratégie CLLD</w:t>
      </w:r>
      <w:bookmarkEnd w:id="2358"/>
    </w:p>
    <w:p w14:paraId="744D060C" w14:textId="77777777" w:rsidR="009E01D7" w:rsidRPr="000817CA" w:rsidRDefault="009E01D7" w:rsidP="009E01D7">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81AE5">
        <w:rPr>
          <w:rFonts w:ascii="Times New Roman" w:hAnsi="Times New Roman" w:cs="Times New Roman"/>
          <w:sz w:val="24"/>
          <w:szCs w:val="24"/>
        </w:rPr>
        <w:t>Integrovaná stratégia rozvoja územia „Kopaničiarsky región – miestna akčná skupina“</w:t>
      </w:r>
      <w:r>
        <w:rPr>
          <w:rFonts w:ascii="Times New Roman" w:hAnsi="Times New Roman" w:cs="Times New Roman"/>
          <w:sz w:val="24"/>
          <w:szCs w:val="24"/>
        </w:rPr>
        <w:t xml:space="preserve"> je v súlade zo stratégiami na </w:t>
      </w:r>
      <w:r w:rsidRPr="00981AE5">
        <w:rPr>
          <w:rFonts w:ascii="Times New Roman" w:hAnsi="Times New Roman" w:cs="Times New Roman"/>
          <w:sz w:val="24"/>
          <w:szCs w:val="24"/>
        </w:rPr>
        <w:t>lokálnej, regionálnej</w:t>
      </w:r>
      <w:r>
        <w:rPr>
          <w:rFonts w:ascii="Times New Roman" w:hAnsi="Times New Roman" w:cs="Times New Roman"/>
          <w:sz w:val="24"/>
          <w:szCs w:val="24"/>
        </w:rPr>
        <w:t xml:space="preserve"> a </w:t>
      </w:r>
      <w:r w:rsidRPr="00981AE5">
        <w:rPr>
          <w:rFonts w:ascii="Times New Roman" w:hAnsi="Times New Roman" w:cs="Times New Roman"/>
          <w:sz w:val="24"/>
          <w:szCs w:val="24"/>
        </w:rPr>
        <w:t>nadnárodnej úrovni</w:t>
      </w:r>
      <w:r>
        <w:rPr>
          <w:rFonts w:ascii="Times New Roman" w:hAnsi="Times New Roman" w:cs="Times New Roman"/>
          <w:sz w:val="24"/>
          <w:szCs w:val="24"/>
        </w:rPr>
        <w:t xml:space="preserve"> </w:t>
      </w:r>
      <w:r w:rsidRPr="00981AE5">
        <w:t xml:space="preserve"> </w:t>
      </w:r>
      <w:r>
        <w:t xml:space="preserve">a </w:t>
      </w:r>
      <w:r w:rsidRPr="00981AE5">
        <w:rPr>
          <w:rFonts w:ascii="Times New Roman" w:hAnsi="Times New Roman" w:cs="Times New Roman"/>
          <w:sz w:val="24"/>
          <w:szCs w:val="24"/>
        </w:rPr>
        <w:t xml:space="preserve">nie je </w:t>
      </w:r>
      <w:r>
        <w:rPr>
          <w:rFonts w:ascii="Times New Roman" w:hAnsi="Times New Roman" w:cs="Times New Roman"/>
          <w:sz w:val="24"/>
          <w:szCs w:val="24"/>
        </w:rPr>
        <w:t>s nimi v </w:t>
      </w:r>
      <w:r w:rsidRPr="00981AE5">
        <w:rPr>
          <w:rFonts w:ascii="Times New Roman" w:hAnsi="Times New Roman" w:cs="Times New Roman"/>
          <w:sz w:val="24"/>
          <w:szCs w:val="24"/>
        </w:rPr>
        <w:t>rozpore</w:t>
      </w:r>
      <w:r>
        <w:rPr>
          <w:rFonts w:ascii="Times New Roman" w:hAnsi="Times New Roman" w:cs="Times New Roman"/>
          <w:sz w:val="24"/>
          <w:szCs w:val="24"/>
        </w:rPr>
        <w:t>.</w:t>
      </w:r>
    </w:p>
    <w:p w14:paraId="49EDE402" w14:textId="77777777" w:rsidR="00512FE8" w:rsidRPr="00891B13" w:rsidRDefault="00512FE8" w:rsidP="00E37887">
      <w:pPr>
        <w:pStyle w:val="Odsekzoznamu"/>
        <w:spacing w:after="0" w:line="360" w:lineRule="auto"/>
        <w:ind w:left="792"/>
        <w:rPr>
          <w:rFonts w:ascii="Times New Roman" w:hAnsi="Times New Roman" w:cs="Times New Roman"/>
          <w:b/>
          <w:sz w:val="24"/>
          <w:szCs w:val="24"/>
        </w:rPr>
      </w:pPr>
    </w:p>
    <w:p w14:paraId="4650FF10" w14:textId="77777777" w:rsidR="00423FD5" w:rsidRPr="008A2FD0" w:rsidRDefault="008132C9" w:rsidP="005B0404">
      <w:pPr>
        <w:pStyle w:val="Nadpis2"/>
        <w:ind w:left="1418" w:hanging="851"/>
      </w:pPr>
      <w:bookmarkStart w:id="2359" w:name="_Toc485645899"/>
      <w:r w:rsidRPr="008A2FD0">
        <w:lastRenderedPageBreak/>
        <w:t>7.</w:t>
      </w:r>
      <w:r w:rsidR="00C50E03">
        <w:t>4</w:t>
      </w:r>
      <w:r w:rsidRPr="008A2FD0">
        <w:t>.1</w:t>
      </w:r>
      <w:r w:rsidRPr="008A2FD0">
        <w:tab/>
      </w:r>
      <w:r w:rsidR="00423FD5" w:rsidRPr="008A2FD0">
        <w:t>Popis iných stratégií, ktoré sa na danom území realizujú, resp. plánujú realizovať</w:t>
      </w:r>
      <w:bookmarkEnd w:id="2359"/>
      <w:r w:rsidR="00423FD5" w:rsidRPr="008A2FD0">
        <w:t xml:space="preserve"> </w:t>
      </w:r>
    </w:p>
    <w:p w14:paraId="2C55D697" w14:textId="77777777" w:rsidR="009E01D7" w:rsidRPr="00D31955" w:rsidRDefault="009E01D7" w:rsidP="009E01D7">
      <w:pPr>
        <w:pStyle w:val="Default"/>
        <w:spacing w:line="360" w:lineRule="auto"/>
      </w:pPr>
      <w:r>
        <w:t>Na území KR -</w:t>
      </w:r>
      <w:r w:rsidRPr="00D31955">
        <w:t xml:space="preserve"> MAS boli vypravované a plánujú sa realizovať</w:t>
      </w:r>
      <w:r>
        <w:t xml:space="preserve"> </w:t>
      </w:r>
      <w:r w:rsidRPr="00D31955">
        <w:t>(</w:t>
      </w:r>
      <w:r>
        <w:t>implementovať)  tieto stratégie:</w:t>
      </w:r>
    </w:p>
    <w:p w14:paraId="74162729" w14:textId="77777777" w:rsidR="009E01D7" w:rsidRPr="002150FF"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2150FF">
        <w:rPr>
          <w:rFonts w:ascii="Times New Roman" w:hAnsi="Times New Roman" w:cs="Times New Roman"/>
          <w:sz w:val="24"/>
          <w:szCs w:val="24"/>
        </w:rPr>
        <w:t xml:space="preserve">Spoločná cezhraničná stratégia </w:t>
      </w:r>
      <w:r>
        <w:rPr>
          <w:rFonts w:ascii="Times New Roman" w:hAnsi="Times New Roman" w:cs="Times New Roman"/>
          <w:sz w:val="24"/>
          <w:szCs w:val="24"/>
        </w:rPr>
        <w:t xml:space="preserve">udržateľného rozvoja Horňácka-Kopanic </w:t>
      </w:r>
      <w:r w:rsidRPr="002150FF">
        <w:rPr>
          <w:rFonts w:ascii="Times New Roman" w:hAnsi="Times New Roman" w:cs="Times New Roman"/>
          <w:sz w:val="24"/>
          <w:szCs w:val="24"/>
        </w:rPr>
        <w:t>2014-2020</w:t>
      </w:r>
    </w:p>
    <w:p w14:paraId="10E9349A" w14:textId="77777777" w:rsidR="009E01D7" w:rsidRPr="009E6551"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9E6551">
        <w:rPr>
          <w:rFonts w:ascii="Times New Roman" w:hAnsi="Times New Roman" w:cs="Times New Roman"/>
          <w:sz w:val="24"/>
          <w:szCs w:val="24"/>
        </w:rPr>
        <w:t>Koncepcia rozvoja cestovného ruchu  v regióne pod Veľkou Javorinou a Bradlom</w:t>
      </w:r>
    </w:p>
    <w:p w14:paraId="5D93B037" w14:textId="77777777" w:rsidR="009E01D7" w:rsidRPr="009E6551"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9E6551">
        <w:rPr>
          <w:rFonts w:ascii="Times New Roman" w:hAnsi="Times New Roman" w:cs="Times New Roman"/>
          <w:sz w:val="24"/>
          <w:szCs w:val="24"/>
        </w:rPr>
        <w:t>Stratégia budovania cyklochodníkov a cyklotrás v kop</w:t>
      </w:r>
      <w:r>
        <w:rPr>
          <w:rFonts w:ascii="Times New Roman" w:hAnsi="Times New Roman" w:cs="Times New Roman"/>
          <w:sz w:val="24"/>
          <w:szCs w:val="24"/>
        </w:rPr>
        <w:t>aničiarskom a horňáckom regióne</w:t>
      </w:r>
    </w:p>
    <w:p w14:paraId="05DC17A2" w14:textId="77777777" w:rsidR="009E01D7" w:rsidRPr="009E6551"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9E6551">
        <w:rPr>
          <w:rFonts w:ascii="Times New Roman" w:hAnsi="Times New Roman" w:cs="Times New Roman"/>
          <w:sz w:val="24"/>
          <w:szCs w:val="24"/>
        </w:rPr>
        <w:t xml:space="preserve">Štúdia rozvoja hipoturistiky kopaničiarskom a </w:t>
      </w:r>
      <w:r>
        <w:rPr>
          <w:rFonts w:ascii="Times New Roman" w:hAnsi="Times New Roman" w:cs="Times New Roman"/>
          <w:sz w:val="24"/>
          <w:szCs w:val="24"/>
        </w:rPr>
        <w:t>horňáckom regióne</w:t>
      </w:r>
    </w:p>
    <w:p w14:paraId="678359AC" w14:textId="77777777" w:rsidR="009E01D7"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4272B9">
        <w:rPr>
          <w:rFonts w:ascii="Times New Roman" w:hAnsi="Times New Roman" w:cs="Times New Roman"/>
          <w:sz w:val="24"/>
          <w:szCs w:val="24"/>
        </w:rPr>
        <w:t>Stratégia rozvoja bežeckého lyžovania a zimnej turistiky v Bielych Karpatoch pre obdobie 2015-2020</w:t>
      </w:r>
    </w:p>
    <w:p w14:paraId="351401B0" w14:textId="77777777" w:rsidR="009E01D7" w:rsidRPr="009E6551" w:rsidRDefault="009E01D7" w:rsidP="003301D6">
      <w:pPr>
        <w:pStyle w:val="Odsekzoznamu"/>
        <w:numPr>
          <w:ilvl w:val="0"/>
          <w:numId w:val="33"/>
        </w:numPr>
        <w:spacing w:after="160" w:line="360" w:lineRule="auto"/>
        <w:jc w:val="both"/>
        <w:rPr>
          <w:rFonts w:ascii="Times New Roman" w:hAnsi="Times New Roman" w:cs="Times New Roman"/>
          <w:sz w:val="24"/>
          <w:szCs w:val="24"/>
        </w:rPr>
      </w:pPr>
      <w:r w:rsidRPr="009E6551">
        <w:rPr>
          <w:rFonts w:ascii="Times New Roman" w:hAnsi="Times New Roman" w:cs="Times New Roman"/>
          <w:sz w:val="24"/>
          <w:szCs w:val="24"/>
        </w:rPr>
        <w:t xml:space="preserve">PHSR obcí </w:t>
      </w:r>
      <w:r>
        <w:rPr>
          <w:rFonts w:ascii="Times New Roman" w:hAnsi="Times New Roman" w:cs="Times New Roman"/>
          <w:sz w:val="24"/>
          <w:szCs w:val="24"/>
        </w:rPr>
        <w:t>z územia</w:t>
      </w:r>
      <w:r w:rsidRPr="009E6551">
        <w:rPr>
          <w:rFonts w:ascii="Times New Roman" w:hAnsi="Times New Roman" w:cs="Times New Roman"/>
          <w:sz w:val="24"/>
          <w:szCs w:val="24"/>
        </w:rPr>
        <w:t xml:space="preserve"> MAS</w:t>
      </w:r>
      <w:r>
        <w:rPr>
          <w:rFonts w:ascii="Times New Roman" w:hAnsi="Times New Roman" w:cs="Times New Roman"/>
          <w:sz w:val="24"/>
          <w:szCs w:val="24"/>
        </w:rPr>
        <w:t xml:space="preserve"> a ďalšie dokumenty</w:t>
      </w:r>
    </w:p>
    <w:p w14:paraId="5B918D7C" w14:textId="77777777" w:rsidR="009E01D7" w:rsidRDefault="009E01D7" w:rsidP="009E01D7">
      <w:pPr>
        <w:pStyle w:val="Default"/>
        <w:spacing w:line="360" w:lineRule="auto"/>
      </w:pPr>
    </w:p>
    <w:p w14:paraId="79EDB1FF" w14:textId="77777777" w:rsidR="009E01D7" w:rsidRPr="00894BDB" w:rsidRDefault="009E01D7" w:rsidP="009E01D7">
      <w:pPr>
        <w:pStyle w:val="Default"/>
        <w:spacing w:line="360" w:lineRule="auto"/>
      </w:pPr>
      <w:r w:rsidRPr="00894BDB">
        <w:rPr>
          <w:rStyle w:val="hps"/>
          <w:i/>
          <w:u w:val="single"/>
        </w:rPr>
        <w:t>Spoločná cezhraničná</w:t>
      </w:r>
      <w:r w:rsidRPr="00894BDB">
        <w:rPr>
          <w:i/>
          <w:u w:val="single"/>
        </w:rPr>
        <w:t xml:space="preserve"> </w:t>
      </w:r>
      <w:r w:rsidRPr="00894BDB">
        <w:rPr>
          <w:rStyle w:val="hps"/>
          <w:i/>
          <w:u w:val="single"/>
        </w:rPr>
        <w:t>stratégia udržateľného rozvoja Horňácka - Kopanic 2014-2020</w:t>
      </w:r>
      <w:r w:rsidRPr="00894BDB">
        <w:t xml:space="preserve"> </w:t>
      </w:r>
      <w:r w:rsidRPr="00894BDB">
        <w:rPr>
          <w:rStyle w:val="hps"/>
        </w:rPr>
        <w:t>spĺňa</w:t>
      </w:r>
      <w:r w:rsidRPr="00894BDB">
        <w:t xml:space="preserve"> </w:t>
      </w:r>
      <w:r w:rsidRPr="00894BDB">
        <w:rPr>
          <w:rStyle w:val="hps"/>
        </w:rPr>
        <w:t>cieľ</w:t>
      </w:r>
      <w:r w:rsidRPr="00894BDB">
        <w:t xml:space="preserve">, ktorým </w:t>
      </w:r>
      <w:r w:rsidRPr="00894BDB">
        <w:rPr>
          <w:rStyle w:val="hps"/>
        </w:rPr>
        <w:t>je</w:t>
      </w:r>
      <w:r w:rsidRPr="00894BDB">
        <w:t xml:space="preserve"> </w:t>
      </w:r>
      <w:r w:rsidRPr="00894BDB">
        <w:rPr>
          <w:rStyle w:val="hps"/>
        </w:rPr>
        <w:t>definovať</w:t>
      </w:r>
      <w:r w:rsidRPr="00894BDB">
        <w:t xml:space="preserve"> </w:t>
      </w:r>
      <w:r w:rsidRPr="00894BDB">
        <w:rPr>
          <w:rStyle w:val="hps"/>
        </w:rPr>
        <w:t>spoločné záujmy</w:t>
      </w:r>
      <w:r w:rsidRPr="00894BDB">
        <w:t xml:space="preserve"> </w:t>
      </w:r>
      <w:r w:rsidRPr="00894BDB">
        <w:rPr>
          <w:rStyle w:val="hps"/>
        </w:rPr>
        <w:t>územia</w:t>
      </w:r>
      <w:r w:rsidRPr="00894BDB">
        <w:t xml:space="preserve">, </w:t>
      </w:r>
      <w:r w:rsidRPr="00894BDB">
        <w:rPr>
          <w:rStyle w:val="hps"/>
        </w:rPr>
        <w:t>jeho obyvateľov</w:t>
      </w:r>
      <w:r w:rsidRPr="00894BDB">
        <w:t xml:space="preserve"> </w:t>
      </w:r>
      <w:r w:rsidRPr="00894BDB">
        <w:rPr>
          <w:rStyle w:val="hps"/>
        </w:rPr>
        <w:t>a</w:t>
      </w:r>
      <w:r w:rsidRPr="00894BDB">
        <w:t xml:space="preserve"> </w:t>
      </w:r>
      <w:r w:rsidRPr="00894BDB">
        <w:rPr>
          <w:rStyle w:val="hps"/>
        </w:rPr>
        <w:t>podnikateľských</w:t>
      </w:r>
      <w:r w:rsidRPr="00894BDB">
        <w:t xml:space="preserve"> </w:t>
      </w:r>
      <w:r w:rsidRPr="00894BDB">
        <w:rPr>
          <w:rStyle w:val="hps"/>
        </w:rPr>
        <w:t>subjektov</w:t>
      </w:r>
      <w:r w:rsidRPr="00894BDB">
        <w:t xml:space="preserve">, definovať </w:t>
      </w:r>
      <w:r>
        <w:rPr>
          <w:rStyle w:val="hps"/>
        </w:rPr>
        <w:t>miestne</w:t>
      </w:r>
      <w:r w:rsidRPr="00894BDB">
        <w:t xml:space="preserve"> </w:t>
      </w:r>
      <w:r w:rsidRPr="00894BDB">
        <w:rPr>
          <w:rStyle w:val="hps"/>
        </w:rPr>
        <w:t>predpoklady</w:t>
      </w:r>
      <w:r w:rsidRPr="00894BDB">
        <w:t xml:space="preserve"> </w:t>
      </w:r>
      <w:r w:rsidRPr="00894BDB">
        <w:rPr>
          <w:rStyle w:val="hps"/>
        </w:rPr>
        <w:t>realizácie</w:t>
      </w:r>
      <w:r w:rsidRPr="00894BDB">
        <w:t xml:space="preserve"> </w:t>
      </w:r>
      <w:r w:rsidRPr="00894BDB">
        <w:rPr>
          <w:rStyle w:val="hps"/>
        </w:rPr>
        <w:t>týchto spoločných</w:t>
      </w:r>
      <w:r w:rsidRPr="00894BDB">
        <w:t xml:space="preserve"> </w:t>
      </w:r>
      <w:r w:rsidRPr="00894BDB">
        <w:rPr>
          <w:rStyle w:val="hps"/>
        </w:rPr>
        <w:t>záujmov</w:t>
      </w:r>
      <w:r w:rsidRPr="00894BDB">
        <w:t xml:space="preserve">, koordinovať </w:t>
      </w:r>
      <w:r>
        <w:rPr>
          <w:rStyle w:val="hps"/>
        </w:rPr>
        <w:t>vynakladanie</w:t>
      </w:r>
      <w:r w:rsidRPr="00894BDB">
        <w:t xml:space="preserve"> </w:t>
      </w:r>
      <w:r w:rsidRPr="00894BDB">
        <w:rPr>
          <w:rStyle w:val="hps"/>
        </w:rPr>
        <w:t>verejných investícií</w:t>
      </w:r>
      <w:r w:rsidRPr="00894BDB">
        <w:t xml:space="preserve"> </w:t>
      </w:r>
      <w:r w:rsidRPr="00894BDB">
        <w:rPr>
          <w:rStyle w:val="hps"/>
        </w:rPr>
        <w:t>z hľadiska</w:t>
      </w:r>
      <w:r w:rsidRPr="00894BDB">
        <w:t xml:space="preserve"> </w:t>
      </w:r>
      <w:r w:rsidRPr="00894BDB">
        <w:rPr>
          <w:rStyle w:val="hps"/>
        </w:rPr>
        <w:t>územného</w:t>
      </w:r>
      <w:r w:rsidRPr="00894BDB">
        <w:t xml:space="preserve"> </w:t>
      </w:r>
      <w:r w:rsidRPr="00894BDB">
        <w:rPr>
          <w:rStyle w:val="hps"/>
        </w:rPr>
        <w:t>a</w:t>
      </w:r>
      <w:r w:rsidRPr="00894BDB">
        <w:t xml:space="preserve"> </w:t>
      </w:r>
      <w:r w:rsidRPr="00894BDB">
        <w:rPr>
          <w:rStyle w:val="hps"/>
        </w:rPr>
        <w:t>funkčného</w:t>
      </w:r>
      <w:r w:rsidRPr="00894BDB">
        <w:t xml:space="preserve"> </w:t>
      </w:r>
      <w:r w:rsidRPr="00894BDB">
        <w:rPr>
          <w:rStyle w:val="hps"/>
        </w:rPr>
        <w:t>vzhľadom</w:t>
      </w:r>
      <w:r w:rsidRPr="00894BDB">
        <w:t xml:space="preserve"> </w:t>
      </w:r>
      <w:r w:rsidRPr="00894BDB">
        <w:rPr>
          <w:rStyle w:val="hps"/>
        </w:rPr>
        <w:t>k zámerom</w:t>
      </w:r>
      <w:r w:rsidRPr="00894BDB">
        <w:t xml:space="preserve"> </w:t>
      </w:r>
      <w:r w:rsidRPr="00894BDB">
        <w:rPr>
          <w:rStyle w:val="hps"/>
        </w:rPr>
        <w:t>a</w:t>
      </w:r>
      <w:r w:rsidRPr="00894BDB">
        <w:t xml:space="preserve"> </w:t>
      </w:r>
      <w:r w:rsidRPr="00894BDB">
        <w:rPr>
          <w:rStyle w:val="hps"/>
        </w:rPr>
        <w:t>potrebám</w:t>
      </w:r>
      <w:r w:rsidRPr="00894BDB">
        <w:t xml:space="preserve"> </w:t>
      </w:r>
      <w:r w:rsidRPr="00894BDB">
        <w:rPr>
          <w:rStyle w:val="hps"/>
        </w:rPr>
        <w:t>rozvoja</w:t>
      </w:r>
      <w:r w:rsidRPr="00894BDB">
        <w:t xml:space="preserve"> </w:t>
      </w:r>
      <w:r w:rsidRPr="00894BDB">
        <w:rPr>
          <w:rStyle w:val="hps"/>
        </w:rPr>
        <w:t>privátneho</w:t>
      </w:r>
      <w:r w:rsidRPr="00894BDB">
        <w:t xml:space="preserve"> </w:t>
      </w:r>
      <w:r w:rsidRPr="00894BDB">
        <w:rPr>
          <w:rStyle w:val="hps"/>
        </w:rPr>
        <w:t>sektora,</w:t>
      </w:r>
      <w:r w:rsidRPr="00894BDB">
        <w:t xml:space="preserve"> </w:t>
      </w:r>
      <w:r w:rsidRPr="00894BDB">
        <w:rPr>
          <w:rStyle w:val="hps"/>
        </w:rPr>
        <w:t>koordinovať</w:t>
      </w:r>
      <w:r w:rsidRPr="00894BDB">
        <w:t xml:space="preserve"> </w:t>
      </w:r>
      <w:r w:rsidRPr="00894BDB">
        <w:rPr>
          <w:rStyle w:val="hps"/>
        </w:rPr>
        <w:t>účelnú</w:t>
      </w:r>
      <w:r w:rsidRPr="00894BDB">
        <w:t xml:space="preserve"> </w:t>
      </w:r>
      <w:r w:rsidRPr="00894BDB">
        <w:rPr>
          <w:rStyle w:val="hps"/>
        </w:rPr>
        <w:t>alokáciu</w:t>
      </w:r>
      <w:r w:rsidRPr="00894BDB">
        <w:t xml:space="preserve"> </w:t>
      </w:r>
      <w:r w:rsidRPr="00894BDB">
        <w:rPr>
          <w:rStyle w:val="hps"/>
        </w:rPr>
        <w:t>bežných</w:t>
      </w:r>
      <w:r w:rsidRPr="00894BDB">
        <w:t xml:space="preserve"> </w:t>
      </w:r>
      <w:r w:rsidRPr="00894BDB">
        <w:rPr>
          <w:rStyle w:val="hps"/>
        </w:rPr>
        <w:t>verejných výdavkov</w:t>
      </w:r>
      <w:r w:rsidRPr="00894BDB">
        <w:t xml:space="preserve"> </w:t>
      </w:r>
      <w:r w:rsidRPr="00894BDB">
        <w:rPr>
          <w:rStyle w:val="hps"/>
        </w:rPr>
        <w:t>v</w:t>
      </w:r>
      <w:r w:rsidRPr="00894BDB">
        <w:t xml:space="preserve"> </w:t>
      </w:r>
      <w:r w:rsidRPr="00894BDB">
        <w:rPr>
          <w:rStyle w:val="hps"/>
        </w:rPr>
        <w:t>záujme vytvárania</w:t>
      </w:r>
      <w:r w:rsidRPr="00894BDB">
        <w:t xml:space="preserve"> </w:t>
      </w:r>
      <w:r w:rsidRPr="00894BDB">
        <w:rPr>
          <w:rStyle w:val="hps"/>
        </w:rPr>
        <w:t>stabilných</w:t>
      </w:r>
      <w:r w:rsidRPr="00894BDB">
        <w:t xml:space="preserve"> </w:t>
      </w:r>
      <w:r w:rsidRPr="00894BDB">
        <w:rPr>
          <w:rStyle w:val="hps"/>
        </w:rPr>
        <w:t>podmienok</w:t>
      </w:r>
      <w:r w:rsidRPr="00894BDB">
        <w:t xml:space="preserve"> </w:t>
      </w:r>
      <w:r w:rsidRPr="00894BDB">
        <w:rPr>
          <w:rStyle w:val="hps"/>
        </w:rPr>
        <w:t>pre bývanie</w:t>
      </w:r>
      <w:r w:rsidRPr="00894BDB">
        <w:t xml:space="preserve"> </w:t>
      </w:r>
      <w:r w:rsidRPr="00894BDB">
        <w:rPr>
          <w:rStyle w:val="hps"/>
        </w:rPr>
        <w:t>a</w:t>
      </w:r>
      <w:r w:rsidRPr="00894BDB">
        <w:t xml:space="preserve"> </w:t>
      </w:r>
      <w:r w:rsidRPr="00894BDB">
        <w:rPr>
          <w:rStyle w:val="hps"/>
        </w:rPr>
        <w:t>podnikanie</w:t>
      </w:r>
      <w:r w:rsidRPr="00894BDB">
        <w:t xml:space="preserve">, </w:t>
      </w:r>
      <w:r w:rsidRPr="00894BDB">
        <w:rPr>
          <w:rStyle w:val="hps"/>
        </w:rPr>
        <w:t>či</w:t>
      </w:r>
      <w:r w:rsidRPr="00894BDB">
        <w:t xml:space="preserve"> </w:t>
      </w:r>
      <w:r w:rsidRPr="00894BDB">
        <w:rPr>
          <w:rStyle w:val="hps"/>
        </w:rPr>
        <w:t>definovať</w:t>
      </w:r>
      <w:r w:rsidRPr="00894BDB">
        <w:t xml:space="preserve"> </w:t>
      </w:r>
      <w:r w:rsidRPr="00894BDB">
        <w:rPr>
          <w:rStyle w:val="hps"/>
        </w:rPr>
        <w:t>dlhodobé</w:t>
      </w:r>
      <w:r w:rsidRPr="00894BDB">
        <w:t xml:space="preserve"> </w:t>
      </w:r>
      <w:r w:rsidRPr="00894BDB">
        <w:rPr>
          <w:rStyle w:val="hps"/>
        </w:rPr>
        <w:t>zámery</w:t>
      </w:r>
      <w:r w:rsidRPr="00894BDB">
        <w:t xml:space="preserve"> </w:t>
      </w:r>
      <w:r w:rsidRPr="00894BDB">
        <w:rPr>
          <w:rStyle w:val="hps"/>
        </w:rPr>
        <w:t>hospodárskej a</w:t>
      </w:r>
      <w:r w:rsidRPr="00894BDB">
        <w:t xml:space="preserve"> </w:t>
      </w:r>
      <w:r w:rsidRPr="00894BDB">
        <w:rPr>
          <w:rStyle w:val="hps"/>
        </w:rPr>
        <w:t>sociálnej politiky v</w:t>
      </w:r>
      <w:r w:rsidRPr="00894BDB">
        <w:t xml:space="preserve"> </w:t>
      </w:r>
      <w:r>
        <w:rPr>
          <w:rStyle w:val="hps"/>
        </w:rPr>
        <w:t>prihraničnom</w:t>
      </w:r>
      <w:r w:rsidRPr="00894BDB">
        <w:t xml:space="preserve"> </w:t>
      </w:r>
      <w:r w:rsidRPr="00894BDB">
        <w:rPr>
          <w:rStyle w:val="hps"/>
        </w:rPr>
        <w:t>území</w:t>
      </w:r>
      <w:r w:rsidRPr="00894BDB">
        <w:t>.</w:t>
      </w:r>
    </w:p>
    <w:p w14:paraId="2ED28FAE" w14:textId="77777777" w:rsidR="009E01D7" w:rsidRPr="00894BDB" w:rsidRDefault="009E01D7" w:rsidP="009E01D7">
      <w:pPr>
        <w:pStyle w:val="Default"/>
        <w:spacing w:line="360" w:lineRule="auto"/>
      </w:pPr>
      <w:r w:rsidRPr="00894BDB">
        <w:t>V rámci tejto stratégie boli definované tieto osy a</w:t>
      </w:r>
      <w:r>
        <w:t> </w:t>
      </w:r>
      <w:r w:rsidRPr="00894BDB">
        <w:t>opatrenia.</w:t>
      </w:r>
    </w:p>
    <w:p w14:paraId="5EDECC6B" w14:textId="77777777" w:rsidR="009E01D7" w:rsidRPr="00035736" w:rsidRDefault="009E01D7" w:rsidP="009E01D7">
      <w:pPr>
        <w:pStyle w:val="Default"/>
        <w:spacing w:line="360" w:lineRule="auto"/>
        <w:rPr>
          <w:i/>
        </w:rPr>
      </w:pPr>
      <w:r w:rsidRPr="00035736">
        <w:rPr>
          <w:i/>
        </w:rPr>
        <w:t>OS 1 - Dopravná dostupnosť a infraštruktúra</w:t>
      </w:r>
    </w:p>
    <w:p w14:paraId="24550648" w14:textId="77777777" w:rsidR="009E01D7" w:rsidRPr="00894BDB" w:rsidRDefault="009E01D7" w:rsidP="009E01D7">
      <w:pPr>
        <w:pStyle w:val="Default"/>
        <w:spacing w:line="360" w:lineRule="auto"/>
      </w:pPr>
      <w:r w:rsidRPr="00894BDB">
        <w:t>Opatrenia</w:t>
      </w:r>
      <w:r>
        <w:t>:</w:t>
      </w:r>
    </w:p>
    <w:p w14:paraId="6CDEB0BA" w14:textId="77777777" w:rsidR="009E01D7" w:rsidRPr="00894BDB" w:rsidRDefault="009E01D7" w:rsidP="009E01D7">
      <w:pPr>
        <w:pStyle w:val="Default"/>
        <w:spacing w:line="360" w:lineRule="auto"/>
        <w:ind w:left="426" w:hanging="426"/>
      </w:pPr>
      <w:r w:rsidRPr="00894BDB">
        <w:t>1.1 Posilnenie regionálnej mobility prepojením sekundárnych a terciárnych uzlov (cesty 2</w:t>
      </w:r>
      <w:r>
        <w:t xml:space="preserve">. a 3. </w:t>
      </w:r>
      <w:r w:rsidRPr="00894BDB">
        <w:t>triedy, vrátane mostov a značenia)</w:t>
      </w:r>
    </w:p>
    <w:p w14:paraId="362EAEBB" w14:textId="77777777" w:rsidR="009E01D7" w:rsidRPr="00894BDB" w:rsidRDefault="009E01D7" w:rsidP="009E01D7">
      <w:pPr>
        <w:pStyle w:val="Default"/>
        <w:spacing w:line="360" w:lineRule="auto"/>
      </w:pPr>
      <w:r>
        <w:t>1.2 B</w:t>
      </w:r>
      <w:r w:rsidRPr="00894BDB">
        <w:t>ezmotorové doprava (cyklotrasy, cyklotrasy, vrátane značenia)</w:t>
      </w:r>
    </w:p>
    <w:p w14:paraId="37F209C9" w14:textId="77777777" w:rsidR="009E01D7" w:rsidRPr="00035736" w:rsidRDefault="009E01D7" w:rsidP="009E01D7">
      <w:pPr>
        <w:pStyle w:val="Default"/>
        <w:spacing w:before="120" w:line="360" w:lineRule="auto"/>
        <w:rPr>
          <w:i/>
        </w:rPr>
      </w:pPr>
      <w:r w:rsidRPr="00035736">
        <w:rPr>
          <w:i/>
        </w:rPr>
        <w:t>OS 2 - Životné prostredie, kultúrne a prírodné dedičstvo</w:t>
      </w:r>
    </w:p>
    <w:p w14:paraId="5B6E334B" w14:textId="77777777" w:rsidR="009E01D7" w:rsidRPr="002150FF" w:rsidRDefault="009E01D7" w:rsidP="009E01D7">
      <w:pPr>
        <w:pStyle w:val="Default"/>
        <w:spacing w:line="360" w:lineRule="auto"/>
      </w:pPr>
      <w:r w:rsidRPr="002150FF">
        <w:t>Opatrenia</w:t>
      </w:r>
      <w:r>
        <w:t>:</w:t>
      </w:r>
    </w:p>
    <w:p w14:paraId="2DB2A4D5" w14:textId="77777777" w:rsidR="009E01D7" w:rsidRPr="002150FF" w:rsidRDefault="009E01D7" w:rsidP="009E01D7">
      <w:pPr>
        <w:pStyle w:val="Default"/>
        <w:spacing w:line="360" w:lineRule="auto"/>
        <w:ind w:left="426" w:hanging="426"/>
      </w:pPr>
      <w:r w:rsidRPr="002150FF">
        <w:t xml:space="preserve">2.1 Ochrana a obnova biodiverzity a pôdy a podpory ekosystémových služieb vrátane </w:t>
      </w:r>
      <w:r>
        <w:t xml:space="preserve"> </w:t>
      </w:r>
      <w:r w:rsidRPr="002150FF">
        <w:t>NATURA 2000 a zelených infraštruktúr</w:t>
      </w:r>
    </w:p>
    <w:p w14:paraId="396A3807" w14:textId="77777777" w:rsidR="009E01D7" w:rsidRPr="002150FF" w:rsidRDefault="009E01D7" w:rsidP="009E01D7">
      <w:pPr>
        <w:pStyle w:val="Default"/>
        <w:spacing w:line="360" w:lineRule="auto"/>
      </w:pPr>
      <w:r w:rsidRPr="002150FF">
        <w:t>2.2 Zachovanie, ochrana, podpora a rozvoj prírodného a kultúrneho dedičstva (cestovný ruch)</w:t>
      </w:r>
    </w:p>
    <w:p w14:paraId="3AF4244F" w14:textId="77777777" w:rsidR="009E01D7" w:rsidRPr="00035736" w:rsidRDefault="009E01D7" w:rsidP="009E01D7">
      <w:pPr>
        <w:pStyle w:val="Default"/>
        <w:spacing w:before="120" w:line="360" w:lineRule="auto"/>
        <w:rPr>
          <w:i/>
        </w:rPr>
      </w:pPr>
      <w:r w:rsidRPr="00035736">
        <w:rPr>
          <w:i/>
        </w:rPr>
        <w:t>OS 3 - Vzdelávanie, trh práce, zamestnanosť a inovácie</w:t>
      </w:r>
    </w:p>
    <w:p w14:paraId="4321B447" w14:textId="77777777" w:rsidR="009E01D7" w:rsidRPr="002150FF" w:rsidRDefault="009E01D7" w:rsidP="009E01D7">
      <w:pPr>
        <w:pStyle w:val="Default"/>
        <w:spacing w:line="360" w:lineRule="auto"/>
      </w:pPr>
      <w:r w:rsidRPr="002150FF">
        <w:lastRenderedPageBreak/>
        <w:t>Opatrenia</w:t>
      </w:r>
      <w:r>
        <w:t>:</w:t>
      </w:r>
    </w:p>
    <w:p w14:paraId="7F0DEFDD" w14:textId="77777777" w:rsidR="009E01D7" w:rsidRPr="002150FF" w:rsidRDefault="009E01D7" w:rsidP="009E01D7">
      <w:pPr>
        <w:pStyle w:val="Default"/>
        <w:spacing w:line="360" w:lineRule="auto"/>
        <w:ind w:left="426" w:hanging="426"/>
      </w:pPr>
      <w:r w:rsidRPr="002150FF">
        <w:t>3.1 Investície do vzdelania, školení a odbornej prípravy, ako aj zručností a celoživotného vzdelávania pomocou: prípravy a realizácie spoločných vzdelávacích, odborných vzdelávacích a školiacich programov</w:t>
      </w:r>
    </w:p>
    <w:p w14:paraId="54B7FCF3" w14:textId="77777777" w:rsidR="009E01D7" w:rsidRDefault="009E01D7" w:rsidP="009E01D7">
      <w:pPr>
        <w:pStyle w:val="Default"/>
        <w:spacing w:line="360" w:lineRule="auto"/>
        <w:ind w:left="426" w:hanging="426"/>
      </w:pPr>
      <w:r w:rsidRPr="002150FF">
        <w:t>3.2 Podpora investícií podnikov do inovácií a vytváranie väzieb a súčinnosti medzi podnikmi v</w:t>
      </w:r>
      <w:r>
        <w:t> </w:t>
      </w:r>
      <w:r w:rsidRPr="002150FF">
        <w:t>pohraničí</w:t>
      </w:r>
    </w:p>
    <w:p w14:paraId="316FE64C" w14:textId="77777777" w:rsidR="009E01D7" w:rsidRDefault="009E01D7" w:rsidP="009E01D7">
      <w:pPr>
        <w:pStyle w:val="Default"/>
        <w:spacing w:line="360" w:lineRule="auto"/>
        <w:rPr>
          <w:bCs/>
          <w:sz w:val="18"/>
          <w:szCs w:val="18"/>
          <w:highlight w:val="yellow"/>
        </w:rPr>
      </w:pPr>
    </w:p>
    <w:p w14:paraId="2CE2BA4B" w14:textId="77777777" w:rsidR="009E01D7" w:rsidRPr="00894BDB" w:rsidRDefault="009E01D7" w:rsidP="009E01D7">
      <w:pPr>
        <w:spacing w:after="0" w:line="360" w:lineRule="auto"/>
        <w:jc w:val="both"/>
        <w:rPr>
          <w:rFonts w:ascii="Times New Roman" w:hAnsi="Times New Roman" w:cs="Times New Roman"/>
          <w:i/>
          <w:sz w:val="24"/>
          <w:szCs w:val="24"/>
          <w:u w:val="single"/>
        </w:rPr>
      </w:pPr>
      <w:r w:rsidRPr="00894BDB">
        <w:rPr>
          <w:rFonts w:ascii="Times New Roman" w:hAnsi="Times New Roman" w:cs="Times New Roman"/>
          <w:i/>
          <w:sz w:val="24"/>
          <w:szCs w:val="24"/>
          <w:u w:val="single"/>
        </w:rPr>
        <w:t>Koncepcia rozvoja cestovného ruchu  v regióne pod Veľkou Javorinou a Bradlom</w:t>
      </w:r>
    </w:p>
    <w:p w14:paraId="11118A11" w14:textId="77777777" w:rsidR="009E01D7" w:rsidRPr="00894BDB" w:rsidRDefault="009E01D7" w:rsidP="009E01D7">
      <w:pPr>
        <w:pStyle w:val="Default"/>
        <w:spacing w:before="120" w:line="360" w:lineRule="auto"/>
      </w:pPr>
      <w:r>
        <w:tab/>
      </w:r>
      <w:r w:rsidRPr="00894BDB">
        <w:t>Strategický</w:t>
      </w:r>
      <w:r>
        <w:t>m</w:t>
      </w:r>
      <w:r w:rsidRPr="00894BDB">
        <w:t xml:space="preserve"> cieľ</w:t>
      </w:r>
      <w:r>
        <w:t>om je rozvoj</w:t>
      </w:r>
      <w:r w:rsidRPr="00894BDB">
        <w:t xml:space="preserve"> cestovného ruchu Kopaničiarskeho regiónu</w:t>
      </w:r>
      <w:r>
        <w:t xml:space="preserve"> Pod Veľkou Javorinou a Bradlom</w:t>
      </w:r>
      <w:r w:rsidRPr="00894BDB">
        <w:t>:</w:t>
      </w:r>
    </w:p>
    <w:p w14:paraId="68EA7834" w14:textId="77777777" w:rsidR="009E01D7" w:rsidRDefault="009E01D7" w:rsidP="003301D6">
      <w:pPr>
        <w:pStyle w:val="Default"/>
        <w:numPr>
          <w:ilvl w:val="0"/>
          <w:numId w:val="36"/>
        </w:numPr>
        <w:spacing w:line="360" w:lineRule="auto"/>
        <w:ind w:left="851"/>
      </w:pPr>
      <w:r w:rsidRPr="00894BDB">
        <w:t>využiť potenciál regiónu pre komplexnú atraktívnu ponuku so špecifickými originálnymi inovatívnymi produktmi pre cieľové skupiny návštevníkov pri využití nových trendov v ponuke cestovného ruchu a informačno-komunikačných technológií v cestovnom ruchu.</w:t>
      </w:r>
    </w:p>
    <w:p w14:paraId="06124E6B" w14:textId="77777777" w:rsidR="009E01D7" w:rsidRDefault="009E01D7" w:rsidP="009E01D7">
      <w:pPr>
        <w:pStyle w:val="Default"/>
        <w:spacing w:line="360" w:lineRule="auto"/>
      </w:pPr>
    </w:p>
    <w:p w14:paraId="07570517" w14:textId="77777777" w:rsidR="009E01D7" w:rsidRPr="004272B9" w:rsidRDefault="009E01D7" w:rsidP="009E01D7">
      <w:pPr>
        <w:pStyle w:val="Default"/>
        <w:spacing w:line="360" w:lineRule="auto"/>
        <w:rPr>
          <w:i/>
          <w:u w:val="single"/>
        </w:rPr>
      </w:pPr>
      <w:r w:rsidRPr="004272B9">
        <w:rPr>
          <w:i/>
          <w:u w:val="single"/>
        </w:rPr>
        <w:t>Stratégia budovania cyklochodníkov a cyklotrás v kopaničiarskom a horňáckom regióne</w:t>
      </w:r>
    </w:p>
    <w:p w14:paraId="306AE8E5" w14:textId="77777777" w:rsidR="009E01D7" w:rsidRPr="002150FF" w:rsidRDefault="009E01D7" w:rsidP="009E01D7">
      <w:pPr>
        <w:pStyle w:val="Default"/>
        <w:spacing w:before="120" w:line="360" w:lineRule="auto"/>
      </w:pPr>
      <w:r>
        <w:tab/>
      </w:r>
      <w:r w:rsidRPr="002150FF">
        <w:t xml:space="preserve">Cieľom spracovaného dokumentu je vykonať pasportizáciu súčasného stavu cyklotrás a cykloturistiky na území Kopaničiarskeho a Horňáckeho regiónu so zameraním na ich cezhraničné prepojenie. Ďalším cieľom je navrhnúť zmeny v sieti cyklochodníkov a cykloturistických trás v riešenom území, aby sa táto sieť optimalizovala, doplnila a zmodernizovala tak, aby bola zmysluplne využiteľná ako cykloprodukt v riešenej oblasti. </w:t>
      </w:r>
      <w:r>
        <w:tab/>
      </w:r>
      <w:r w:rsidRPr="002150FF">
        <w:t xml:space="preserve">Ďalším cieľom je nájsť a rozšíriť možnosti priameho prepojenia siete cyklotrás medzi Slovenskou republikou a Českou republikou v hraničnom priestore Kopaničiarskeho a Horňáckeho regiónu. </w:t>
      </w:r>
    </w:p>
    <w:p w14:paraId="1075731C" w14:textId="77777777" w:rsidR="009E01D7" w:rsidRDefault="009E01D7" w:rsidP="009E01D7">
      <w:pPr>
        <w:pStyle w:val="Default"/>
        <w:spacing w:line="360" w:lineRule="auto"/>
      </w:pPr>
      <w:r w:rsidRPr="002150FF">
        <w:t xml:space="preserve">V definovaných cieľoch stratégie v riešenom území bolo prioritne stanovené: </w:t>
      </w:r>
    </w:p>
    <w:p w14:paraId="04CDAB74" w14:textId="77777777" w:rsidR="009E01D7" w:rsidRPr="002150FF" w:rsidRDefault="009E01D7" w:rsidP="003301D6">
      <w:pPr>
        <w:pStyle w:val="Default"/>
        <w:widowControl/>
        <w:numPr>
          <w:ilvl w:val="0"/>
          <w:numId w:val="34"/>
        </w:numPr>
        <w:spacing w:line="360" w:lineRule="auto"/>
        <w:textAlignment w:val="auto"/>
      </w:pPr>
      <w:r w:rsidRPr="002150FF">
        <w:t>dosiahnuť optimalizáciu siete cyklotrás a cykloturistických trás</w:t>
      </w:r>
      <w:r w:rsidR="009542A3">
        <w:t>,</w:t>
      </w:r>
      <w:r w:rsidRPr="002150FF">
        <w:t xml:space="preserve"> </w:t>
      </w:r>
    </w:p>
    <w:p w14:paraId="6137300B" w14:textId="77777777" w:rsidR="009E01D7" w:rsidRPr="002150FF" w:rsidRDefault="009E01D7" w:rsidP="003301D6">
      <w:pPr>
        <w:pStyle w:val="Default"/>
        <w:widowControl/>
        <w:numPr>
          <w:ilvl w:val="0"/>
          <w:numId w:val="34"/>
        </w:numPr>
        <w:spacing w:line="360" w:lineRule="auto"/>
        <w:textAlignment w:val="auto"/>
      </w:pPr>
      <w:r w:rsidRPr="002150FF">
        <w:t>rekognoskácia minimálne 200 km nových cykloturistických trás</w:t>
      </w:r>
      <w:r w:rsidR="009542A3">
        <w:t>,</w:t>
      </w:r>
      <w:r w:rsidRPr="002150FF">
        <w:t xml:space="preserve"> </w:t>
      </w:r>
    </w:p>
    <w:p w14:paraId="1D3B0AF6" w14:textId="77777777" w:rsidR="009E01D7" w:rsidRPr="002150FF" w:rsidRDefault="009E01D7" w:rsidP="003301D6">
      <w:pPr>
        <w:pStyle w:val="Default"/>
        <w:widowControl/>
        <w:numPr>
          <w:ilvl w:val="0"/>
          <w:numId w:val="34"/>
        </w:numPr>
        <w:spacing w:line="360" w:lineRule="auto"/>
        <w:textAlignment w:val="auto"/>
      </w:pPr>
      <w:r w:rsidRPr="002150FF">
        <w:t>spracovanie minimálne 10 zjednodušených dokumentáci</w:t>
      </w:r>
      <w:r w:rsidR="009542A3">
        <w:t>í nových cykloturistických trás,</w:t>
      </w:r>
    </w:p>
    <w:p w14:paraId="7D204798" w14:textId="77777777" w:rsidR="009E01D7" w:rsidRPr="002150FF" w:rsidRDefault="009E01D7" w:rsidP="003301D6">
      <w:pPr>
        <w:pStyle w:val="Default"/>
        <w:widowControl/>
        <w:numPr>
          <w:ilvl w:val="0"/>
          <w:numId w:val="34"/>
        </w:numPr>
        <w:spacing w:line="360" w:lineRule="auto"/>
        <w:textAlignment w:val="auto"/>
      </w:pPr>
      <w:r w:rsidRPr="002150FF">
        <w:t>rekognoskácia a návrhy možných úsekov cyklochodníkov, návrh pilotného cyklochodníka na realizáciu</w:t>
      </w:r>
      <w:r w:rsidR="009542A3">
        <w:t>,</w:t>
      </w:r>
      <w:r w:rsidRPr="002150FF">
        <w:t xml:space="preserve"> </w:t>
      </w:r>
    </w:p>
    <w:p w14:paraId="5A679651" w14:textId="77777777" w:rsidR="009E01D7" w:rsidRPr="002150FF" w:rsidRDefault="009E01D7" w:rsidP="003301D6">
      <w:pPr>
        <w:pStyle w:val="Default"/>
        <w:widowControl/>
        <w:numPr>
          <w:ilvl w:val="0"/>
          <w:numId w:val="34"/>
        </w:numPr>
        <w:spacing w:line="360" w:lineRule="auto"/>
        <w:textAlignment w:val="auto"/>
      </w:pPr>
      <w:r w:rsidRPr="002150FF">
        <w:t>rekognoskácia a vyhľadanie hraničných prepojení v sieti cyklotrás na oboch stranách hranice, v cestnej i horskej cykloturistike</w:t>
      </w:r>
      <w:r w:rsidR="009542A3">
        <w:t>,</w:t>
      </w:r>
      <w:r w:rsidRPr="002150FF">
        <w:t xml:space="preserve"> </w:t>
      </w:r>
    </w:p>
    <w:p w14:paraId="52FE8441" w14:textId="77777777" w:rsidR="009E01D7" w:rsidRPr="002150FF" w:rsidRDefault="009E01D7" w:rsidP="003301D6">
      <w:pPr>
        <w:pStyle w:val="Default"/>
        <w:widowControl/>
        <w:numPr>
          <w:ilvl w:val="0"/>
          <w:numId w:val="34"/>
        </w:numPr>
        <w:spacing w:line="360" w:lineRule="auto"/>
        <w:textAlignment w:val="auto"/>
      </w:pPr>
      <w:r w:rsidRPr="002150FF">
        <w:lastRenderedPageBreak/>
        <w:t>nájdenie a definovanie spoločného cykloproduktu</w:t>
      </w:r>
      <w:r w:rsidR="009542A3">
        <w:t>,</w:t>
      </w:r>
      <w:r w:rsidRPr="002150FF">
        <w:t xml:space="preserve"> </w:t>
      </w:r>
    </w:p>
    <w:p w14:paraId="0924A1DC" w14:textId="77777777" w:rsidR="009E01D7" w:rsidRPr="002150FF" w:rsidRDefault="009E01D7" w:rsidP="003301D6">
      <w:pPr>
        <w:pStyle w:val="Default"/>
        <w:widowControl/>
        <w:numPr>
          <w:ilvl w:val="0"/>
          <w:numId w:val="34"/>
        </w:numPr>
        <w:spacing w:line="360" w:lineRule="auto"/>
        <w:textAlignment w:val="auto"/>
      </w:pPr>
      <w:r w:rsidRPr="002150FF">
        <w:t>modernizácia siete cyklotrás, návrhy čiastkových riešení pre jej zefektívnenie</w:t>
      </w:r>
      <w:r w:rsidR="009542A3">
        <w:t>,</w:t>
      </w:r>
      <w:r w:rsidRPr="002150FF">
        <w:t xml:space="preserve"> </w:t>
      </w:r>
    </w:p>
    <w:p w14:paraId="5D622C24" w14:textId="77777777" w:rsidR="009E01D7" w:rsidRPr="00894BDB" w:rsidRDefault="009E01D7" w:rsidP="003301D6">
      <w:pPr>
        <w:pStyle w:val="Odsekzoznamu"/>
        <w:numPr>
          <w:ilvl w:val="0"/>
          <w:numId w:val="34"/>
        </w:numPr>
        <w:spacing w:after="160" w:line="360" w:lineRule="auto"/>
        <w:jc w:val="both"/>
        <w:rPr>
          <w:rFonts w:ascii="Times New Roman" w:hAnsi="Times New Roman" w:cs="Times New Roman"/>
          <w:sz w:val="24"/>
          <w:szCs w:val="24"/>
        </w:rPr>
      </w:pPr>
      <w:r w:rsidRPr="00894BDB">
        <w:rPr>
          <w:rFonts w:ascii="Times New Roman" w:hAnsi="Times New Roman" w:cs="Times New Roman"/>
          <w:sz w:val="24"/>
          <w:szCs w:val="24"/>
        </w:rPr>
        <w:t>určenie a definovanie vybraných strategických návrhov a opatrení.</w:t>
      </w:r>
    </w:p>
    <w:p w14:paraId="1A445C43" w14:textId="77777777" w:rsidR="009E01D7" w:rsidRDefault="009E01D7" w:rsidP="009E01D7">
      <w:pPr>
        <w:spacing w:line="360" w:lineRule="auto"/>
        <w:jc w:val="both"/>
        <w:rPr>
          <w:rFonts w:ascii="Times New Roman" w:hAnsi="Times New Roman" w:cs="Times New Roman"/>
          <w:sz w:val="24"/>
          <w:szCs w:val="24"/>
        </w:rPr>
      </w:pPr>
    </w:p>
    <w:p w14:paraId="4B94417E" w14:textId="77777777" w:rsidR="009E01D7" w:rsidRPr="004272B9" w:rsidRDefault="009E01D7" w:rsidP="009542A3">
      <w:pPr>
        <w:spacing w:after="0" w:line="360" w:lineRule="auto"/>
        <w:jc w:val="both"/>
        <w:rPr>
          <w:rFonts w:ascii="Times New Roman" w:hAnsi="Times New Roman" w:cs="Times New Roman"/>
          <w:i/>
          <w:sz w:val="24"/>
          <w:szCs w:val="24"/>
          <w:u w:val="single"/>
        </w:rPr>
      </w:pPr>
      <w:r w:rsidRPr="004272B9">
        <w:rPr>
          <w:rFonts w:ascii="Times New Roman" w:hAnsi="Times New Roman" w:cs="Times New Roman"/>
          <w:i/>
          <w:sz w:val="24"/>
          <w:szCs w:val="24"/>
          <w:u w:val="single"/>
        </w:rPr>
        <w:t>Štúdia rozvoja hipoturistiky kop</w:t>
      </w:r>
      <w:r>
        <w:rPr>
          <w:rFonts w:ascii="Times New Roman" w:hAnsi="Times New Roman" w:cs="Times New Roman"/>
          <w:i/>
          <w:sz w:val="24"/>
          <w:szCs w:val="24"/>
          <w:u w:val="single"/>
        </w:rPr>
        <w:t>aničiarskom a horňáckom regióne</w:t>
      </w:r>
    </w:p>
    <w:p w14:paraId="11A15FBC" w14:textId="77777777" w:rsidR="009E01D7" w:rsidRDefault="009542A3" w:rsidP="009542A3">
      <w:pPr>
        <w:autoSpaceDE w:val="0"/>
        <w:autoSpaceDN w:val="0"/>
        <w:adjustRightInd w:val="0"/>
        <w:spacing w:before="12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E01D7" w:rsidRPr="002150FF">
        <w:rPr>
          <w:rFonts w:ascii="Times New Roman" w:hAnsi="Times New Roman" w:cs="Times New Roman"/>
          <w:color w:val="000000"/>
          <w:sz w:val="24"/>
          <w:szCs w:val="24"/>
        </w:rPr>
        <w:t xml:space="preserve">Štúdia po zmapovaní súčasného stavu a podmienok pre jazdeckú turistiku s prihliadnutím na všetky aspekty – východiskový stav jazdeckých trás, kvalita lesných ciest, ochrana </w:t>
      </w:r>
      <w:r w:rsidR="009E01D7">
        <w:rPr>
          <w:rFonts w:ascii="Times New Roman" w:hAnsi="Times New Roman" w:cs="Times New Roman"/>
          <w:color w:val="000000"/>
          <w:sz w:val="24"/>
          <w:szCs w:val="24"/>
        </w:rPr>
        <w:t>životného prostredia, majetkovo</w:t>
      </w:r>
      <w:r w:rsidR="009E01D7" w:rsidRPr="002150FF">
        <w:rPr>
          <w:rFonts w:ascii="Times New Roman" w:hAnsi="Times New Roman" w:cs="Times New Roman"/>
          <w:color w:val="000000"/>
          <w:sz w:val="24"/>
          <w:szCs w:val="24"/>
        </w:rPr>
        <w:t xml:space="preserve"> právne pomery, atraktivita územia, hraničné prepojenie, zaujímavosti a pamiatky okolia – umožnila navrhnú</w:t>
      </w:r>
      <w:r w:rsidR="009E01D7">
        <w:rPr>
          <w:rFonts w:ascii="Times New Roman" w:hAnsi="Times New Roman" w:cs="Times New Roman"/>
          <w:color w:val="000000"/>
          <w:sz w:val="24"/>
          <w:szCs w:val="24"/>
        </w:rPr>
        <w:t>ť</w:t>
      </w:r>
      <w:r w:rsidR="009E01D7" w:rsidRPr="002150FF">
        <w:rPr>
          <w:rFonts w:ascii="Times New Roman" w:hAnsi="Times New Roman" w:cs="Times New Roman"/>
          <w:color w:val="000000"/>
          <w:sz w:val="24"/>
          <w:szCs w:val="24"/>
        </w:rPr>
        <w:t xml:space="preserve"> konkrétne kroky k reali</w:t>
      </w:r>
      <w:r w:rsidR="009E01D7">
        <w:rPr>
          <w:rFonts w:ascii="Times New Roman" w:hAnsi="Times New Roman" w:cs="Times New Roman"/>
          <w:color w:val="000000"/>
          <w:sz w:val="24"/>
          <w:szCs w:val="24"/>
        </w:rPr>
        <w:t>zácii jazdeckých trás na území k</w:t>
      </w:r>
      <w:r w:rsidR="009E01D7" w:rsidRPr="002150FF">
        <w:rPr>
          <w:rFonts w:ascii="Times New Roman" w:hAnsi="Times New Roman" w:cs="Times New Roman"/>
          <w:color w:val="000000"/>
          <w:sz w:val="24"/>
          <w:szCs w:val="24"/>
        </w:rPr>
        <w:t xml:space="preserve">opaničiarskeho a </w:t>
      </w:r>
      <w:r w:rsidR="009E01D7">
        <w:rPr>
          <w:rFonts w:ascii="Times New Roman" w:hAnsi="Times New Roman" w:cs="Times New Roman"/>
          <w:color w:val="000000"/>
          <w:sz w:val="24"/>
          <w:szCs w:val="24"/>
        </w:rPr>
        <w:t>h</w:t>
      </w:r>
      <w:r w:rsidR="009E01D7" w:rsidRPr="002150FF">
        <w:rPr>
          <w:rFonts w:ascii="Times New Roman" w:hAnsi="Times New Roman" w:cs="Times New Roman"/>
          <w:color w:val="000000"/>
          <w:sz w:val="24"/>
          <w:szCs w:val="24"/>
        </w:rPr>
        <w:t xml:space="preserve">orňáckeho regiónu. </w:t>
      </w:r>
      <w:r w:rsidR="009E01D7">
        <w:rPr>
          <w:rFonts w:ascii="Times New Roman" w:hAnsi="Times New Roman" w:cs="Times New Roman"/>
          <w:color w:val="000000"/>
          <w:sz w:val="24"/>
          <w:szCs w:val="24"/>
        </w:rPr>
        <w:t xml:space="preserve">Cieľom je v časom horizonte zrealizovať cca 100 km hipotrás prepájajúcich horňácko s kopaničiarskym regiónom a vybudovanej potrebnej infraštruktúry ako sú úväziská či napájadla pre kone. </w:t>
      </w:r>
    </w:p>
    <w:p w14:paraId="76E2646B" w14:textId="77777777" w:rsidR="009E01D7" w:rsidRDefault="009E01D7" w:rsidP="009E01D7">
      <w:pPr>
        <w:autoSpaceDE w:val="0"/>
        <w:autoSpaceDN w:val="0"/>
        <w:adjustRightInd w:val="0"/>
        <w:spacing w:after="0" w:line="360" w:lineRule="auto"/>
        <w:jc w:val="both"/>
        <w:rPr>
          <w:rFonts w:ascii="Times New Roman" w:hAnsi="Times New Roman" w:cs="Times New Roman"/>
          <w:color w:val="000000"/>
          <w:sz w:val="24"/>
          <w:szCs w:val="24"/>
        </w:rPr>
      </w:pPr>
    </w:p>
    <w:p w14:paraId="663354C1" w14:textId="77777777" w:rsidR="009E01D7" w:rsidRPr="004272B9" w:rsidRDefault="009E01D7" w:rsidP="009E01D7">
      <w:pPr>
        <w:spacing w:line="360" w:lineRule="auto"/>
        <w:jc w:val="both"/>
        <w:rPr>
          <w:rFonts w:ascii="Times New Roman" w:hAnsi="Times New Roman" w:cs="Times New Roman"/>
          <w:i/>
          <w:sz w:val="24"/>
          <w:szCs w:val="24"/>
          <w:u w:val="single"/>
        </w:rPr>
      </w:pPr>
      <w:r w:rsidRPr="004272B9">
        <w:rPr>
          <w:rFonts w:ascii="Times New Roman" w:hAnsi="Times New Roman" w:cs="Times New Roman"/>
          <w:i/>
          <w:sz w:val="24"/>
          <w:szCs w:val="24"/>
          <w:u w:val="single"/>
        </w:rPr>
        <w:t>Stratégia rozvoja bežeckého lyžovania a zimnej turistiky v Bielych Karpatoch pre obdobie 2015-2020</w:t>
      </w:r>
      <w:r>
        <w:rPr>
          <w:rFonts w:ascii="Times New Roman" w:hAnsi="Times New Roman" w:cs="Times New Roman"/>
          <w:i/>
          <w:sz w:val="24"/>
          <w:szCs w:val="24"/>
          <w:u w:val="single"/>
        </w:rPr>
        <w:t xml:space="preserve"> </w:t>
      </w:r>
      <w:r w:rsidRPr="004272B9">
        <w:rPr>
          <w:rFonts w:ascii="Times New Roman" w:hAnsi="Times New Roman" w:cs="Times New Roman"/>
          <w:sz w:val="24"/>
          <w:szCs w:val="24"/>
        </w:rPr>
        <w:t xml:space="preserve">slúži ako podklad pre rozvoj územia </w:t>
      </w:r>
      <w:r>
        <w:rPr>
          <w:rFonts w:ascii="Times New Roman" w:hAnsi="Times New Roman" w:cs="Times New Roman"/>
          <w:sz w:val="24"/>
          <w:szCs w:val="24"/>
        </w:rPr>
        <w:t xml:space="preserve">v tejto oblasti </w:t>
      </w:r>
      <w:r w:rsidRPr="004272B9">
        <w:rPr>
          <w:rFonts w:ascii="Times New Roman" w:hAnsi="Times New Roman" w:cs="Times New Roman"/>
          <w:sz w:val="24"/>
          <w:szCs w:val="24"/>
        </w:rPr>
        <w:t>pre roky 2015-2020</w:t>
      </w:r>
      <w:r>
        <w:rPr>
          <w:rFonts w:ascii="Times New Roman" w:hAnsi="Times New Roman" w:cs="Times New Roman"/>
          <w:sz w:val="24"/>
          <w:szCs w:val="24"/>
        </w:rPr>
        <w:t>.</w:t>
      </w:r>
    </w:p>
    <w:p w14:paraId="5A4761EE" w14:textId="77777777" w:rsidR="009E01D7" w:rsidRDefault="009E01D7" w:rsidP="009542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Špecifickými cieľmi tejto stratégie je:</w:t>
      </w:r>
    </w:p>
    <w:p w14:paraId="7F84BDED" w14:textId="77777777" w:rsidR="009E01D7" w:rsidRPr="00253642" w:rsidRDefault="009E01D7" w:rsidP="003301D6">
      <w:pPr>
        <w:pStyle w:val="Odsekzoznamu"/>
        <w:numPr>
          <w:ilvl w:val="0"/>
          <w:numId w:val="35"/>
        </w:numPr>
        <w:spacing w:after="0" w:line="360" w:lineRule="auto"/>
        <w:jc w:val="both"/>
        <w:rPr>
          <w:rFonts w:ascii="Times New Roman" w:hAnsi="Times New Roman" w:cs="Times New Roman"/>
          <w:sz w:val="24"/>
          <w:szCs w:val="24"/>
        </w:rPr>
      </w:pPr>
      <w:r w:rsidRPr="00253642">
        <w:rPr>
          <w:rFonts w:ascii="Times New Roman" w:hAnsi="Times New Roman" w:cs="Times New Roman"/>
          <w:sz w:val="24"/>
          <w:szCs w:val="24"/>
        </w:rPr>
        <w:t>Identifikácia existujúceho stavu bežeckého lyžovania a zimnej turistiky v Bielych Karpatoch vrátane regionálnych rozdielov v cezhraničnom území</w:t>
      </w:r>
    </w:p>
    <w:p w14:paraId="22771E77" w14:textId="77777777" w:rsidR="009E01D7" w:rsidRPr="00253642" w:rsidRDefault="009E01D7" w:rsidP="003301D6">
      <w:pPr>
        <w:pStyle w:val="Odsekzoznamu"/>
        <w:numPr>
          <w:ilvl w:val="0"/>
          <w:numId w:val="35"/>
        </w:numPr>
        <w:spacing w:after="160" w:line="360" w:lineRule="auto"/>
        <w:jc w:val="both"/>
        <w:rPr>
          <w:rFonts w:ascii="Times New Roman" w:hAnsi="Times New Roman" w:cs="Times New Roman"/>
          <w:sz w:val="24"/>
          <w:szCs w:val="24"/>
        </w:rPr>
      </w:pPr>
      <w:r w:rsidRPr="00253642">
        <w:rPr>
          <w:rFonts w:ascii="Times New Roman" w:hAnsi="Times New Roman" w:cs="Times New Roman"/>
          <w:sz w:val="24"/>
          <w:szCs w:val="24"/>
        </w:rPr>
        <w:t>Definovanie faktorov rozvoja bežeckého lyžovania a zimnej turistiky v Bielych Karpatoch v rámci cezhraničného regiónu</w:t>
      </w:r>
    </w:p>
    <w:p w14:paraId="4ED88E53" w14:textId="77777777" w:rsidR="009E01D7" w:rsidRPr="00253642" w:rsidRDefault="009E01D7" w:rsidP="003301D6">
      <w:pPr>
        <w:pStyle w:val="Odsekzoznamu"/>
        <w:numPr>
          <w:ilvl w:val="0"/>
          <w:numId w:val="35"/>
        </w:numPr>
        <w:spacing w:after="160" w:line="360" w:lineRule="auto"/>
        <w:jc w:val="both"/>
        <w:rPr>
          <w:rFonts w:ascii="Times New Roman" w:hAnsi="Times New Roman" w:cs="Times New Roman"/>
          <w:sz w:val="24"/>
          <w:szCs w:val="24"/>
        </w:rPr>
      </w:pPr>
      <w:r w:rsidRPr="00253642">
        <w:rPr>
          <w:rFonts w:ascii="Times New Roman" w:hAnsi="Times New Roman" w:cs="Times New Roman"/>
          <w:sz w:val="24"/>
          <w:szCs w:val="24"/>
        </w:rPr>
        <w:t>Stanovenie konkrétnych spoločných cieľov rozvoja bežeckého lyžovania a zimnej turistiky v Bielych Karpatoch na úrovni cezhraničného regiónu</w:t>
      </w:r>
    </w:p>
    <w:p w14:paraId="64D8F0D9" w14:textId="77777777" w:rsidR="009E01D7" w:rsidRDefault="009E01D7" w:rsidP="003301D6">
      <w:pPr>
        <w:pStyle w:val="Odsekzoznamu"/>
        <w:numPr>
          <w:ilvl w:val="0"/>
          <w:numId w:val="35"/>
        </w:numPr>
        <w:spacing w:after="0" w:line="360" w:lineRule="auto"/>
        <w:jc w:val="both"/>
        <w:rPr>
          <w:rFonts w:ascii="Times New Roman" w:hAnsi="Times New Roman" w:cs="Times New Roman"/>
          <w:sz w:val="24"/>
          <w:szCs w:val="24"/>
        </w:rPr>
      </w:pPr>
      <w:r w:rsidRPr="00253642">
        <w:rPr>
          <w:rFonts w:ascii="Times New Roman" w:hAnsi="Times New Roman" w:cs="Times New Roman"/>
          <w:sz w:val="24"/>
          <w:szCs w:val="24"/>
        </w:rPr>
        <w:t>Koordinovanie postupu rozvoja bežeckého lyžovania a zimnej turistiky v Bielych Karpatoch na úrovni cezhraničného regiónu</w:t>
      </w:r>
    </w:p>
    <w:p w14:paraId="719CA7D8" w14:textId="77777777" w:rsidR="009542A3" w:rsidRPr="00253642" w:rsidRDefault="009542A3" w:rsidP="009542A3">
      <w:pPr>
        <w:pStyle w:val="Odsekzoznamu"/>
        <w:spacing w:after="0" w:line="360" w:lineRule="auto"/>
        <w:jc w:val="both"/>
        <w:rPr>
          <w:rFonts w:ascii="Times New Roman" w:hAnsi="Times New Roman" w:cs="Times New Roman"/>
          <w:sz w:val="24"/>
          <w:szCs w:val="24"/>
        </w:rPr>
      </w:pPr>
    </w:p>
    <w:p w14:paraId="21E002B4" w14:textId="77777777" w:rsidR="009E01D7" w:rsidRPr="004272B9" w:rsidRDefault="009E01D7" w:rsidP="009542A3">
      <w:pPr>
        <w:spacing w:after="0" w:line="360" w:lineRule="auto"/>
        <w:jc w:val="both"/>
        <w:rPr>
          <w:rFonts w:ascii="Times New Roman" w:hAnsi="Times New Roman" w:cs="Times New Roman"/>
          <w:i/>
          <w:sz w:val="24"/>
          <w:szCs w:val="24"/>
          <w:u w:val="single"/>
        </w:rPr>
      </w:pPr>
      <w:r w:rsidRPr="004272B9">
        <w:rPr>
          <w:rFonts w:ascii="Times New Roman" w:hAnsi="Times New Roman" w:cs="Times New Roman"/>
          <w:i/>
          <w:sz w:val="24"/>
          <w:szCs w:val="24"/>
          <w:u w:val="single"/>
        </w:rPr>
        <w:t>PHSR obcí na území MAS a ďalšie dokumenty</w:t>
      </w:r>
    </w:p>
    <w:p w14:paraId="29D48956" w14:textId="77777777" w:rsidR="009E01D7" w:rsidRPr="004272B9" w:rsidRDefault="009542A3" w:rsidP="009542A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E01D7" w:rsidRPr="004272B9">
        <w:rPr>
          <w:rFonts w:ascii="Times New Roman" w:hAnsi="Times New Roman" w:cs="Times New Roman"/>
          <w:sz w:val="24"/>
          <w:szCs w:val="24"/>
        </w:rPr>
        <w:t xml:space="preserve">Z 26 obcí Kopaničiarskeho regiónu majú Program hospodárskeho a sociálneho rozvoja (PHSR) na roky 2016 – 22 vypracované všetky obce. Všetky tieto PHSR majú jasne vymedzenú stratégiu rozvoja a prioritné smerovanie tej ktorej obce. </w:t>
      </w:r>
      <w:r w:rsidR="009E01D7">
        <w:rPr>
          <w:rFonts w:ascii="Times New Roman" w:hAnsi="Times New Roman" w:cs="Times New Roman"/>
          <w:sz w:val="24"/>
          <w:szCs w:val="24"/>
        </w:rPr>
        <w:t>CLLD stratégia  Kopaničiarskeho</w:t>
      </w:r>
      <w:r w:rsidR="009E01D7" w:rsidRPr="004272B9">
        <w:rPr>
          <w:rFonts w:ascii="Times New Roman" w:hAnsi="Times New Roman" w:cs="Times New Roman"/>
          <w:sz w:val="24"/>
          <w:szCs w:val="24"/>
        </w:rPr>
        <w:t xml:space="preserve"> región</w:t>
      </w:r>
      <w:r w:rsidR="009E01D7">
        <w:rPr>
          <w:rFonts w:ascii="Times New Roman" w:hAnsi="Times New Roman" w:cs="Times New Roman"/>
          <w:sz w:val="24"/>
          <w:szCs w:val="24"/>
        </w:rPr>
        <w:t>u</w:t>
      </w:r>
      <w:r w:rsidR="009E01D7" w:rsidRPr="004272B9">
        <w:rPr>
          <w:rFonts w:ascii="Times New Roman" w:hAnsi="Times New Roman" w:cs="Times New Roman"/>
          <w:sz w:val="24"/>
          <w:szCs w:val="24"/>
        </w:rPr>
        <w:t xml:space="preserve"> – miestna akčná skupina plne korešponduje so všetkými týmito PHSR a nie je s nimi v rozpore. Stratégia sa spracovávala takmer súbežne s PHSR, ktoré </w:t>
      </w:r>
      <w:r w:rsidR="009E01D7" w:rsidRPr="004272B9">
        <w:rPr>
          <w:rFonts w:ascii="Times New Roman" w:hAnsi="Times New Roman" w:cs="Times New Roman"/>
          <w:sz w:val="24"/>
          <w:szCs w:val="24"/>
        </w:rPr>
        <w:lastRenderedPageBreak/>
        <w:t>vypracovávali zamestnanci KR - MAS a jednotlivé PHSR pri jej vypracovaní slúžili aj ako podkladové materiály a zdroj informácií</w:t>
      </w:r>
      <w:r>
        <w:rPr>
          <w:rFonts w:ascii="Times New Roman" w:hAnsi="Times New Roman" w:cs="Times New Roman"/>
          <w:sz w:val="24"/>
          <w:szCs w:val="24"/>
        </w:rPr>
        <w:t>.</w:t>
      </w:r>
    </w:p>
    <w:p w14:paraId="59A568D4" w14:textId="77777777" w:rsidR="009E01D7" w:rsidRPr="004272B9" w:rsidRDefault="009542A3" w:rsidP="009E01D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E01D7" w:rsidRPr="004272B9">
        <w:rPr>
          <w:rFonts w:ascii="Times New Roman" w:hAnsi="Times New Roman" w:cs="Times New Roman"/>
          <w:sz w:val="24"/>
          <w:szCs w:val="24"/>
        </w:rPr>
        <w:t>Niektoré obce, najmä mestá regiónu, majú vypracované aj ďalšie strategické dokumenty, slúžiace na podporu rozvoja. Ide napr. o územné plány obce (mesta), urbanistické štúdie, krajinno-ekologické plány a ďalšie. V celkom Kopaničiarskom regióne má vypracované územné plány 8 obcí (Myjava, Stará Turá, Brezová pod Bradlom, Bzince pod Javorinou, Sobotište, Lubina, Krajné a Vrbovce), pričom obce Poriadie a Stará Myjava ich majú v štádiu rozpracovanosti.</w:t>
      </w:r>
    </w:p>
    <w:p w14:paraId="39B37CE2" w14:textId="77777777" w:rsidR="00637996" w:rsidRPr="00891B13" w:rsidRDefault="00637996" w:rsidP="00E37887">
      <w:pPr>
        <w:spacing w:after="0" w:line="360" w:lineRule="auto"/>
        <w:jc w:val="both"/>
        <w:rPr>
          <w:rFonts w:ascii="Times New Roman" w:hAnsi="Times New Roman" w:cs="Times New Roman"/>
          <w:sz w:val="24"/>
          <w:szCs w:val="24"/>
        </w:rPr>
      </w:pPr>
    </w:p>
    <w:p w14:paraId="35CACB36" w14:textId="77777777" w:rsidR="00AB47BE" w:rsidRPr="008A2FD0" w:rsidRDefault="008A2FD0" w:rsidP="009542A3">
      <w:pPr>
        <w:pStyle w:val="Nadpis2"/>
        <w:ind w:left="426"/>
      </w:pPr>
      <w:bookmarkStart w:id="2360" w:name="_Toc485645900"/>
      <w:r w:rsidRPr="008A2FD0">
        <w:t>7.</w:t>
      </w:r>
      <w:r w:rsidR="00C50E03">
        <w:t>4</w:t>
      </w:r>
      <w:r w:rsidRPr="008A2FD0">
        <w:t>.2</w:t>
      </w:r>
      <w:r w:rsidRPr="008A2FD0">
        <w:tab/>
      </w:r>
      <w:r w:rsidR="00423FD5" w:rsidRPr="008A2FD0">
        <w:t>Synergie a komplementarity</w:t>
      </w:r>
      <w:bookmarkEnd w:id="2360"/>
      <w:r w:rsidR="00423FD5" w:rsidRPr="008A2FD0">
        <w:t xml:space="preserve"> </w:t>
      </w:r>
    </w:p>
    <w:p w14:paraId="3FE299AE" w14:textId="77777777" w:rsidR="00D154B9" w:rsidRDefault="009542A3" w:rsidP="00767252">
      <w:pPr>
        <w:spacing w:before="120" w:after="0" w:line="360" w:lineRule="auto"/>
        <w:jc w:val="both"/>
        <w:rPr>
          <w:rFonts w:ascii="Times New Roman" w:hAnsi="Times New Roman" w:cs="Times New Roman"/>
          <w:bCs/>
        </w:rPr>
      </w:pPr>
      <w:r>
        <w:rPr>
          <w:rFonts w:ascii="Times New Roman" w:hAnsi="Times New Roman" w:cs="Times New Roman"/>
          <w:sz w:val="24"/>
          <w:szCs w:val="24"/>
        </w:rPr>
        <w:tab/>
      </w:r>
      <w:r w:rsidRPr="00143404">
        <w:rPr>
          <w:rFonts w:ascii="Times New Roman" w:hAnsi="Times New Roman" w:cs="Times New Roman"/>
          <w:sz w:val="24"/>
          <w:szCs w:val="24"/>
        </w:rPr>
        <w:t xml:space="preserve">Integrovaná stratégia rozvoja územia „Kopaničiarsky región – miestna akčná skupina“ CLLD je komplementárna s </w:t>
      </w:r>
      <w:r w:rsidRPr="004F7FA7">
        <w:rPr>
          <w:rFonts w:ascii="Times New Roman" w:hAnsi="Times New Roman" w:cs="Times New Roman"/>
          <w:i/>
          <w:sz w:val="24"/>
          <w:szCs w:val="24"/>
          <w:u w:val="single"/>
        </w:rPr>
        <w:t>Spoločnou cezhraničnou stratégiou udržateľného rozvoja Horňácka - Kopaníc 2014-2020</w:t>
      </w:r>
      <w:r w:rsidRPr="004F7FA7">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bCs/>
        </w:rPr>
        <w:t>O</w:t>
      </w:r>
      <w:r w:rsidRPr="00894BDB">
        <w:rPr>
          <w:rFonts w:ascii="Times New Roman" w:hAnsi="Times New Roman" w:cs="Times New Roman"/>
          <w:bCs/>
        </w:rPr>
        <w:t>sy a opatrenia sa vzájomne doplňujú  a majú synergický efekt</w:t>
      </w:r>
      <w:r>
        <w:rPr>
          <w:rFonts w:ascii="Times New Roman" w:hAnsi="Times New Roman" w:cs="Times New Roman"/>
          <w:bCs/>
        </w:rPr>
        <w:t xml:space="preserve"> s opatreniami v rámci CLLD.</w:t>
      </w:r>
    </w:p>
    <w:p w14:paraId="732E717D" w14:textId="77777777" w:rsidR="00767252" w:rsidRDefault="00767252" w:rsidP="00D154B9">
      <w:pPr>
        <w:spacing w:after="0" w:line="360" w:lineRule="auto"/>
        <w:jc w:val="both"/>
        <w:rPr>
          <w:rFonts w:ascii="Times New Roman" w:hAnsi="Times New Roman" w:cs="Times New Roman"/>
          <w:bCs/>
        </w:rPr>
      </w:pPr>
      <w:r w:rsidRPr="00767252">
        <w:rPr>
          <w:rFonts w:ascii="Times New Roman" w:hAnsi="Times New Roman" w:cs="Times New Roman"/>
          <w:bCs/>
        </w:rPr>
        <w:t xml:space="preserve"> </w:t>
      </w:r>
      <w:r w:rsidRPr="00F44086">
        <w:rPr>
          <w:rFonts w:ascii="Times New Roman" w:hAnsi="Times New Roman" w:cs="Times New Roman"/>
          <w:bCs/>
        </w:rPr>
        <w:t>Reflektuje na ňu najmä opatreniami:</w:t>
      </w:r>
      <w:r>
        <w:rPr>
          <w:rFonts w:ascii="Times New Roman" w:hAnsi="Times New Roman" w:cs="Times New Roman"/>
          <w:bCs/>
        </w:rPr>
        <w:t xml:space="preserve"> </w:t>
      </w:r>
    </w:p>
    <w:p w14:paraId="57C4BAF9" w14:textId="77777777" w:rsidR="00767252" w:rsidRDefault="00767252" w:rsidP="00D154B9">
      <w:pPr>
        <w:pStyle w:val="Odsekzoznamu"/>
        <w:numPr>
          <w:ilvl w:val="0"/>
          <w:numId w:val="36"/>
        </w:numPr>
        <w:spacing w:after="0" w:line="360" w:lineRule="auto"/>
        <w:jc w:val="both"/>
        <w:rPr>
          <w:rFonts w:ascii="Times New Roman" w:hAnsi="Times New Roman" w:cs="Times New Roman"/>
          <w:sz w:val="24"/>
          <w:szCs w:val="24"/>
          <w:u w:val="single"/>
        </w:rPr>
      </w:pPr>
      <w:r w:rsidRPr="00F44086">
        <w:rPr>
          <w:rFonts w:ascii="Times New Roman" w:hAnsi="Times New Roman" w:cs="Times New Roman"/>
          <w:sz w:val="24"/>
          <w:szCs w:val="24"/>
          <w:u w:val="single"/>
        </w:rPr>
        <w:t>1.1 Podpora na investície do vytvárania, zlepšovania alebo rozširovania miestnych základných služieb pre vidiecke obyvateľstvo vrátane voľného času a kultúry a súvisiacej infraštruktúry</w:t>
      </w:r>
      <w:r w:rsidR="00D154B9">
        <w:rPr>
          <w:rFonts w:ascii="Times New Roman" w:hAnsi="Times New Roman" w:cs="Times New Roman"/>
          <w:sz w:val="24"/>
          <w:szCs w:val="24"/>
          <w:u w:val="single"/>
        </w:rPr>
        <w:t>,</w:t>
      </w:r>
      <w:r w:rsidRPr="00F44086">
        <w:rPr>
          <w:rFonts w:ascii="Times New Roman" w:hAnsi="Times New Roman" w:cs="Times New Roman"/>
          <w:sz w:val="24"/>
          <w:szCs w:val="24"/>
          <w:u w:val="single"/>
        </w:rPr>
        <w:t xml:space="preserve"> </w:t>
      </w:r>
    </w:p>
    <w:p w14:paraId="3145D852" w14:textId="77777777" w:rsidR="00767252" w:rsidRDefault="00767252" w:rsidP="00D154B9">
      <w:pPr>
        <w:pStyle w:val="Odsekzoznamu"/>
        <w:numPr>
          <w:ilvl w:val="0"/>
          <w:numId w:val="36"/>
        </w:numPr>
        <w:spacing w:after="0" w:line="360" w:lineRule="auto"/>
        <w:jc w:val="both"/>
        <w:rPr>
          <w:rFonts w:ascii="Times New Roman" w:hAnsi="Times New Roman" w:cs="Times New Roman"/>
          <w:sz w:val="24"/>
          <w:szCs w:val="24"/>
          <w:u w:val="single"/>
        </w:rPr>
      </w:pPr>
      <w:r w:rsidRPr="00F44086">
        <w:rPr>
          <w:rFonts w:ascii="Times New Roman" w:hAnsi="Times New Roman" w:cs="Times New Roman"/>
          <w:sz w:val="24"/>
          <w:szCs w:val="24"/>
          <w:u w:val="single"/>
        </w:rPr>
        <w:t>2.1 Podpora na investície do rekreačnej infraštruktúry, turistických informácií a do turistickej infraštruktúry malých rozmerov na verejné využitie</w:t>
      </w:r>
      <w:r w:rsidR="00D154B9">
        <w:rPr>
          <w:rFonts w:ascii="Times New Roman" w:hAnsi="Times New Roman" w:cs="Times New Roman"/>
          <w:sz w:val="24"/>
          <w:szCs w:val="24"/>
          <w:u w:val="single"/>
        </w:rPr>
        <w:t>,</w:t>
      </w:r>
      <w:r w:rsidRPr="00F44086">
        <w:rPr>
          <w:rFonts w:ascii="Times New Roman" w:hAnsi="Times New Roman" w:cs="Times New Roman"/>
          <w:sz w:val="24"/>
          <w:szCs w:val="24"/>
          <w:u w:val="single"/>
        </w:rPr>
        <w:t xml:space="preserve"> </w:t>
      </w:r>
    </w:p>
    <w:p w14:paraId="5F8890E9" w14:textId="77777777" w:rsidR="00767252" w:rsidRPr="00F44086" w:rsidRDefault="00767252" w:rsidP="00D154B9">
      <w:pPr>
        <w:pStyle w:val="Odsekzoznamu"/>
        <w:numPr>
          <w:ilvl w:val="0"/>
          <w:numId w:val="36"/>
        </w:numPr>
        <w:spacing w:after="0" w:line="360" w:lineRule="auto"/>
        <w:jc w:val="both"/>
        <w:rPr>
          <w:rFonts w:ascii="Times New Roman" w:hAnsi="Times New Roman" w:cs="Times New Roman"/>
          <w:sz w:val="24"/>
          <w:szCs w:val="24"/>
          <w:u w:val="single"/>
        </w:rPr>
      </w:pPr>
      <w:r w:rsidRPr="00F44086">
        <w:rPr>
          <w:rFonts w:ascii="Times New Roman" w:hAnsi="Times New Roman" w:cs="Times New Roman"/>
          <w:sz w:val="24"/>
          <w:szCs w:val="24"/>
          <w:u w:val="single"/>
        </w:rPr>
        <w:t>3.4 Kvalitné služby na vidieku</w:t>
      </w:r>
      <w:r w:rsidR="00D154B9">
        <w:rPr>
          <w:rFonts w:ascii="Times New Roman" w:hAnsi="Times New Roman" w:cs="Times New Roman"/>
          <w:sz w:val="24"/>
          <w:szCs w:val="24"/>
          <w:u w:val="single"/>
        </w:rPr>
        <w:t>.</w:t>
      </w:r>
    </w:p>
    <w:p w14:paraId="152C33A8" w14:textId="77777777" w:rsidR="009542A3" w:rsidRDefault="009542A3" w:rsidP="009542A3">
      <w:pPr>
        <w:spacing w:before="120" w:after="0" w:line="360" w:lineRule="auto"/>
        <w:jc w:val="both"/>
        <w:rPr>
          <w:rFonts w:ascii="Times New Roman" w:hAnsi="Times New Roman" w:cs="Times New Roman"/>
          <w:bCs/>
        </w:rPr>
      </w:pPr>
    </w:p>
    <w:p w14:paraId="5BC674EB" w14:textId="77777777" w:rsidR="009542A3" w:rsidRPr="00E63DB6" w:rsidRDefault="009542A3" w:rsidP="009542A3">
      <w:pPr>
        <w:spacing w:after="0" w:line="360" w:lineRule="auto"/>
        <w:jc w:val="both"/>
        <w:rPr>
          <w:rFonts w:ascii="Times New Roman" w:hAnsi="Times New Roman" w:cs="Times New Roman"/>
          <w:i/>
          <w:sz w:val="24"/>
          <w:szCs w:val="24"/>
          <w:u w:val="single"/>
        </w:rPr>
      </w:pPr>
      <w:r w:rsidRPr="00894BDB">
        <w:rPr>
          <w:rFonts w:ascii="Times New Roman" w:hAnsi="Times New Roman" w:cs="Times New Roman"/>
          <w:i/>
          <w:sz w:val="24"/>
          <w:szCs w:val="24"/>
          <w:u w:val="single"/>
        </w:rPr>
        <w:t>Koncepcia rozvoja cestovného ruchu  v regióne pod Veľkou Javorinou a</w:t>
      </w:r>
      <w:r>
        <w:rPr>
          <w:rFonts w:ascii="Times New Roman" w:hAnsi="Times New Roman" w:cs="Times New Roman"/>
          <w:i/>
          <w:sz w:val="24"/>
          <w:szCs w:val="24"/>
          <w:u w:val="single"/>
        </w:rPr>
        <w:t> </w:t>
      </w:r>
      <w:r w:rsidRPr="00894BDB">
        <w:rPr>
          <w:rFonts w:ascii="Times New Roman" w:hAnsi="Times New Roman" w:cs="Times New Roman"/>
          <w:i/>
          <w:sz w:val="24"/>
          <w:szCs w:val="24"/>
          <w:u w:val="single"/>
        </w:rPr>
        <w:t>Bradlom</w:t>
      </w:r>
    </w:p>
    <w:p w14:paraId="678040BF" w14:textId="77777777" w:rsidR="00D154B9" w:rsidRDefault="009542A3" w:rsidP="00D154B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Ciel stratégie</w:t>
      </w:r>
      <w:r w:rsidRPr="00894BDB">
        <w:rPr>
          <w:rFonts w:ascii="Times New Roman" w:hAnsi="Times New Roman" w:cs="Times New Roman"/>
          <w:sz w:val="24"/>
          <w:szCs w:val="24"/>
        </w:rPr>
        <w:t xml:space="preserve"> sa vzájomne doplňuj</w:t>
      </w:r>
      <w:r>
        <w:rPr>
          <w:rFonts w:ascii="Times New Roman" w:hAnsi="Times New Roman" w:cs="Times New Roman"/>
          <w:sz w:val="24"/>
          <w:szCs w:val="24"/>
        </w:rPr>
        <w:t>e</w:t>
      </w:r>
      <w:r w:rsidRPr="00894BDB">
        <w:rPr>
          <w:rFonts w:ascii="Times New Roman" w:hAnsi="Times New Roman" w:cs="Times New Roman"/>
          <w:sz w:val="24"/>
          <w:szCs w:val="24"/>
        </w:rPr>
        <w:t xml:space="preserve"> a m</w:t>
      </w:r>
      <w:r>
        <w:rPr>
          <w:rFonts w:ascii="Times New Roman" w:hAnsi="Times New Roman" w:cs="Times New Roman"/>
          <w:sz w:val="24"/>
          <w:szCs w:val="24"/>
        </w:rPr>
        <w:t>á</w:t>
      </w:r>
      <w:r w:rsidRPr="00894BDB">
        <w:rPr>
          <w:rFonts w:ascii="Times New Roman" w:hAnsi="Times New Roman" w:cs="Times New Roman"/>
          <w:sz w:val="24"/>
          <w:szCs w:val="24"/>
        </w:rPr>
        <w:t xml:space="preserve"> synergický efekt s </w:t>
      </w:r>
      <w:r>
        <w:rPr>
          <w:rFonts w:ascii="Times New Roman" w:hAnsi="Times New Roman" w:cs="Times New Roman"/>
          <w:sz w:val="24"/>
          <w:szCs w:val="24"/>
        </w:rPr>
        <w:t>cieľmi</w:t>
      </w:r>
      <w:r w:rsidRPr="00894BDB">
        <w:rPr>
          <w:rFonts w:ascii="Times New Roman" w:hAnsi="Times New Roman" w:cs="Times New Roman"/>
          <w:sz w:val="24"/>
          <w:szCs w:val="24"/>
        </w:rPr>
        <w:t xml:space="preserve"> Integrovan</w:t>
      </w:r>
      <w:r>
        <w:rPr>
          <w:rFonts w:ascii="Times New Roman" w:hAnsi="Times New Roman" w:cs="Times New Roman"/>
          <w:sz w:val="24"/>
          <w:szCs w:val="24"/>
        </w:rPr>
        <w:t>ej</w:t>
      </w:r>
      <w:r w:rsidRPr="00894BDB">
        <w:rPr>
          <w:rFonts w:ascii="Times New Roman" w:hAnsi="Times New Roman" w:cs="Times New Roman"/>
          <w:sz w:val="24"/>
          <w:szCs w:val="24"/>
        </w:rPr>
        <w:t xml:space="preserve"> stratégi</w:t>
      </w:r>
      <w:r>
        <w:rPr>
          <w:rFonts w:ascii="Times New Roman" w:hAnsi="Times New Roman" w:cs="Times New Roman"/>
          <w:sz w:val="24"/>
          <w:szCs w:val="24"/>
        </w:rPr>
        <w:t>e</w:t>
      </w:r>
      <w:r w:rsidRPr="00894BDB">
        <w:rPr>
          <w:rFonts w:ascii="Times New Roman" w:hAnsi="Times New Roman" w:cs="Times New Roman"/>
          <w:sz w:val="24"/>
          <w:szCs w:val="24"/>
        </w:rPr>
        <w:t xml:space="preserve"> rozvoja územia „Kopaničiarsky región – miestna akčná skupina“ v rámci CLLD</w:t>
      </w:r>
      <w:r>
        <w:rPr>
          <w:rFonts w:ascii="Times New Roman" w:hAnsi="Times New Roman" w:cs="Times New Roman"/>
          <w:sz w:val="24"/>
          <w:szCs w:val="24"/>
        </w:rPr>
        <w:t>.</w:t>
      </w:r>
      <w:r w:rsidR="00D154B9" w:rsidRPr="00D154B9">
        <w:rPr>
          <w:rFonts w:ascii="Times New Roman" w:hAnsi="Times New Roman" w:cs="Times New Roman"/>
          <w:sz w:val="24"/>
          <w:szCs w:val="24"/>
        </w:rPr>
        <w:t xml:space="preserve"> </w:t>
      </w:r>
      <w:r w:rsidR="00D154B9">
        <w:rPr>
          <w:rFonts w:ascii="Times New Roman" w:hAnsi="Times New Roman" w:cs="Times New Roman"/>
          <w:sz w:val="24"/>
          <w:szCs w:val="24"/>
        </w:rPr>
        <w:t>Reflektuje na ňu najmä opatreniami:</w:t>
      </w:r>
    </w:p>
    <w:p w14:paraId="3E40D660" w14:textId="77777777" w:rsidR="00D154B9" w:rsidRDefault="00D154B9" w:rsidP="00D154B9">
      <w:pPr>
        <w:pStyle w:val="Odsekzoznamu"/>
        <w:numPr>
          <w:ilvl w:val="0"/>
          <w:numId w:val="36"/>
        </w:numPr>
        <w:spacing w:after="0" w:line="360" w:lineRule="auto"/>
        <w:jc w:val="both"/>
        <w:rPr>
          <w:rFonts w:ascii="Times New Roman" w:hAnsi="Times New Roman" w:cs="Times New Roman"/>
          <w:sz w:val="24"/>
          <w:szCs w:val="24"/>
        </w:rPr>
      </w:pPr>
      <w:r w:rsidRPr="005250FC">
        <w:rPr>
          <w:rFonts w:ascii="Times New Roman" w:hAnsi="Times New Roman" w:cs="Times New Roman"/>
          <w:sz w:val="24"/>
          <w:szCs w:val="24"/>
        </w:rPr>
        <w:t>2.3 Podpora na investície do rozvoja vidieckeho cestovného ruchu a</w:t>
      </w:r>
      <w:r>
        <w:rPr>
          <w:rFonts w:ascii="Times New Roman" w:hAnsi="Times New Roman" w:cs="Times New Roman"/>
          <w:sz w:val="24"/>
          <w:szCs w:val="24"/>
        </w:rPr>
        <w:t> </w:t>
      </w:r>
      <w:r w:rsidRPr="005250FC">
        <w:rPr>
          <w:rFonts w:ascii="Times New Roman" w:hAnsi="Times New Roman" w:cs="Times New Roman"/>
          <w:sz w:val="24"/>
          <w:szCs w:val="24"/>
        </w:rPr>
        <w:t>agroturistiky</w:t>
      </w:r>
      <w:r>
        <w:rPr>
          <w:rFonts w:ascii="Times New Roman" w:hAnsi="Times New Roman" w:cs="Times New Roman"/>
          <w:sz w:val="24"/>
          <w:szCs w:val="24"/>
        </w:rPr>
        <w:t>,</w:t>
      </w:r>
    </w:p>
    <w:p w14:paraId="586CE56F" w14:textId="77777777" w:rsidR="00D154B9" w:rsidRDefault="00D154B9" w:rsidP="00D154B9">
      <w:pPr>
        <w:pStyle w:val="Odsekzoznamu"/>
        <w:numPr>
          <w:ilvl w:val="0"/>
          <w:numId w:val="36"/>
        </w:numPr>
        <w:spacing w:before="120"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2.5 Grantový program „Podporujeme akčných!“</w:t>
      </w:r>
      <w:r>
        <w:rPr>
          <w:rFonts w:ascii="Times New Roman" w:hAnsi="Times New Roman" w:cs="Times New Roman"/>
          <w:sz w:val="24"/>
          <w:szCs w:val="24"/>
        </w:rPr>
        <w:t>,</w:t>
      </w:r>
    </w:p>
    <w:p w14:paraId="64AAB4E1" w14:textId="77777777" w:rsidR="00D154B9" w:rsidRPr="005250FC" w:rsidRDefault="00D154B9" w:rsidP="00D154B9">
      <w:pPr>
        <w:pStyle w:val="Odsekzoznamu"/>
        <w:numPr>
          <w:ilvl w:val="0"/>
          <w:numId w:val="36"/>
        </w:numPr>
        <w:spacing w:before="120"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2.6 Projekty spolupráce so zameraním na cestovný ruch</w:t>
      </w:r>
      <w:r>
        <w:rPr>
          <w:rFonts w:ascii="Times New Roman" w:hAnsi="Times New Roman" w:cs="Times New Roman"/>
          <w:sz w:val="24"/>
          <w:szCs w:val="24"/>
        </w:rPr>
        <w:t>.</w:t>
      </w:r>
    </w:p>
    <w:p w14:paraId="03EA089D" w14:textId="77777777" w:rsidR="009542A3" w:rsidRDefault="009542A3" w:rsidP="009542A3">
      <w:pPr>
        <w:spacing w:before="120" w:after="0" w:line="360" w:lineRule="auto"/>
        <w:jc w:val="both"/>
        <w:rPr>
          <w:rFonts w:ascii="Times New Roman" w:hAnsi="Times New Roman" w:cs="Times New Roman"/>
          <w:sz w:val="24"/>
          <w:szCs w:val="24"/>
        </w:rPr>
      </w:pPr>
    </w:p>
    <w:p w14:paraId="44591F97" w14:textId="77777777" w:rsidR="009F4B75" w:rsidRPr="00143404" w:rsidRDefault="009F4B75" w:rsidP="009542A3">
      <w:pPr>
        <w:spacing w:before="120" w:after="0" w:line="360" w:lineRule="auto"/>
        <w:jc w:val="both"/>
        <w:rPr>
          <w:rFonts w:ascii="Times New Roman" w:hAnsi="Times New Roman" w:cs="Times New Roman"/>
          <w:sz w:val="24"/>
          <w:szCs w:val="24"/>
        </w:rPr>
      </w:pPr>
    </w:p>
    <w:p w14:paraId="2A1DB24F" w14:textId="77777777" w:rsidR="009542A3" w:rsidRDefault="009542A3" w:rsidP="009542A3">
      <w:pPr>
        <w:pStyle w:val="Default"/>
        <w:spacing w:line="360" w:lineRule="auto"/>
        <w:rPr>
          <w:i/>
          <w:u w:val="single"/>
        </w:rPr>
      </w:pPr>
      <w:r w:rsidRPr="004272B9">
        <w:rPr>
          <w:i/>
          <w:u w:val="single"/>
        </w:rPr>
        <w:lastRenderedPageBreak/>
        <w:t>Stratégia budovania cyklochodníkov a cyklotrás v kop</w:t>
      </w:r>
      <w:r>
        <w:rPr>
          <w:i/>
          <w:u w:val="single"/>
        </w:rPr>
        <w:t>aničiarskom a horňáckom regióne</w:t>
      </w:r>
    </w:p>
    <w:p w14:paraId="504E3AFE" w14:textId="77777777" w:rsidR="00D154B9" w:rsidRDefault="009542A3" w:rsidP="00D154B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Cieľ</w:t>
      </w:r>
      <w:r w:rsidRPr="00894BDB">
        <w:rPr>
          <w:rFonts w:ascii="Times New Roman" w:hAnsi="Times New Roman" w:cs="Times New Roman"/>
          <w:sz w:val="24"/>
          <w:szCs w:val="24"/>
        </w:rPr>
        <w:t xml:space="preserve"> </w:t>
      </w:r>
      <w:r>
        <w:rPr>
          <w:rFonts w:ascii="Times New Roman" w:hAnsi="Times New Roman" w:cs="Times New Roman"/>
          <w:sz w:val="24"/>
          <w:szCs w:val="24"/>
        </w:rPr>
        <w:t xml:space="preserve">stratégie </w:t>
      </w:r>
      <w:r w:rsidRPr="00894BDB">
        <w:rPr>
          <w:rFonts w:ascii="Times New Roman" w:hAnsi="Times New Roman" w:cs="Times New Roman"/>
          <w:sz w:val="24"/>
          <w:szCs w:val="24"/>
        </w:rPr>
        <w:t>sa vzájomne doplňuj</w:t>
      </w:r>
      <w:r>
        <w:rPr>
          <w:rFonts w:ascii="Times New Roman" w:hAnsi="Times New Roman" w:cs="Times New Roman"/>
          <w:sz w:val="24"/>
          <w:szCs w:val="24"/>
        </w:rPr>
        <w:t>e</w:t>
      </w:r>
      <w:r w:rsidRPr="00894BDB">
        <w:rPr>
          <w:rFonts w:ascii="Times New Roman" w:hAnsi="Times New Roman" w:cs="Times New Roman"/>
          <w:sz w:val="24"/>
          <w:szCs w:val="24"/>
        </w:rPr>
        <w:t xml:space="preserve"> a m</w:t>
      </w:r>
      <w:r>
        <w:rPr>
          <w:rFonts w:ascii="Times New Roman" w:hAnsi="Times New Roman" w:cs="Times New Roman"/>
          <w:sz w:val="24"/>
          <w:szCs w:val="24"/>
        </w:rPr>
        <w:t>á</w:t>
      </w:r>
      <w:r w:rsidRPr="00894BDB">
        <w:rPr>
          <w:rFonts w:ascii="Times New Roman" w:hAnsi="Times New Roman" w:cs="Times New Roman"/>
          <w:sz w:val="24"/>
          <w:szCs w:val="24"/>
        </w:rPr>
        <w:t xml:space="preserve"> synergický efekt s </w:t>
      </w:r>
      <w:r>
        <w:rPr>
          <w:rFonts w:ascii="Times New Roman" w:hAnsi="Times New Roman" w:cs="Times New Roman"/>
          <w:sz w:val="24"/>
          <w:szCs w:val="24"/>
        </w:rPr>
        <w:t>cieľmi</w:t>
      </w:r>
      <w:r w:rsidRPr="00894BDB">
        <w:rPr>
          <w:rFonts w:ascii="Times New Roman" w:hAnsi="Times New Roman" w:cs="Times New Roman"/>
          <w:sz w:val="24"/>
          <w:szCs w:val="24"/>
        </w:rPr>
        <w:t xml:space="preserve"> Integrovan</w:t>
      </w:r>
      <w:r>
        <w:rPr>
          <w:rFonts w:ascii="Times New Roman" w:hAnsi="Times New Roman" w:cs="Times New Roman"/>
          <w:sz w:val="24"/>
          <w:szCs w:val="24"/>
        </w:rPr>
        <w:t>ej</w:t>
      </w:r>
      <w:r w:rsidRPr="00894BDB">
        <w:rPr>
          <w:rFonts w:ascii="Times New Roman" w:hAnsi="Times New Roman" w:cs="Times New Roman"/>
          <w:sz w:val="24"/>
          <w:szCs w:val="24"/>
        </w:rPr>
        <w:t xml:space="preserve"> stratégi</w:t>
      </w:r>
      <w:r>
        <w:rPr>
          <w:rFonts w:ascii="Times New Roman" w:hAnsi="Times New Roman" w:cs="Times New Roman"/>
          <w:sz w:val="24"/>
          <w:szCs w:val="24"/>
        </w:rPr>
        <w:t>e</w:t>
      </w:r>
      <w:r w:rsidRPr="00894BDB">
        <w:rPr>
          <w:rFonts w:ascii="Times New Roman" w:hAnsi="Times New Roman" w:cs="Times New Roman"/>
          <w:sz w:val="24"/>
          <w:szCs w:val="24"/>
        </w:rPr>
        <w:t xml:space="preserve"> rozvoja územia „Kopaničiarsky región – miestna akčná skupina“ v rámci CLLD</w:t>
      </w:r>
      <w:r>
        <w:rPr>
          <w:rFonts w:ascii="Times New Roman" w:hAnsi="Times New Roman" w:cs="Times New Roman"/>
          <w:sz w:val="24"/>
          <w:szCs w:val="24"/>
        </w:rPr>
        <w:t>.</w:t>
      </w:r>
      <w:r w:rsidR="00D154B9" w:rsidRPr="00D154B9">
        <w:rPr>
          <w:rFonts w:ascii="Times New Roman" w:hAnsi="Times New Roman" w:cs="Times New Roman"/>
          <w:sz w:val="24"/>
          <w:szCs w:val="24"/>
        </w:rPr>
        <w:t xml:space="preserve"> </w:t>
      </w:r>
      <w:r w:rsidR="00D154B9" w:rsidRPr="00F44086">
        <w:rPr>
          <w:rFonts w:ascii="Times New Roman" w:hAnsi="Times New Roman" w:cs="Times New Roman"/>
          <w:sz w:val="24"/>
          <w:szCs w:val="24"/>
        </w:rPr>
        <w:t>Reflektuje na ňu najmä opatreniami:</w:t>
      </w:r>
    </w:p>
    <w:p w14:paraId="643A0840" w14:textId="77777777" w:rsidR="00D154B9" w:rsidRDefault="00D154B9" w:rsidP="00D154B9">
      <w:pPr>
        <w:pStyle w:val="Odsekzoznamu"/>
        <w:numPr>
          <w:ilvl w:val="0"/>
          <w:numId w:val="36"/>
        </w:numPr>
        <w:spacing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1.2 Rozvoj základnej infraštruktúry v mestách a</w:t>
      </w:r>
      <w:r>
        <w:rPr>
          <w:rFonts w:ascii="Times New Roman" w:hAnsi="Times New Roman" w:cs="Times New Roman"/>
          <w:sz w:val="24"/>
          <w:szCs w:val="24"/>
        </w:rPr>
        <w:t> </w:t>
      </w:r>
      <w:r w:rsidRPr="00F44086">
        <w:rPr>
          <w:rFonts w:ascii="Times New Roman" w:hAnsi="Times New Roman" w:cs="Times New Roman"/>
          <w:sz w:val="24"/>
          <w:szCs w:val="24"/>
        </w:rPr>
        <w:t>obciach</w:t>
      </w:r>
      <w:r>
        <w:rPr>
          <w:rFonts w:ascii="Times New Roman" w:hAnsi="Times New Roman" w:cs="Times New Roman"/>
          <w:sz w:val="24"/>
          <w:szCs w:val="24"/>
        </w:rPr>
        <w:t>,</w:t>
      </w:r>
      <w:r w:rsidRPr="00F44086">
        <w:rPr>
          <w:rFonts w:ascii="Times New Roman" w:hAnsi="Times New Roman" w:cs="Times New Roman"/>
          <w:sz w:val="24"/>
          <w:szCs w:val="24"/>
        </w:rPr>
        <w:t xml:space="preserve"> </w:t>
      </w:r>
    </w:p>
    <w:p w14:paraId="215B6142" w14:textId="77777777" w:rsidR="00D154B9" w:rsidRDefault="00D154B9" w:rsidP="00D154B9">
      <w:pPr>
        <w:pStyle w:val="Odsekzoznamu"/>
        <w:numPr>
          <w:ilvl w:val="0"/>
          <w:numId w:val="36"/>
        </w:numPr>
        <w:spacing w:before="120"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2.1 Podpora na investície do rekreačnej infraštruktúry, turistických informácií a do turistickej infraštruktúry malých rozmerov na verejné využitie</w:t>
      </w:r>
      <w:r>
        <w:rPr>
          <w:rFonts w:ascii="Times New Roman" w:hAnsi="Times New Roman" w:cs="Times New Roman"/>
          <w:sz w:val="24"/>
          <w:szCs w:val="24"/>
        </w:rPr>
        <w:t>,</w:t>
      </w:r>
    </w:p>
    <w:p w14:paraId="49AEEAEE" w14:textId="77777777" w:rsidR="00D154B9" w:rsidRPr="00F44086" w:rsidRDefault="00D154B9" w:rsidP="00D154B9">
      <w:pPr>
        <w:pStyle w:val="Odsekzoznamu"/>
        <w:numPr>
          <w:ilvl w:val="0"/>
          <w:numId w:val="36"/>
        </w:numPr>
        <w:spacing w:before="120"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2.4  Budovanie a značenie jazdeckých a bežkárskych trás a</w:t>
      </w:r>
      <w:r>
        <w:rPr>
          <w:rFonts w:ascii="Times New Roman" w:hAnsi="Times New Roman" w:cs="Times New Roman"/>
          <w:sz w:val="24"/>
          <w:szCs w:val="24"/>
        </w:rPr>
        <w:t> </w:t>
      </w:r>
      <w:r w:rsidRPr="00F44086">
        <w:rPr>
          <w:rFonts w:ascii="Times New Roman" w:hAnsi="Times New Roman" w:cs="Times New Roman"/>
          <w:sz w:val="24"/>
          <w:szCs w:val="24"/>
        </w:rPr>
        <w:t>cyklotrás</w:t>
      </w:r>
      <w:r>
        <w:rPr>
          <w:rFonts w:ascii="Times New Roman" w:hAnsi="Times New Roman" w:cs="Times New Roman"/>
          <w:sz w:val="24"/>
          <w:szCs w:val="24"/>
        </w:rPr>
        <w:t>.</w:t>
      </w:r>
    </w:p>
    <w:p w14:paraId="56779103" w14:textId="77777777" w:rsidR="009F4B75" w:rsidRDefault="009F4B75" w:rsidP="009542A3">
      <w:pPr>
        <w:spacing w:after="0" w:line="360" w:lineRule="auto"/>
        <w:jc w:val="both"/>
        <w:rPr>
          <w:rFonts w:ascii="Times New Roman" w:hAnsi="Times New Roman" w:cs="Times New Roman"/>
          <w:i/>
          <w:sz w:val="24"/>
          <w:szCs w:val="24"/>
          <w:u w:val="single"/>
        </w:rPr>
      </w:pPr>
    </w:p>
    <w:p w14:paraId="44031727" w14:textId="77777777" w:rsidR="009542A3" w:rsidRPr="004272B9" w:rsidRDefault="009542A3" w:rsidP="009542A3">
      <w:pPr>
        <w:spacing w:after="0" w:line="360" w:lineRule="auto"/>
        <w:jc w:val="both"/>
        <w:rPr>
          <w:rFonts w:ascii="Times New Roman" w:hAnsi="Times New Roman" w:cs="Times New Roman"/>
          <w:i/>
          <w:sz w:val="24"/>
          <w:szCs w:val="24"/>
          <w:u w:val="single"/>
        </w:rPr>
      </w:pPr>
      <w:r w:rsidRPr="004272B9">
        <w:rPr>
          <w:rFonts w:ascii="Times New Roman" w:hAnsi="Times New Roman" w:cs="Times New Roman"/>
          <w:i/>
          <w:sz w:val="24"/>
          <w:szCs w:val="24"/>
          <w:u w:val="single"/>
        </w:rPr>
        <w:t>Štúdia rozvoja hipoturistiky kop</w:t>
      </w:r>
      <w:r>
        <w:rPr>
          <w:rFonts w:ascii="Times New Roman" w:hAnsi="Times New Roman" w:cs="Times New Roman"/>
          <w:i/>
          <w:sz w:val="24"/>
          <w:szCs w:val="24"/>
          <w:u w:val="single"/>
        </w:rPr>
        <w:t>aničiarskom a horňáckom regióne</w:t>
      </w:r>
    </w:p>
    <w:p w14:paraId="459BFEB2" w14:textId="77777777" w:rsidR="00D154B9" w:rsidRDefault="009542A3" w:rsidP="00D154B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94BDB">
        <w:rPr>
          <w:rFonts w:ascii="Times New Roman" w:hAnsi="Times New Roman" w:cs="Times New Roman"/>
          <w:sz w:val="24"/>
          <w:szCs w:val="24"/>
        </w:rPr>
        <w:t>T</w:t>
      </w:r>
      <w:r>
        <w:rPr>
          <w:rFonts w:ascii="Times New Roman" w:hAnsi="Times New Roman" w:cs="Times New Roman"/>
          <w:sz w:val="24"/>
          <w:szCs w:val="24"/>
        </w:rPr>
        <w:t>áto</w:t>
      </w:r>
      <w:r w:rsidRPr="00894BDB">
        <w:rPr>
          <w:rFonts w:ascii="Times New Roman" w:hAnsi="Times New Roman" w:cs="Times New Roman"/>
          <w:sz w:val="24"/>
          <w:szCs w:val="24"/>
        </w:rPr>
        <w:t xml:space="preserve"> </w:t>
      </w:r>
      <w:r>
        <w:rPr>
          <w:rFonts w:ascii="Times New Roman" w:hAnsi="Times New Roman" w:cs="Times New Roman"/>
          <w:sz w:val="24"/>
          <w:szCs w:val="24"/>
        </w:rPr>
        <w:t xml:space="preserve">štúdia </w:t>
      </w:r>
      <w:r w:rsidRPr="00894BDB">
        <w:rPr>
          <w:rFonts w:ascii="Times New Roman" w:hAnsi="Times New Roman" w:cs="Times New Roman"/>
          <w:sz w:val="24"/>
          <w:szCs w:val="24"/>
        </w:rPr>
        <w:t>vzájomne doplňuj</w:t>
      </w:r>
      <w:r>
        <w:rPr>
          <w:rFonts w:ascii="Times New Roman" w:hAnsi="Times New Roman" w:cs="Times New Roman"/>
          <w:sz w:val="24"/>
          <w:szCs w:val="24"/>
        </w:rPr>
        <w:t>e a má</w:t>
      </w:r>
      <w:r w:rsidRPr="00894BDB">
        <w:rPr>
          <w:rFonts w:ascii="Times New Roman" w:hAnsi="Times New Roman" w:cs="Times New Roman"/>
          <w:sz w:val="24"/>
          <w:szCs w:val="24"/>
        </w:rPr>
        <w:t xml:space="preserve"> synergický efekt s </w:t>
      </w:r>
      <w:r>
        <w:rPr>
          <w:rFonts w:ascii="Times New Roman" w:hAnsi="Times New Roman" w:cs="Times New Roman"/>
          <w:sz w:val="24"/>
          <w:szCs w:val="24"/>
        </w:rPr>
        <w:t>cieľmi</w:t>
      </w:r>
      <w:r w:rsidRPr="00894BDB">
        <w:rPr>
          <w:rFonts w:ascii="Times New Roman" w:hAnsi="Times New Roman" w:cs="Times New Roman"/>
          <w:sz w:val="24"/>
          <w:szCs w:val="24"/>
        </w:rPr>
        <w:t xml:space="preserve"> Integrovan</w:t>
      </w:r>
      <w:r>
        <w:rPr>
          <w:rFonts w:ascii="Times New Roman" w:hAnsi="Times New Roman" w:cs="Times New Roman"/>
          <w:sz w:val="24"/>
          <w:szCs w:val="24"/>
        </w:rPr>
        <w:t>ej</w:t>
      </w:r>
      <w:r w:rsidRPr="00894BDB">
        <w:rPr>
          <w:rFonts w:ascii="Times New Roman" w:hAnsi="Times New Roman" w:cs="Times New Roman"/>
          <w:sz w:val="24"/>
          <w:szCs w:val="24"/>
        </w:rPr>
        <w:t xml:space="preserve"> stratégi</w:t>
      </w:r>
      <w:r>
        <w:rPr>
          <w:rFonts w:ascii="Times New Roman" w:hAnsi="Times New Roman" w:cs="Times New Roman"/>
          <w:sz w:val="24"/>
          <w:szCs w:val="24"/>
        </w:rPr>
        <w:t>e</w:t>
      </w:r>
      <w:r w:rsidRPr="00894BDB">
        <w:rPr>
          <w:rFonts w:ascii="Times New Roman" w:hAnsi="Times New Roman" w:cs="Times New Roman"/>
          <w:sz w:val="24"/>
          <w:szCs w:val="24"/>
        </w:rPr>
        <w:t xml:space="preserve"> rozvoja územia „Kopaničiarsky región – miestna akčná skupina“ v rámci CLLD</w:t>
      </w:r>
      <w:r>
        <w:rPr>
          <w:rFonts w:ascii="Times New Roman" w:hAnsi="Times New Roman" w:cs="Times New Roman"/>
          <w:sz w:val="24"/>
          <w:szCs w:val="24"/>
        </w:rPr>
        <w:t xml:space="preserve"> opatrenie </w:t>
      </w:r>
      <w:r w:rsidRPr="00143404">
        <w:rPr>
          <w:rFonts w:ascii="Times New Roman" w:hAnsi="Times New Roman" w:cs="Times New Roman"/>
          <w:sz w:val="24"/>
          <w:szCs w:val="24"/>
        </w:rPr>
        <w:t>2.4 Budovanie a značenie jazdeckých a bežkárskych trás</w:t>
      </w:r>
      <w:r>
        <w:rPr>
          <w:rFonts w:ascii="Times New Roman" w:hAnsi="Times New Roman" w:cs="Times New Roman"/>
          <w:sz w:val="24"/>
          <w:szCs w:val="24"/>
        </w:rPr>
        <w:t>.</w:t>
      </w:r>
      <w:r w:rsidR="00D154B9" w:rsidRPr="00D154B9">
        <w:rPr>
          <w:rFonts w:ascii="Times New Roman" w:hAnsi="Times New Roman" w:cs="Times New Roman"/>
          <w:sz w:val="24"/>
          <w:szCs w:val="24"/>
        </w:rPr>
        <w:t xml:space="preserve"> </w:t>
      </w:r>
    </w:p>
    <w:p w14:paraId="0C86D01A" w14:textId="77777777" w:rsidR="00D154B9" w:rsidRDefault="00D154B9" w:rsidP="00D154B9">
      <w:pPr>
        <w:spacing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Reflektuje na ňu najmä opatreniami:</w:t>
      </w:r>
    </w:p>
    <w:p w14:paraId="2AEA3C54" w14:textId="77777777" w:rsidR="00D154B9" w:rsidRDefault="00D154B9" w:rsidP="00D154B9">
      <w:pPr>
        <w:pStyle w:val="Odsekzoznamu"/>
        <w:numPr>
          <w:ilvl w:val="0"/>
          <w:numId w:val="36"/>
        </w:numPr>
        <w:spacing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 xml:space="preserve">2.1 Podpora na investície do rekreačnej infraštruktúry, turistických informácií a do turistickej infraštruktúry malých rozmerov na verejné využitie </w:t>
      </w:r>
    </w:p>
    <w:p w14:paraId="771935E8" w14:textId="77777777" w:rsidR="00D154B9" w:rsidRPr="00F44086" w:rsidRDefault="00D154B9" w:rsidP="00D154B9">
      <w:pPr>
        <w:pStyle w:val="Odsekzoznamu"/>
        <w:numPr>
          <w:ilvl w:val="0"/>
          <w:numId w:val="36"/>
        </w:numPr>
        <w:spacing w:before="120"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2.4  Budovanie a značenie jazdeckých a bežkárskych trás a cyklotrás</w:t>
      </w:r>
    </w:p>
    <w:p w14:paraId="1D360BDB" w14:textId="77777777" w:rsidR="009542A3" w:rsidRDefault="009542A3" w:rsidP="009542A3">
      <w:pPr>
        <w:spacing w:before="120" w:after="0" w:line="360" w:lineRule="auto"/>
        <w:jc w:val="both"/>
        <w:rPr>
          <w:rFonts w:ascii="Times New Roman" w:hAnsi="Times New Roman" w:cs="Times New Roman"/>
          <w:sz w:val="24"/>
          <w:szCs w:val="24"/>
        </w:rPr>
      </w:pPr>
    </w:p>
    <w:p w14:paraId="3D718CBA" w14:textId="77777777" w:rsidR="009542A3" w:rsidRDefault="009542A3" w:rsidP="009542A3">
      <w:pPr>
        <w:spacing w:after="0" w:line="360" w:lineRule="auto"/>
        <w:jc w:val="both"/>
      </w:pPr>
      <w:r w:rsidRPr="004272B9">
        <w:rPr>
          <w:rFonts w:ascii="Times New Roman" w:hAnsi="Times New Roman" w:cs="Times New Roman"/>
          <w:i/>
          <w:sz w:val="24"/>
          <w:szCs w:val="24"/>
          <w:u w:val="single"/>
        </w:rPr>
        <w:t>Stratégia rozvoja bežeckého lyžovania a zimnej turistiky v Bielych Karpatoch pre obdobie 2015-2020</w:t>
      </w:r>
    </w:p>
    <w:p w14:paraId="48308FF0" w14:textId="77777777" w:rsidR="00D154B9" w:rsidRDefault="009542A3" w:rsidP="00D154B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94BDB">
        <w:rPr>
          <w:rFonts w:ascii="Times New Roman" w:hAnsi="Times New Roman" w:cs="Times New Roman"/>
          <w:sz w:val="24"/>
          <w:szCs w:val="24"/>
        </w:rPr>
        <w:t>T</w:t>
      </w:r>
      <w:r>
        <w:rPr>
          <w:rFonts w:ascii="Times New Roman" w:hAnsi="Times New Roman" w:cs="Times New Roman"/>
          <w:sz w:val="24"/>
          <w:szCs w:val="24"/>
        </w:rPr>
        <w:t>áto</w:t>
      </w:r>
      <w:r w:rsidRPr="00894BDB">
        <w:rPr>
          <w:rFonts w:ascii="Times New Roman" w:hAnsi="Times New Roman" w:cs="Times New Roman"/>
          <w:sz w:val="24"/>
          <w:szCs w:val="24"/>
        </w:rPr>
        <w:t xml:space="preserve"> </w:t>
      </w:r>
      <w:r>
        <w:rPr>
          <w:rFonts w:ascii="Times New Roman" w:hAnsi="Times New Roman" w:cs="Times New Roman"/>
          <w:sz w:val="24"/>
          <w:szCs w:val="24"/>
        </w:rPr>
        <w:t xml:space="preserve">stratégia </w:t>
      </w:r>
      <w:r w:rsidRPr="00894BDB">
        <w:rPr>
          <w:rFonts w:ascii="Times New Roman" w:hAnsi="Times New Roman" w:cs="Times New Roman"/>
          <w:sz w:val="24"/>
          <w:szCs w:val="24"/>
        </w:rPr>
        <w:t>vzájomne doplňuj</w:t>
      </w:r>
      <w:r>
        <w:rPr>
          <w:rFonts w:ascii="Times New Roman" w:hAnsi="Times New Roman" w:cs="Times New Roman"/>
          <w:sz w:val="24"/>
          <w:szCs w:val="24"/>
        </w:rPr>
        <w:t>e a má</w:t>
      </w:r>
      <w:r w:rsidRPr="00894BDB">
        <w:rPr>
          <w:rFonts w:ascii="Times New Roman" w:hAnsi="Times New Roman" w:cs="Times New Roman"/>
          <w:sz w:val="24"/>
          <w:szCs w:val="24"/>
        </w:rPr>
        <w:t xml:space="preserve"> synergický efekt s </w:t>
      </w:r>
      <w:r>
        <w:rPr>
          <w:rFonts w:ascii="Times New Roman" w:hAnsi="Times New Roman" w:cs="Times New Roman"/>
          <w:sz w:val="24"/>
          <w:szCs w:val="24"/>
        </w:rPr>
        <w:t>cieľmi</w:t>
      </w:r>
      <w:r w:rsidRPr="00894BDB">
        <w:rPr>
          <w:rFonts w:ascii="Times New Roman" w:hAnsi="Times New Roman" w:cs="Times New Roman"/>
          <w:sz w:val="24"/>
          <w:szCs w:val="24"/>
        </w:rPr>
        <w:t xml:space="preserve"> Integrovan</w:t>
      </w:r>
      <w:r>
        <w:rPr>
          <w:rFonts w:ascii="Times New Roman" w:hAnsi="Times New Roman" w:cs="Times New Roman"/>
          <w:sz w:val="24"/>
          <w:szCs w:val="24"/>
        </w:rPr>
        <w:t>ej</w:t>
      </w:r>
      <w:r w:rsidRPr="00894BDB">
        <w:rPr>
          <w:rFonts w:ascii="Times New Roman" w:hAnsi="Times New Roman" w:cs="Times New Roman"/>
          <w:sz w:val="24"/>
          <w:szCs w:val="24"/>
        </w:rPr>
        <w:t xml:space="preserve"> stratégi</w:t>
      </w:r>
      <w:r>
        <w:rPr>
          <w:rFonts w:ascii="Times New Roman" w:hAnsi="Times New Roman" w:cs="Times New Roman"/>
          <w:sz w:val="24"/>
          <w:szCs w:val="24"/>
        </w:rPr>
        <w:t>e</w:t>
      </w:r>
      <w:r w:rsidRPr="00894BDB">
        <w:rPr>
          <w:rFonts w:ascii="Times New Roman" w:hAnsi="Times New Roman" w:cs="Times New Roman"/>
          <w:sz w:val="24"/>
          <w:szCs w:val="24"/>
        </w:rPr>
        <w:t xml:space="preserve"> rozvoja územia „Kopaničiarsky región – miestna akčná skupina“ v rámci CLLD</w:t>
      </w:r>
      <w:r>
        <w:rPr>
          <w:rFonts w:ascii="Times New Roman" w:hAnsi="Times New Roman" w:cs="Times New Roman"/>
          <w:sz w:val="24"/>
          <w:szCs w:val="24"/>
        </w:rPr>
        <w:t xml:space="preserve"> opatrenie </w:t>
      </w:r>
      <w:r w:rsidRPr="00143404">
        <w:rPr>
          <w:rFonts w:ascii="Times New Roman" w:hAnsi="Times New Roman" w:cs="Times New Roman"/>
          <w:sz w:val="24"/>
          <w:szCs w:val="24"/>
        </w:rPr>
        <w:t>2.4 Budovanie a značenie jazdeckých a bežkárskych trás</w:t>
      </w:r>
      <w:r>
        <w:rPr>
          <w:rFonts w:ascii="Times New Roman" w:hAnsi="Times New Roman" w:cs="Times New Roman"/>
          <w:sz w:val="24"/>
          <w:szCs w:val="24"/>
        </w:rPr>
        <w:t>.</w:t>
      </w:r>
    </w:p>
    <w:p w14:paraId="0A0ED843" w14:textId="77777777" w:rsidR="00D154B9" w:rsidRPr="00F44086" w:rsidRDefault="00D154B9" w:rsidP="00D154B9">
      <w:pPr>
        <w:spacing w:after="0" w:line="360" w:lineRule="auto"/>
        <w:jc w:val="both"/>
        <w:rPr>
          <w:rFonts w:ascii="Times New Roman" w:hAnsi="Times New Roman" w:cs="Times New Roman"/>
          <w:sz w:val="24"/>
          <w:szCs w:val="24"/>
        </w:rPr>
      </w:pPr>
      <w:r w:rsidRPr="00D154B9">
        <w:rPr>
          <w:rFonts w:ascii="Times New Roman" w:hAnsi="Times New Roman" w:cs="Times New Roman"/>
          <w:sz w:val="24"/>
          <w:szCs w:val="24"/>
        </w:rPr>
        <w:t xml:space="preserve"> </w:t>
      </w:r>
      <w:r w:rsidRPr="00F44086">
        <w:rPr>
          <w:rFonts w:ascii="Times New Roman" w:hAnsi="Times New Roman" w:cs="Times New Roman"/>
          <w:sz w:val="24"/>
          <w:szCs w:val="24"/>
        </w:rPr>
        <w:t>Reflektuje na ňu najmä opatreniami:</w:t>
      </w:r>
    </w:p>
    <w:p w14:paraId="768B2F4B" w14:textId="77777777" w:rsidR="00D154B9" w:rsidRPr="00F44086" w:rsidRDefault="00D154B9" w:rsidP="00D154B9">
      <w:pPr>
        <w:spacing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w:t>
      </w:r>
      <w:r w:rsidRPr="00F44086">
        <w:rPr>
          <w:rFonts w:ascii="Times New Roman" w:hAnsi="Times New Roman" w:cs="Times New Roman"/>
          <w:sz w:val="24"/>
          <w:szCs w:val="24"/>
        </w:rPr>
        <w:tab/>
        <w:t xml:space="preserve">2.1 Podpora na investície do rekreačnej infraštruktúry, turistických informácií a do turistickej infraštruktúry malých rozmerov na verejné využitie </w:t>
      </w:r>
    </w:p>
    <w:p w14:paraId="54A24FD9" w14:textId="77777777" w:rsidR="00D154B9" w:rsidRDefault="00D154B9" w:rsidP="00D154B9">
      <w:pPr>
        <w:spacing w:after="0" w:line="360" w:lineRule="auto"/>
        <w:jc w:val="both"/>
        <w:rPr>
          <w:rFonts w:ascii="Times New Roman" w:hAnsi="Times New Roman" w:cs="Times New Roman"/>
          <w:sz w:val="24"/>
          <w:szCs w:val="24"/>
        </w:rPr>
      </w:pPr>
      <w:r w:rsidRPr="00F44086">
        <w:rPr>
          <w:rFonts w:ascii="Times New Roman" w:hAnsi="Times New Roman" w:cs="Times New Roman"/>
          <w:sz w:val="24"/>
          <w:szCs w:val="24"/>
        </w:rPr>
        <w:t>-</w:t>
      </w:r>
      <w:r w:rsidRPr="00F44086">
        <w:rPr>
          <w:rFonts w:ascii="Times New Roman" w:hAnsi="Times New Roman" w:cs="Times New Roman"/>
          <w:sz w:val="24"/>
          <w:szCs w:val="24"/>
        </w:rPr>
        <w:tab/>
        <w:t>2.4  Budovanie a značenie jazdeckých a bežkárskych trás a cyklotrás</w:t>
      </w:r>
    </w:p>
    <w:p w14:paraId="71DE1E8E" w14:textId="77777777" w:rsidR="009F4B75" w:rsidRDefault="009F4B75" w:rsidP="009542A3">
      <w:pPr>
        <w:spacing w:after="0" w:line="360" w:lineRule="auto"/>
        <w:jc w:val="both"/>
        <w:rPr>
          <w:rFonts w:ascii="Times New Roman" w:hAnsi="Times New Roman" w:cs="Times New Roman"/>
          <w:i/>
          <w:sz w:val="24"/>
          <w:szCs w:val="24"/>
          <w:u w:val="single"/>
        </w:rPr>
      </w:pPr>
    </w:p>
    <w:p w14:paraId="71472EE9" w14:textId="77777777" w:rsidR="009542A3" w:rsidRPr="004272B9" w:rsidRDefault="009542A3" w:rsidP="009542A3">
      <w:pPr>
        <w:spacing w:after="0" w:line="360" w:lineRule="auto"/>
        <w:jc w:val="both"/>
        <w:rPr>
          <w:rFonts w:ascii="Times New Roman" w:hAnsi="Times New Roman" w:cs="Times New Roman"/>
          <w:i/>
          <w:sz w:val="24"/>
          <w:szCs w:val="24"/>
          <w:u w:val="single"/>
        </w:rPr>
      </w:pPr>
      <w:r w:rsidRPr="004272B9">
        <w:rPr>
          <w:rFonts w:ascii="Times New Roman" w:hAnsi="Times New Roman" w:cs="Times New Roman"/>
          <w:i/>
          <w:sz w:val="24"/>
          <w:szCs w:val="24"/>
          <w:u w:val="single"/>
        </w:rPr>
        <w:t>PHSR obcí na území MAS a ďalšie dokumenty</w:t>
      </w:r>
    </w:p>
    <w:p w14:paraId="52DF8E44" w14:textId="77777777" w:rsidR="009542A3" w:rsidRDefault="009542A3" w:rsidP="009542A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Pri vypracovaní </w:t>
      </w:r>
      <w:r w:rsidRPr="00894BDB">
        <w:rPr>
          <w:rFonts w:ascii="Times New Roman" w:hAnsi="Times New Roman" w:cs="Times New Roman"/>
          <w:sz w:val="24"/>
          <w:szCs w:val="24"/>
        </w:rPr>
        <w:t>Integrovan</w:t>
      </w:r>
      <w:r>
        <w:rPr>
          <w:rFonts w:ascii="Times New Roman" w:hAnsi="Times New Roman" w:cs="Times New Roman"/>
          <w:sz w:val="24"/>
          <w:szCs w:val="24"/>
        </w:rPr>
        <w:t>ej</w:t>
      </w:r>
      <w:r w:rsidRPr="00894BDB">
        <w:rPr>
          <w:rFonts w:ascii="Times New Roman" w:hAnsi="Times New Roman" w:cs="Times New Roman"/>
          <w:sz w:val="24"/>
          <w:szCs w:val="24"/>
        </w:rPr>
        <w:t xml:space="preserve"> stratégi</w:t>
      </w:r>
      <w:r>
        <w:rPr>
          <w:rFonts w:ascii="Times New Roman" w:hAnsi="Times New Roman" w:cs="Times New Roman"/>
          <w:sz w:val="24"/>
          <w:szCs w:val="24"/>
        </w:rPr>
        <w:t>e</w:t>
      </w:r>
      <w:r w:rsidRPr="00894BDB">
        <w:rPr>
          <w:rFonts w:ascii="Times New Roman" w:hAnsi="Times New Roman" w:cs="Times New Roman"/>
          <w:sz w:val="24"/>
          <w:szCs w:val="24"/>
        </w:rPr>
        <w:t xml:space="preserve"> rozvoja územia „Kopaničiarsky región – miestna akčná skupina“ v rámci CLLD</w:t>
      </w:r>
      <w:r>
        <w:rPr>
          <w:rFonts w:ascii="Times New Roman" w:hAnsi="Times New Roman" w:cs="Times New Roman"/>
          <w:sz w:val="24"/>
          <w:szCs w:val="24"/>
        </w:rPr>
        <w:t xml:space="preserve"> sa tiež vychádzalo z potrieb obcí a miest nachádzajúce sa na územiu MAS a tieto potreby boli zapracované do stratégie. </w:t>
      </w:r>
    </w:p>
    <w:p w14:paraId="656196A6" w14:textId="77777777" w:rsidR="00AB47BE" w:rsidRDefault="009542A3" w:rsidP="009542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F7FA7">
        <w:rPr>
          <w:rFonts w:ascii="Times New Roman" w:hAnsi="Times New Roman" w:cs="Times New Roman"/>
          <w:sz w:val="24"/>
          <w:szCs w:val="24"/>
        </w:rPr>
        <w:t>V rámci Operačného programu Ľudské zdroje</w:t>
      </w:r>
      <w:r>
        <w:rPr>
          <w:rFonts w:ascii="Times New Roman" w:hAnsi="Times New Roman" w:cs="Times New Roman"/>
          <w:sz w:val="24"/>
          <w:szCs w:val="24"/>
        </w:rPr>
        <w:t xml:space="preserve"> je v stratégií zapracované Opatrenie </w:t>
      </w:r>
      <w:r w:rsidRPr="004F7FA7">
        <w:rPr>
          <w:rFonts w:ascii="Times New Roman" w:hAnsi="Times New Roman" w:cs="Times New Roman"/>
          <w:sz w:val="24"/>
          <w:szCs w:val="24"/>
        </w:rPr>
        <w:t>3.6 Podpora zamestnanosti, začleňovania a rozvoja ľudských zdrojov</w:t>
      </w:r>
      <w:r>
        <w:rPr>
          <w:rFonts w:ascii="Times New Roman" w:hAnsi="Times New Roman" w:cs="Times New Roman"/>
          <w:sz w:val="24"/>
          <w:szCs w:val="24"/>
        </w:rPr>
        <w:t xml:space="preserve">, ktoré dopĺňa a bude nadväzovať na pracovné miesta vytvorené opatreniami v rámci priority 3 </w:t>
      </w:r>
      <w:r w:rsidRPr="004F7FA7">
        <w:rPr>
          <w:rFonts w:ascii="Times New Roman" w:hAnsi="Times New Roman" w:cs="Times New Roman"/>
          <w:sz w:val="24"/>
          <w:szCs w:val="24"/>
        </w:rPr>
        <w:t>Posilnenie rastu a konkurencieschopnosti malých a stredných podnikov vrátanie zamestnanosti, začleňovania a rozvoja ľudských zdrojov</w:t>
      </w:r>
      <w:r>
        <w:rPr>
          <w:rFonts w:ascii="Times New Roman" w:hAnsi="Times New Roman" w:cs="Times New Roman"/>
          <w:sz w:val="24"/>
          <w:szCs w:val="24"/>
        </w:rPr>
        <w:t>.</w:t>
      </w:r>
    </w:p>
    <w:p w14:paraId="6BDD573D" w14:textId="77777777" w:rsidR="00C50E03" w:rsidRDefault="00C50E03" w:rsidP="009542A3">
      <w:pPr>
        <w:spacing w:after="0" w:line="360" w:lineRule="auto"/>
        <w:jc w:val="both"/>
        <w:rPr>
          <w:rFonts w:ascii="Times New Roman" w:hAnsi="Times New Roman" w:cs="Times New Roman"/>
          <w:sz w:val="24"/>
          <w:szCs w:val="24"/>
        </w:rPr>
      </w:pPr>
    </w:p>
    <w:p w14:paraId="25689F72" w14:textId="77777777" w:rsidR="00C50E03" w:rsidRDefault="00C50E03" w:rsidP="009F4B75">
      <w:pPr>
        <w:pStyle w:val="Nadpis2"/>
        <w:ind w:left="284"/>
      </w:pPr>
      <w:bookmarkStart w:id="2361" w:name="_Toc485645901"/>
      <w:r>
        <w:t>7.5 Popis multiplikačných efektov</w:t>
      </w:r>
      <w:bookmarkEnd w:id="2361"/>
    </w:p>
    <w:p w14:paraId="39B99BA0" w14:textId="77777777" w:rsidR="009F4B75" w:rsidRPr="009F4B75" w:rsidRDefault="009F4B75" w:rsidP="009F4B75">
      <w:pPr>
        <w:spacing w:after="0"/>
      </w:pPr>
    </w:p>
    <w:p w14:paraId="20942058"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b/>
          <w:bCs/>
          <w:color w:val="000000"/>
          <w:sz w:val="24"/>
          <w:szCs w:val="24"/>
        </w:rPr>
        <w:t xml:space="preserve">Pozitívne multiplikačné efekty </w:t>
      </w:r>
    </w:p>
    <w:p w14:paraId="6DA993ED"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Stratégia CLLD a systém LEADER </w:t>
      </w:r>
      <w:r>
        <w:rPr>
          <w:rFonts w:ascii="Times New Roman" w:hAnsi="Times New Roman" w:cs="Times New Roman"/>
          <w:color w:val="000000"/>
          <w:sz w:val="24"/>
          <w:szCs w:val="24"/>
        </w:rPr>
        <w:t>sú vo svojej podstate založené na podpore</w:t>
      </w:r>
      <w:r w:rsidRPr="006E479E">
        <w:rPr>
          <w:rFonts w:ascii="Times New Roman" w:hAnsi="Times New Roman" w:cs="Times New Roman"/>
          <w:color w:val="000000"/>
          <w:sz w:val="24"/>
          <w:szCs w:val="24"/>
        </w:rPr>
        <w:t xml:space="preserve"> multiplikačného efektu. Vzhľadom na charakter stratégie CLLD a výšku zdrojov nemá CLLD stratégia potenciál naraz zmeniť podmienky života a stav regiónu. Podstatou stratégie CLLD a jej integrovaného prístupu je </w:t>
      </w:r>
      <w:r>
        <w:rPr>
          <w:rFonts w:ascii="Times New Roman" w:hAnsi="Times New Roman" w:cs="Times New Roman"/>
          <w:color w:val="000000"/>
          <w:sz w:val="24"/>
          <w:szCs w:val="24"/>
        </w:rPr>
        <w:t>rozvoj</w:t>
      </w:r>
      <w:r w:rsidRPr="006E479E">
        <w:rPr>
          <w:rFonts w:ascii="Times New Roman" w:hAnsi="Times New Roman" w:cs="Times New Roman"/>
          <w:color w:val="000000"/>
          <w:sz w:val="24"/>
          <w:szCs w:val="24"/>
        </w:rPr>
        <w:t xml:space="preserve"> regiónu</w:t>
      </w:r>
      <w:r>
        <w:rPr>
          <w:rFonts w:ascii="Times New Roman" w:hAnsi="Times New Roman" w:cs="Times New Roman"/>
          <w:color w:val="000000"/>
          <w:sz w:val="24"/>
          <w:szCs w:val="24"/>
        </w:rPr>
        <w:t xml:space="preserve"> a vidieka</w:t>
      </w:r>
      <w:r w:rsidRPr="006E479E">
        <w:rPr>
          <w:rFonts w:ascii="Times New Roman" w:hAnsi="Times New Roman" w:cs="Times New Roman"/>
          <w:color w:val="000000"/>
          <w:sz w:val="24"/>
          <w:szCs w:val="24"/>
        </w:rPr>
        <w:t xml:space="preserve">. Opatrenia a aktivity </w:t>
      </w:r>
      <w:r>
        <w:rPr>
          <w:rFonts w:ascii="Times New Roman" w:hAnsi="Times New Roman" w:cs="Times New Roman"/>
          <w:color w:val="000000"/>
          <w:sz w:val="24"/>
          <w:szCs w:val="24"/>
        </w:rPr>
        <w:t xml:space="preserve">navrhované </w:t>
      </w:r>
      <w:r w:rsidRPr="006E479E">
        <w:rPr>
          <w:rFonts w:ascii="Times New Roman" w:hAnsi="Times New Roman" w:cs="Times New Roman"/>
          <w:color w:val="000000"/>
          <w:sz w:val="24"/>
          <w:szCs w:val="24"/>
        </w:rPr>
        <w:t xml:space="preserve"> CLLD stratégiou sú zamerané na také aktivity, ktoré majú výrazný multiplikačný efekt, t.j. podporujú generovanie ďalších rozvojových aktivít. Výslednými multiplikačnými efektami stratégie sú: </w:t>
      </w:r>
    </w:p>
    <w:p w14:paraId="1D9CE1A3"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rast počtu pracovných miest, </w:t>
      </w:r>
    </w:p>
    <w:p w14:paraId="2688EB7B"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vyššia miera uplatnenia sa obyvateľstva, </w:t>
      </w:r>
    </w:p>
    <w:p w14:paraId="6DBE892D"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vyššia miera využívania miestnych zdrojov, </w:t>
      </w:r>
    </w:p>
    <w:p w14:paraId="41A165BB"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rast návštevnosti regiónu, </w:t>
      </w:r>
    </w:p>
    <w:p w14:paraId="67C87D70"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rozširovanie spektra služieb pre obyvateľov a návštevníkov, </w:t>
      </w:r>
    </w:p>
    <w:p w14:paraId="11812EF9"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navyšovanie príjmov obcí z daní, </w:t>
      </w:r>
    </w:p>
    <w:p w14:paraId="23F3AE8C"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navyšovanie príjmov vidieckeho obyvateľstva a zvyšovanie kúpnej sily domácností, </w:t>
      </w:r>
    </w:p>
    <w:p w14:paraId="567BEB27"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rast investícií v oblasti cestovného ruchu, </w:t>
      </w:r>
    </w:p>
    <w:p w14:paraId="6AF91D25"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479E">
        <w:rPr>
          <w:rFonts w:ascii="Times New Roman" w:hAnsi="Times New Roman" w:cs="Times New Roman"/>
          <w:color w:val="000000"/>
          <w:sz w:val="24"/>
          <w:szCs w:val="24"/>
        </w:rPr>
        <w:t xml:space="preserve">rast investícií do oblasti sociálnych služieb a riešenia sociálnych problémov najmä marginalizovaných skupín obyvateľstva, </w:t>
      </w:r>
    </w:p>
    <w:p w14:paraId="71DFF672"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sidRPr="006E479E">
        <w:rPr>
          <w:rFonts w:ascii="Times New Roman" w:hAnsi="Times New Roman" w:cs="Times New Roman"/>
          <w:color w:val="000000"/>
          <w:sz w:val="24"/>
          <w:szCs w:val="24"/>
        </w:rPr>
        <w:t xml:space="preserve">- skvalitňovanie vzťahu obyvateľstva k životnému prostrediu, </w:t>
      </w:r>
    </w:p>
    <w:p w14:paraId="37FE63BB"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nárast</w:t>
      </w:r>
      <w:r w:rsidRPr="006E479E">
        <w:rPr>
          <w:rFonts w:ascii="Times New Roman" w:hAnsi="Times New Roman" w:cs="Times New Roman"/>
          <w:color w:val="000000"/>
          <w:sz w:val="24"/>
          <w:szCs w:val="24"/>
        </w:rPr>
        <w:t xml:space="preserve"> záujmu o tradície a kultúru regiónu, </w:t>
      </w:r>
    </w:p>
    <w:p w14:paraId="3544E190"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xml:space="preserve">- prehlbovanie miery spolupráce v území, či už sektorovej alebo medzisektorovej, </w:t>
      </w:r>
    </w:p>
    <w:p w14:paraId="2E8E28FB"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zv</w:t>
      </w:r>
      <w:r>
        <w:rPr>
          <w:rFonts w:ascii="Times New Roman" w:hAnsi="Times New Roman" w:cs="Times New Roman"/>
          <w:sz w:val="24"/>
          <w:szCs w:val="24"/>
        </w:rPr>
        <w:t>ýšenie kvality</w:t>
      </w:r>
      <w:r w:rsidRPr="006E479E">
        <w:rPr>
          <w:rFonts w:ascii="Times New Roman" w:hAnsi="Times New Roman" w:cs="Times New Roman"/>
          <w:sz w:val="24"/>
          <w:szCs w:val="24"/>
        </w:rPr>
        <w:t xml:space="preserve"> života obyvateľov a socio-ekonomická situácia v území. </w:t>
      </w:r>
    </w:p>
    <w:p w14:paraId="1EC6EC98"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p>
    <w:p w14:paraId="506F3AAA"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xml:space="preserve">Za najdôležitejší multiplikačný efekt však považujeme </w:t>
      </w:r>
      <w:r w:rsidRPr="006E479E">
        <w:rPr>
          <w:rFonts w:ascii="Times New Roman" w:hAnsi="Times New Roman" w:cs="Times New Roman"/>
          <w:b/>
          <w:bCs/>
          <w:sz w:val="24"/>
          <w:szCs w:val="24"/>
        </w:rPr>
        <w:t xml:space="preserve">zvyšovanie záujmu obyvateľstva o stav regiónu </w:t>
      </w:r>
      <w:r w:rsidRPr="006E479E">
        <w:rPr>
          <w:rFonts w:ascii="Times New Roman" w:hAnsi="Times New Roman" w:cs="Times New Roman"/>
          <w:sz w:val="24"/>
          <w:szCs w:val="24"/>
        </w:rPr>
        <w:t xml:space="preserve">v ktorom žijú a </w:t>
      </w:r>
      <w:r w:rsidRPr="006E479E">
        <w:rPr>
          <w:rFonts w:ascii="Times New Roman" w:hAnsi="Times New Roman" w:cs="Times New Roman"/>
          <w:b/>
          <w:bCs/>
          <w:sz w:val="24"/>
          <w:szCs w:val="24"/>
        </w:rPr>
        <w:t>aktívnejšie zapájanie občanov sa do komunitného života</w:t>
      </w:r>
      <w:r w:rsidRPr="006E479E">
        <w:rPr>
          <w:rFonts w:ascii="Times New Roman" w:hAnsi="Times New Roman" w:cs="Times New Roman"/>
          <w:sz w:val="24"/>
          <w:szCs w:val="24"/>
        </w:rPr>
        <w:t xml:space="preserve">. </w:t>
      </w:r>
    </w:p>
    <w:p w14:paraId="562A757B"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b/>
          <w:bCs/>
          <w:sz w:val="24"/>
          <w:szCs w:val="24"/>
        </w:rPr>
        <w:lastRenderedPageBreak/>
        <w:t xml:space="preserve">Diseminácia (šírenie) výsledkov </w:t>
      </w:r>
    </w:p>
    <w:p w14:paraId="35E9D4D6"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xml:space="preserve">Je dôležité zabezpečiť čo najširšiu „akceptáciu“ realizovaných projektov, aktivít stratégie CLLD a ich výsledkov medzi verejnosťou, či už laickou, alebo odbornou. Pre tento účel je špeciálne zamerané opatrenie </w:t>
      </w:r>
      <w:r>
        <w:rPr>
          <w:rFonts w:ascii="Times New Roman" w:hAnsi="Times New Roman" w:cs="Times New Roman"/>
          <w:sz w:val="24"/>
          <w:szCs w:val="24"/>
        </w:rPr>
        <w:t>4</w:t>
      </w:r>
      <w:r w:rsidRPr="006E479E">
        <w:rPr>
          <w:rFonts w:ascii="Times New Roman" w:hAnsi="Times New Roman" w:cs="Times New Roman"/>
          <w:sz w:val="24"/>
          <w:szCs w:val="24"/>
        </w:rPr>
        <w:t>.</w:t>
      </w:r>
      <w:r>
        <w:rPr>
          <w:rFonts w:ascii="Times New Roman" w:hAnsi="Times New Roman" w:cs="Times New Roman"/>
          <w:sz w:val="24"/>
          <w:szCs w:val="24"/>
        </w:rPr>
        <w:t>1</w:t>
      </w:r>
      <w:r w:rsidRPr="006E479E">
        <w:rPr>
          <w:rFonts w:ascii="Times New Roman" w:hAnsi="Times New Roman" w:cs="Times New Roman"/>
          <w:sz w:val="24"/>
          <w:szCs w:val="24"/>
        </w:rPr>
        <w:t xml:space="preserve">, v rámci ktorého sa budú realizovať: </w:t>
      </w:r>
    </w:p>
    <w:p w14:paraId="6696F7D2"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xml:space="preserve">- </w:t>
      </w:r>
      <w:r w:rsidRPr="006E479E">
        <w:rPr>
          <w:rFonts w:ascii="Times New Roman" w:hAnsi="Times New Roman" w:cs="Times New Roman"/>
          <w:b/>
          <w:bCs/>
          <w:sz w:val="24"/>
          <w:szCs w:val="24"/>
        </w:rPr>
        <w:t>vzájomné výmeny informácií a skúseností medzi miestnymi aktérmi</w:t>
      </w:r>
      <w:r w:rsidRPr="006E479E">
        <w:rPr>
          <w:rFonts w:ascii="Times New Roman" w:hAnsi="Times New Roman" w:cs="Times New Roman"/>
          <w:sz w:val="24"/>
          <w:szCs w:val="24"/>
        </w:rPr>
        <w:t xml:space="preserve"> formou seminárov, konferencií, workshopov pre členov MAS,</w:t>
      </w:r>
      <w:r>
        <w:rPr>
          <w:rFonts w:ascii="Times New Roman" w:hAnsi="Times New Roman" w:cs="Times New Roman"/>
          <w:sz w:val="24"/>
          <w:szCs w:val="24"/>
        </w:rPr>
        <w:t xml:space="preserve"> ďalších aktérov.</w:t>
      </w:r>
      <w:r w:rsidRPr="006E479E">
        <w:rPr>
          <w:rFonts w:ascii="Times New Roman" w:hAnsi="Times New Roman" w:cs="Times New Roman"/>
          <w:sz w:val="24"/>
          <w:szCs w:val="24"/>
        </w:rPr>
        <w:t xml:space="preserve"> </w:t>
      </w:r>
      <w:r>
        <w:rPr>
          <w:rFonts w:ascii="Times New Roman" w:hAnsi="Times New Roman" w:cs="Times New Roman"/>
          <w:sz w:val="24"/>
          <w:szCs w:val="24"/>
        </w:rPr>
        <w:t>O</w:t>
      </w:r>
      <w:r w:rsidRPr="006E479E">
        <w:rPr>
          <w:rFonts w:ascii="Times New Roman" w:hAnsi="Times New Roman" w:cs="Times New Roman"/>
          <w:sz w:val="24"/>
          <w:szCs w:val="24"/>
        </w:rPr>
        <w:t xml:space="preserve">krem výmeny informácií budú zamerané aj na rozširovanie vedomostí a zručností pri vykonávaní stratégie CLLD a s tým spojených prác </w:t>
      </w:r>
    </w:p>
    <w:p w14:paraId="48AE2A93"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 xml:space="preserve">- </w:t>
      </w:r>
      <w:r w:rsidRPr="006E479E">
        <w:rPr>
          <w:rFonts w:ascii="Times New Roman" w:hAnsi="Times New Roman" w:cs="Times New Roman"/>
          <w:b/>
          <w:bCs/>
          <w:sz w:val="24"/>
          <w:szCs w:val="24"/>
        </w:rPr>
        <w:t>propagačné a informačné aktivity</w:t>
      </w:r>
      <w:r w:rsidRPr="006E479E">
        <w:rPr>
          <w:rFonts w:ascii="Times New Roman" w:hAnsi="Times New Roman" w:cs="Times New Roman"/>
          <w:sz w:val="24"/>
          <w:szCs w:val="24"/>
        </w:rPr>
        <w:t xml:space="preserve">, prezentujúce výsledky napríklad formou tlačených materiálov, webových stránok, banerov, prezentačných stánkov a pod. </w:t>
      </w:r>
    </w:p>
    <w:p w14:paraId="5CA429D5"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p>
    <w:p w14:paraId="20E5C7D1"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b/>
          <w:bCs/>
          <w:sz w:val="24"/>
          <w:szCs w:val="24"/>
        </w:rPr>
        <w:t xml:space="preserve">Hodnotenie multiplikačných efektov </w:t>
      </w:r>
    </w:p>
    <w:p w14:paraId="2A2F64EF"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Hodnotenie multiplikačných efektov je súčasť procesu hodnotenia implementácie stratégie – plnenia cieľov a dosahovania výsledkov a výstupov projektov. Toto hodnotenie sa vykonáva ako súčasť strednodobého hodnotenia - v polovici implementácie stratégie CLLD (najneskôr do 30.6.2020) a ak</w:t>
      </w:r>
      <w:r>
        <w:rPr>
          <w:rFonts w:ascii="Times New Roman" w:hAnsi="Times New Roman" w:cs="Times New Roman"/>
          <w:sz w:val="24"/>
          <w:szCs w:val="24"/>
        </w:rPr>
        <w:t>o súčasť záverečného hodnotenia.</w:t>
      </w:r>
    </w:p>
    <w:p w14:paraId="773FEDA7" w14:textId="77777777" w:rsidR="00D154B9" w:rsidRPr="006E479E" w:rsidRDefault="00D154B9" w:rsidP="00D154B9">
      <w:pPr>
        <w:autoSpaceDE w:val="0"/>
        <w:autoSpaceDN w:val="0"/>
        <w:adjustRightInd w:val="0"/>
        <w:spacing w:after="0" w:line="360" w:lineRule="auto"/>
        <w:jc w:val="both"/>
        <w:rPr>
          <w:rFonts w:ascii="Times New Roman" w:hAnsi="Times New Roman" w:cs="Times New Roman"/>
          <w:sz w:val="24"/>
          <w:szCs w:val="24"/>
        </w:rPr>
      </w:pPr>
      <w:r w:rsidRPr="006E479E">
        <w:rPr>
          <w:rFonts w:ascii="Times New Roman" w:hAnsi="Times New Roman" w:cs="Times New Roman"/>
          <w:sz w:val="24"/>
          <w:szCs w:val="24"/>
        </w:rPr>
        <w:t>Na základe vyhodnotenia monitorovacích ukazovateľov sa realizuje hodnotenie prínosu stratégie CLLD v širšej väzbe na dopad regiónu na úrovni jednotlivých multiplikačných efektov ako aj mieru a úroveň diseminácie výsledkov a výstupov implementácie stratégie. Pri hodnotení sa využívajú štatistické a evidenčné údaje jednotlivých sektorov a miestnych úradov, ale najmä vlastné hodnotenie členmi monitorovacieho výboru v spolupr</w:t>
      </w:r>
      <w:r>
        <w:rPr>
          <w:rFonts w:ascii="Times New Roman" w:hAnsi="Times New Roman" w:cs="Times New Roman"/>
          <w:sz w:val="24"/>
          <w:szCs w:val="24"/>
        </w:rPr>
        <w:t>áci s podkladmi kancelárie MAS.</w:t>
      </w:r>
    </w:p>
    <w:p w14:paraId="6A8D0EC9" w14:textId="77777777" w:rsidR="00D154B9" w:rsidRPr="006E479E" w:rsidRDefault="00D154B9" w:rsidP="00D154B9">
      <w:pPr>
        <w:spacing w:line="360" w:lineRule="auto"/>
        <w:jc w:val="both"/>
        <w:rPr>
          <w:sz w:val="24"/>
          <w:szCs w:val="24"/>
        </w:rPr>
      </w:pPr>
      <w:r w:rsidRPr="006E479E">
        <w:rPr>
          <w:rFonts w:ascii="Times New Roman" w:hAnsi="Times New Roman" w:cs="Times New Roman"/>
          <w:sz w:val="24"/>
          <w:szCs w:val="24"/>
        </w:rPr>
        <w:t>S verejnosťou budú komunikované výsledky každého projektu, ako aj celkové výsledky stratégie CLLD. Súčasťou komunikácie bude aj získavanie spätnej väzby napríklad o dopadoch projektov a stratégie na život občanov, spôsobe riešenia defi</w:t>
      </w:r>
      <w:r>
        <w:rPr>
          <w:rFonts w:ascii="Times New Roman" w:hAnsi="Times New Roman" w:cs="Times New Roman"/>
          <w:sz w:val="24"/>
          <w:szCs w:val="24"/>
        </w:rPr>
        <w:t>novaných problémov a</w:t>
      </w:r>
      <w:r w:rsidRPr="006E479E">
        <w:rPr>
          <w:rFonts w:ascii="Times New Roman" w:hAnsi="Times New Roman" w:cs="Times New Roman"/>
          <w:sz w:val="24"/>
          <w:szCs w:val="24"/>
        </w:rPr>
        <w:t>pod.</w:t>
      </w:r>
      <w:r>
        <w:rPr>
          <w:rFonts w:ascii="Times New Roman" w:hAnsi="Times New Roman" w:cs="Times New Roman"/>
          <w:sz w:val="24"/>
          <w:szCs w:val="24"/>
        </w:rPr>
        <w:t>.</w:t>
      </w:r>
    </w:p>
    <w:p w14:paraId="407D1D3F" w14:textId="77777777" w:rsidR="00C50E03" w:rsidRDefault="00C50E03" w:rsidP="00C50E03"/>
    <w:p w14:paraId="1AD7C6C4" w14:textId="77777777" w:rsidR="00C50E03" w:rsidRDefault="00C50E03" w:rsidP="00C50E03"/>
    <w:p w14:paraId="62F10E9D" w14:textId="77777777" w:rsidR="00C50E03" w:rsidRDefault="00C50E03" w:rsidP="00C50E03"/>
    <w:p w14:paraId="54CA8CD4" w14:textId="77777777" w:rsidR="000E2D5E" w:rsidRDefault="000E2D5E" w:rsidP="00C50E03"/>
    <w:p w14:paraId="79897B27" w14:textId="77777777" w:rsidR="00C50E03" w:rsidRDefault="00C50E03" w:rsidP="00C50E03"/>
    <w:p w14:paraId="2A4674B7" w14:textId="77777777" w:rsidR="00C50E03" w:rsidRPr="00C50E03" w:rsidRDefault="00C50E03" w:rsidP="00C50E03">
      <w:pPr>
        <w:pStyle w:val="Nadpis1"/>
        <w:numPr>
          <w:ilvl w:val="0"/>
          <w:numId w:val="7"/>
        </w:numPr>
      </w:pPr>
      <w:bookmarkStart w:id="2362" w:name="_Toc485645902"/>
      <w:r>
        <w:lastRenderedPageBreak/>
        <w:t>Prílohy k stratégii CLLD</w:t>
      </w:r>
      <w:bookmarkEnd w:id="2362"/>
    </w:p>
    <w:p w14:paraId="6BF85988" w14:textId="77777777" w:rsidR="007A044F" w:rsidRPr="00301FF3" w:rsidRDefault="00301FF3" w:rsidP="00E37887">
      <w:pPr>
        <w:spacing w:after="0" w:line="360" w:lineRule="auto"/>
        <w:jc w:val="both"/>
        <w:rPr>
          <w:rFonts w:ascii="Times New Roman" w:hAnsi="Times New Roman" w:cs="Times New Roman"/>
          <w:sz w:val="24"/>
          <w:szCs w:val="24"/>
        </w:rPr>
      </w:pPr>
      <w:r w:rsidRPr="00301FF3">
        <w:rPr>
          <w:rFonts w:ascii="Times New Roman" w:hAnsi="Times New Roman" w:cs="Times New Roman"/>
          <w:sz w:val="24"/>
          <w:szCs w:val="24"/>
        </w:rPr>
        <w:t>Príloha č. 1 k stratégii CLLD: Vymedzenie územia a obyvateľstva MAS</w:t>
      </w:r>
    </w:p>
    <w:p w14:paraId="318FBA6E" w14:textId="77777777" w:rsidR="00301FF3" w:rsidRDefault="00301FF3" w:rsidP="00301FF3">
      <w:pPr>
        <w:spacing w:after="0" w:line="360" w:lineRule="auto"/>
        <w:ind w:left="3261" w:hanging="3261"/>
        <w:jc w:val="both"/>
        <w:rPr>
          <w:rFonts w:ascii="Times New Roman" w:hAnsi="Times New Roman" w:cs="Times New Roman"/>
          <w:sz w:val="24"/>
          <w:szCs w:val="24"/>
        </w:rPr>
      </w:pPr>
      <w:r>
        <w:rPr>
          <w:rFonts w:ascii="Times New Roman" w:hAnsi="Times New Roman" w:cs="Times New Roman"/>
          <w:sz w:val="24"/>
          <w:szCs w:val="24"/>
        </w:rPr>
        <w:t xml:space="preserve">Príloha č. </w:t>
      </w:r>
      <w:r w:rsidRPr="00301FF3">
        <w:rPr>
          <w:rFonts w:ascii="Times New Roman" w:hAnsi="Times New Roman" w:cs="Times New Roman"/>
          <w:sz w:val="24"/>
          <w:szCs w:val="24"/>
        </w:rPr>
        <w:t xml:space="preserve">2 k stratégii CLLD: Doklad o súhlase </w:t>
      </w:r>
      <w:r w:rsidR="000E2D5E" w:rsidRPr="00301FF3">
        <w:rPr>
          <w:rFonts w:ascii="Times New Roman" w:hAnsi="Times New Roman" w:cs="Times New Roman"/>
          <w:sz w:val="24"/>
          <w:szCs w:val="24"/>
        </w:rPr>
        <w:t>všetkých</w:t>
      </w:r>
      <w:r w:rsidRPr="00301FF3">
        <w:rPr>
          <w:rFonts w:ascii="Times New Roman" w:hAnsi="Times New Roman" w:cs="Times New Roman"/>
          <w:sz w:val="24"/>
          <w:szCs w:val="24"/>
        </w:rPr>
        <w:t xml:space="preserve"> obcí so zaradením do územia pôsobnosti MAS</w:t>
      </w:r>
    </w:p>
    <w:p w14:paraId="71EFE9E5" w14:textId="77777777" w:rsidR="00301FF3" w:rsidRDefault="00301FF3" w:rsidP="00301FF3">
      <w:pPr>
        <w:spacing w:after="0" w:line="360" w:lineRule="auto"/>
        <w:ind w:left="3261" w:hanging="3261"/>
        <w:jc w:val="both"/>
        <w:rPr>
          <w:rFonts w:ascii="Times New Roman" w:hAnsi="Times New Roman" w:cs="Times New Roman"/>
          <w:sz w:val="24"/>
          <w:szCs w:val="24"/>
        </w:rPr>
      </w:pPr>
      <w:r>
        <w:rPr>
          <w:rFonts w:ascii="Times New Roman" w:hAnsi="Times New Roman" w:cs="Times New Roman"/>
          <w:sz w:val="24"/>
          <w:szCs w:val="24"/>
        </w:rPr>
        <w:t>Príloha č. 3 k stratégii CLLD: Mapa územia MAS</w:t>
      </w:r>
    </w:p>
    <w:p w14:paraId="1BECF187" w14:textId="77777777" w:rsidR="00301FF3" w:rsidRDefault="00301FF3" w:rsidP="00301FF3">
      <w:pPr>
        <w:spacing w:after="0" w:line="360" w:lineRule="auto"/>
        <w:ind w:left="3261" w:hanging="3261"/>
        <w:jc w:val="both"/>
        <w:rPr>
          <w:rFonts w:ascii="Times New Roman" w:hAnsi="Times New Roman" w:cs="Times New Roman"/>
          <w:sz w:val="24"/>
          <w:szCs w:val="24"/>
        </w:rPr>
      </w:pPr>
      <w:r>
        <w:rPr>
          <w:rFonts w:ascii="Times New Roman" w:hAnsi="Times New Roman" w:cs="Times New Roman"/>
          <w:sz w:val="24"/>
          <w:szCs w:val="24"/>
        </w:rPr>
        <w:t>Príloha č. 4 k stratégii CLLD: Zoznam členov MAS podľa sektorov (vrátane obcí)</w:t>
      </w:r>
    </w:p>
    <w:p w14:paraId="6BFA7AEB" w14:textId="77777777" w:rsid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5 k stratégii CLLD: Dokumenty preukazujúce proces tvorby a formovania partnerstva</w:t>
      </w:r>
    </w:p>
    <w:p w14:paraId="034A7007" w14:textId="77777777" w:rsid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5.1 k stratégii CLLD: Dokumenty preukazujúce proces tvorby stratégie CLLD (informačné aktivity)</w:t>
      </w:r>
    </w:p>
    <w:p w14:paraId="59B86A53" w14:textId="77777777" w:rsid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6 k stratégii CLLD: Zoznam zdrojov (analýzy) a vstupných dokumentov</w:t>
      </w:r>
    </w:p>
    <w:p w14:paraId="12D3CB53" w14:textId="77777777" w:rsid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7 k stratégii CLLD: Organizačná štruktúra MAS</w:t>
      </w:r>
    </w:p>
    <w:p w14:paraId="622BD91C" w14:textId="77777777" w:rsid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8 k stratégii CLLD: Personálna matica MASS CLLD</w:t>
      </w:r>
    </w:p>
    <w:p w14:paraId="4734FC96" w14:textId="77777777" w:rsidR="00301FF3" w:rsidRPr="00301FF3" w:rsidRDefault="00301FF3" w:rsidP="00301FF3">
      <w:pPr>
        <w:spacing w:after="0" w:line="360" w:lineRule="auto"/>
        <w:ind w:left="3544" w:hanging="3544"/>
        <w:jc w:val="both"/>
        <w:rPr>
          <w:rFonts w:ascii="Times New Roman" w:hAnsi="Times New Roman" w:cs="Times New Roman"/>
          <w:sz w:val="24"/>
          <w:szCs w:val="24"/>
        </w:rPr>
      </w:pPr>
      <w:r>
        <w:rPr>
          <w:rFonts w:ascii="Times New Roman" w:hAnsi="Times New Roman" w:cs="Times New Roman"/>
          <w:sz w:val="24"/>
          <w:szCs w:val="24"/>
        </w:rPr>
        <w:t>Príloha č. 9 k stratégii CLLD: Štatúty, interné smernice, stanovy MAS</w:t>
      </w:r>
    </w:p>
    <w:p w14:paraId="56CAD22B" w14:textId="77777777" w:rsidR="00433475" w:rsidRPr="00AA590E" w:rsidRDefault="00433475" w:rsidP="00BE32B7">
      <w:pPr>
        <w:spacing w:after="0" w:line="360" w:lineRule="auto"/>
        <w:jc w:val="both"/>
        <w:rPr>
          <w:rFonts w:ascii="Times New Roman" w:hAnsi="Times New Roman" w:cs="Times New Roman"/>
          <w:sz w:val="24"/>
          <w:szCs w:val="24"/>
        </w:rPr>
      </w:pPr>
    </w:p>
    <w:sectPr w:rsidR="00433475" w:rsidRPr="00AA590E" w:rsidSect="008530FD">
      <w:pgSz w:w="11906" w:h="16838"/>
      <w:pgMar w:top="1418" w:right="1134" w:bottom="1418" w:left="1701" w:header="1077"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E1FBC" w14:textId="77777777" w:rsidR="00EE618F" w:rsidRDefault="00EE618F" w:rsidP="0092037F">
      <w:pPr>
        <w:spacing w:after="0" w:line="240" w:lineRule="auto"/>
      </w:pPr>
      <w:r>
        <w:separator/>
      </w:r>
    </w:p>
  </w:endnote>
  <w:endnote w:type="continuationSeparator" w:id="0">
    <w:p w14:paraId="03790970" w14:textId="77777777" w:rsidR="00EE618F" w:rsidRDefault="00EE618F" w:rsidP="0092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04135"/>
      <w:docPartObj>
        <w:docPartGallery w:val="Page Numbers (Bottom of Page)"/>
        <w:docPartUnique/>
      </w:docPartObj>
    </w:sdtPr>
    <w:sdtEndPr>
      <w:rPr>
        <w:rFonts w:ascii="Times New Roman" w:hAnsi="Times New Roman" w:cs="Times New Roman"/>
        <w:sz w:val="20"/>
        <w:szCs w:val="20"/>
      </w:rPr>
    </w:sdtEndPr>
    <w:sdtContent>
      <w:p w14:paraId="276CEC3A" w14:textId="77777777" w:rsidR="00134DCA" w:rsidRPr="002C5595" w:rsidRDefault="00134DCA">
        <w:pPr>
          <w:pStyle w:val="Pta"/>
          <w:jc w:val="right"/>
          <w:rPr>
            <w:rFonts w:ascii="Times New Roman" w:hAnsi="Times New Roman" w:cs="Times New Roman"/>
            <w:sz w:val="20"/>
            <w:szCs w:val="20"/>
          </w:rPr>
        </w:pPr>
        <w:r w:rsidRPr="002C5595">
          <w:rPr>
            <w:rFonts w:ascii="Times New Roman" w:hAnsi="Times New Roman" w:cs="Times New Roman"/>
            <w:sz w:val="24"/>
            <w:szCs w:val="24"/>
          </w:rPr>
          <w:fldChar w:fldCharType="begin"/>
        </w:r>
        <w:r w:rsidRPr="002C5595">
          <w:rPr>
            <w:rFonts w:ascii="Times New Roman" w:hAnsi="Times New Roman" w:cs="Times New Roman"/>
            <w:sz w:val="24"/>
            <w:szCs w:val="24"/>
          </w:rPr>
          <w:instrText>PAGE   \* MERGEFORMAT</w:instrText>
        </w:r>
        <w:r w:rsidRPr="002C5595">
          <w:rPr>
            <w:rFonts w:ascii="Times New Roman" w:hAnsi="Times New Roman" w:cs="Times New Roman"/>
            <w:sz w:val="24"/>
            <w:szCs w:val="24"/>
          </w:rPr>
          <w:fldChar w:fldCharType="separate"/>
        </w:r>
        <w:r w:rsidR="001419AA">
          <w:rPr>
            <w:rFonts w:ascii="Times New Roman" w:hAnsi="Times New Roman" w:cs="Times New Roman"/>
            <w:noProof/>
            <w:sz w:val="24"/>
            <w:szCs w:val="24"/>
          </w:rPr>
          <w:t>176</w:t>
        </w:r>
        <w:r w:rsidRPr="002C5595">
          <w:rPr>
            <w:rFonts w:ascii="Times New Roman" w:hAnsi="Times New Roman" w:cs="Times New Roman"/>
            <w:sz w:val="24"/>
            <w:szCs w:val="24"/>
          </w:rPr>
          <w:fldChar w:fldCharType="end"/>
        </w:r>
      </w:p>
    </w:sdtContent>
  </w:sdt>
  <w:p w14:paraId="18AF2C3D" w14:textId="77777777" w:rsidR="00134DCA" w:rsidRDefault="00134DC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015383"/>
      <w:docPartObj>
        <w:docPartGallery w:val="Page Numbers (Bottom of Page)"/>
        <w:docPartUnique/>
      </w:docPartObj>
    </w:sdtPr>
    <w:sdtContent>
      <w:p w14:paraId="39B8FDBD" w14:textId="77777777" w:rsidR="00134DCA" w:rsidRDefault="00134DCA">
        <w:pPr>
          <w:pStyle w:val="Pta"/>
          <w:jc w:val="right"/>
        </w:pPr>
        <w:r>
          <w:fldChar w:fldCharType="begin"/>
        </w:r>
        <w:r>
          <w:instrText>PAGE   \* MERGEFORMAT</w:instrText>
        </w:r>
        <w:r>
          <w:fldChar w:fldCharType="separate"/>
        </w:r>
        <w:r w:rsidR="001419AA">
          <w:rPr>
            <w:noProof/>
          </w:rPr>
          <w:t>1</w:t>
        </w:r>
        <w:r>
          <w:fldChar w:fldCharType="end"/>
        </w:r>
      </w:p>
    </w:sdtContent>
  </w:sdt>
  <w:p w14:paraId="08EB1DF8" w14:textId="77777777" w:rsidR="00134DCA" w:rsidRDefault="00134DCA" w:rsidP="00787158">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51C8B" w14:textId="77777777" w:rsidR="00EE618F" w:rsidRDefault="00EE618F" w:rsidP="0092037F">
      <w:pPr>
        <w:spacing w:after="0" w:line="240" w:lineRule="auto"/>
      </w:pPr>
      <w:r>
        <w:separator/>
      </w:r>
    </w:p>
  </w:footnote>
  <w:footnote w:type="continuationSeparator" w:id="0">
    <w:p w14:paraId="055139FD" w14:textId="77777777" w:rsidR="00EE618F" w:rsidRDefault="00EE618F" w:rsidP="0092037F">
      <w:pPr>
        <w:spacing w:after="0" w:line="240" w:lineRule="auto"/>
      </w:pPr>
      <w:r>
        <w:continuationSeparator/>
      </w:r>
    </w:p>
  </w:footnote>
  <w:footnote w:id="1">
    <w:p w14:paraId="3DEDA6FE" w14:textId="77777777" w:rsidR="00134DCA" w:rsidRPr="005D5809" w:rsidRDefault="00134DCA" w:rsidP="000C1ED9">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
    <w:p w14:paraId="612C4346"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
    <w:p w14:paraId="7A1DCEEF"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
    <w:p w14:paraId="6498A65A"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5">
    <w:p w14:paraId="4F32AA87" w14:textId="77777777" w:rsidR="00134DCA" w:rsidRPr="00390600" w:rsidRDefault="00134DCA" w:rsidP="000C1ED9">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6">
    <w:p w14:paraId="65C4E318" w14:textId="77777777" w:rsidR="00134DCA" w:rsidRPr="005D5809" w:rsidRDefault="00134DCA" w:rsidP="000C1ED9">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7">
    <w:p w14:paraId="4D48F8B1"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8">
    <w:p w14:paraId="03798A80"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9">
    <w:p w14:paraId="68C30F10" w14:textId="77777777" w:rsidR="00134DCA" w:rsidRPr="008A7277" w:rsidRDefault="00134DCA" w:rsidP="000C1ED9">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0">
    <w:p w14:paraId="1E25CC5B" w14:textId="77777777" w:rsidR="00134DCA" w:rsidRPr="00390600" w:rsidRDefault="00134DCA" w:rsidP="000C1ED9">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1">
    <w:p w14:paraId="2B1D75FC"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2">
    <w:p w14:paraId="2443FD7F"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3">
    <w:p w14:paraId="5F60A669"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4">
    <w:p w14:paraId="19DCE99B"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5">
    <w:p w14:paraId="4AFAA285"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6">
    <w:p w14:paraId="0C399F89"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7">
    <w:p w14:paraId="19AA0EBB"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8">
    <w:p w14:paraId="2C03EC1C"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9">
    <w:p w14:paraId="2D85AF49"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0">
    <w:p w14:paraId="7CA25770"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1">
    <w:p w14:paraId="7B014E4F" w14:textId="77777777" w:rsidR="00134DCA" w:rsidRPr="005D5809" w:rsidRDefault="00134DCA" w:rsidP="00F5521F">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2">
    <w:p w14:paraId="7C2618D1" w14:textId="77777777" w:rsidR="00134DCA" w:rsidRPr="008A7277" w:rsidRDefault="00134DCA" w:rsidP="00F5521F">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3">
    <w:p w14:paraId="5C930E53" w14:textId="77777777" w:rsidR="00134DCA" w:rsidRPr="008A7277" w:rsidRDefault="00134DCA" w:rsidP="00F5521F">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4">
    <w:p w14:paraId="10995E7F" w14:textId="77777777" w:rsidR="00134DCA" w:rsidRPr="008A7277" w:rsidRDefault="00134DCA" w:rsidP="00F5521F">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5">
    <w:p w14:paraId="66CAE788" w14:textId="77777777" w:rsidR="00134DCA" w:rsidRPr="00390600" w:rsidRDefault="00134DCA" w:rsidP="00F5521F">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6">
    <w:p w14:paraId="11212B7E"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7">
    <w:p w14:paraId="408E4782"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8">
    <w:p w14:paraId="2D5A0BB0"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9">
    <w:p w14:paraId="727F2106"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0">
    <w:p w14:paraId="1222C4F7"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1">
    <w:p w14:paraId="5AEAECDA"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2">
    <w:p w14:paraId="018D5F16"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3">
    <w:p w14:paraId="27857415"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4">
    <w:p w14:paraId="45C32019"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5">
    <w:p w14:paraId="69B33596"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6">
    <w:p w14:paraId="1B1B9D34" w14:textId="77777777" w:rsidR="00134DCA" w:rsidRPr="005D5809" w:rsidRDefault="00134DCA" w:rsidP="00B26DD2">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7">
    <w:p w14:paraId="0D6A81FA" w14:textId="77777777" w:rsidR="00134DCA" w:rsidRPr="008A7277" w:rsidRDefault="00134DCA" w:rsidP="00B26DD2">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8">
    <w:p w14:paraId="4A08FC22" w14:textId="77777777" w:rsidR="00134DCA" w:rsidRPr="008A7277" w:rsidRDefault="00134DCA" w:rsidP="00B26DD2">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9">
    <w:p w14:paraId="55BD738D" w14:textId="77777777" w:rsidR="00134DCA" w:rsidRPr="008A7277" w:rsidRDefault="00134DCA" w:rsidP="00B26DD2">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40">
    <w:p w14:paraId="6006C1D6" w14:textId="77777777" w:rsidR="00134DCA" w:rsidRPr="00390600" w:rsidRDefault="00134DCA" w:rsidP="00B26DD2">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41">
    <w:p w14:paraId="7E4711DE"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42">
    <w:p w14:paraId="07857DC5"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43">
    <w:p w14:paraId="27369575"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4">
    <w:p w14:paraId="74106764"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45">
    <w:p w14:paraId="345B68E1"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46">
    <w:p w14:paraId="31D35BD4"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47">
    <w:p w14:paraId="14769090"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48">
    <w:p w14:paraId="23948ECD"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9">
    <w:p w14:paraId="15370194"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50">
    <w:p w14:paraId="7A443998"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51">
    <w:p w14:paraId="26626A37" w14:textId="77777777" w:rsidR="00134DCA" w:rsidRPr="005D5809" w:rsidRDefault="00134DCA" w:rsidP="00B23F58">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52">
    <w:p w14:paraId="28918C56" w14:textId="77777777" w:rsidR="00134DCA" w:rsidRPr="008A7277" w:rsidRDefault="00134DCA" w:rsidP="00B23F58">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53">
    <w:p w14:paraId="72C1763D" w14:textId="77777777" w:rsidR="00134DCA" w:rsidRPr="008A7277" w:rsidRDefault="00134DCA" w:rsidP="00B23F58">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54">
    <w:p w14:paraId="02E1E871" w14:textId="77777777" w:rsidR="00134DCA" w:rsidRPr="008A7277" w:rsidRDefault="00134DCA" w:rsidP="00B23F58">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55">
    <w:p w14:paraId="2F9EE848" w14:textId="77777777" w:rsidR="00134DCA" w:rsidRPr="00390600" w:rsidRDefault="00134DCA" w:rsidP="00B23F58">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56">
    <w:p w14:paraId="7E41D298"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57">
    <w:p w14:paraId="3E390A27"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58">
    <w:p w14:paraId="2D475A9A"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59">
    <w:p w14:paraId="256B9705"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60">
    <w:p w14:paraId="2B8D62D3"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61">
    <w:p w14:paraId="6A15017B" w14:textId="77777777" w:rsidR="00134DCA" w:rsidRPr="005D5809" w:rsidRDefault="00134DCA" w:rsidP="00C02D67">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62">
    <w:p w14:paraId="42E6BACD"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63">
    <w:p w14:paraId="289932A0"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64">
    <w:p w14:paraId="1837EA09" w14:textId="77777777" w:rsidR="00134DCA" w:rsidRPr="008A7277" w:rsidRDefault="00134DCA" w:rsidP="00C02D67">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65">
    <w:p w14:paraId="341A20CE" w14:textId="77777777" w:rsidR="00134DCA" w:rsidRPr="00390600" w:rsidRDefault="00134DCA" w:rsidP="00C02D67">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66">
    <w:p w14:paraId="696947E4" w14:textId="77777777" w:rsidR="00134DCA" w:rsidRPr="008A7277" w:rsidRDefault="00134DCA" w:rsidP="000414D6">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67">
    <w:p w14:paraId="06F7D37E"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68">
    <w:p w14:paraId="6C793E32"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69">
    <w:p w14:paraId="0253F190"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0">
    <w:p w14:paraId="6966DC47"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1">
    <w:p w14:paraId="2A1D8E20"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2">
    <w:p w14:paraId="4AE2358B" w14:textId="77777777" w:rsidR="00134DCA" w:rsidRPr="008A7277" w:rsidRDefault="00134DCA" w:rsidP="00596F31">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3">
    <w:p w14:paraId="632D001E" w14:textId="77777777" w:rsidR="00134DCA" w:rsidRPr="008A7277" w:rsidRDefault="00134DCA" w:rsidP="00E14125">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4">
    <w:p w14:paraId="506A6AF2" w14:textId="77777777" w:rsidR="00134DCA" w:rsidRPr="008A7277" w:rsidRDefault="00134DCA" w:rsidP="00E14125">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5">
    <w:p w14:paraId="1D959CE9" w14:textId="77777777" w:rsidR="00134DCA" w:rsidRPr="008A7277" w:rsidRDefault="00134DCA" w:rsidP="00E06AD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6">
    <w:p w14:paraId="0FB145B4" w14:textId="77777777" w:rsidR="00134DCA" w:rsidRPr="008A7277" w:rsidRDefault="00134DCA" w:rsidP="00E06AD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7">
    <w:p w14:paraId="1ECBC091" w14:textId="77777777" w:rsidR="00134DCA" w:rsidRPr="008A7277" w:rsidRDefault="00134DCA" w:rsidP="00E06AD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78">
    <w:p w14:paraId="09A73AAB" w14:textId="77777777" w:rsidR="00134DCA" w:rsidRDefault="00134DCA">
      <w:pPr>
        <w:pStyle w:val="Textpoznmkypodiarou"/>
      </w:pPr>
      <w:r>
        <w:rPr>
          <w:rStyle w:val="Odkaznapoznmkupodiarou"/>
        </w:rPr>
        <w:footnoteRef/>
      </w:r>
      <w:r>
        <w:t xml:space="preserve"> Typ regiónu MR – menej rozvinutý región, VR – viac rozvinutý región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26A3D" w14:textId="77777777" w:rsidR="00134DCA" w:rsidRPr="0086212E" w:rsidRDefault="00134DCA" w:rsidP="0086212E">
    <w:pPr>
      <w:spacing w:after="0"/>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4D91"/>
    <w:multiLevelType w:val="hybridMultilevel"/>
    <w:tmpl w:val="95D809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43622B"/>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9D3569"/>
    <w:multiLevelType w:val="hybridMultilevel"/>
    <w:tmpl w:val="9C341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F74F3C"/>
    <w:multiLevelType w:val="hybridMultilevel"/>
    <w:tmpl w:val="CB6A493E"/>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 w15:restartNumberingAfterBreak="0">
    <w:nsid w:val="08D15D29"/>
    <w:multiLevelType w:val="multilevel"/>
    <w:tmpl w:val="2BB89EF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377E9F"/>
    <w:multiLevelType w:val="multilevel"/>
    <w:tmpl w:val="0062232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EC5C61"/>
    <w:multiLevelType w:val="hybridMultilevel"/>
    <w:tmpl w:val="76E0D4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E9642DC"/>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F2C4AB1"/>
    <w:multiLevelType w:val="multilevel"/>
    <w:tmpl w:val="6CB28A4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AC47F9"/>
    <w:multiLevelType w:val="hybridMultilevel"/>
    <w:tmpl w:val="C5909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F94D1B"/>
    <w:multiLevelType w:val="hybridMultilevel"/>
    <w:tmpl w:val="3A9CF156"/>
    <w:lvl w:ilvl="0" w:tplc="0246953A">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21B500D"/>
    <w:multiLevelType w:val="hybridMultilevel"/>
    <w:tmpl w:val="3724BBB0"/>
    <w:lvl w:ilvl="0" w:tplc="8450858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42506E2"/>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60579F8"/>
    <w:multiLevelType w:val="hybridMultilevel"/>
    <w:tmpl w:val="3724BBB0"/>
    <w:lvl w:ilvl="0" w:tplc="8450858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7C7635F"/>
    <w:multiLevelType w:val="hybridMultilevel"/>
    <w:tmpl w:val="815C0D3E"/>
    <w:lvl w:ilvl="0" w:tplc="688885EE">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9FA500E"/>
    <w:multiLevelType w:val="hybridMultilevel"/>
    <w:tmpl w:val="B178EC74"/>
    <w:lvl w:ilvl="0" w:tplc="8450858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1254372"/>
    <w:multiLevelType w:val="hybridMultilevel"/>
    <w:tmpl w:val="3D28AEA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15:restartNumberingAfterBreak="0">
    <w:nsid w:val="247E3583"/>
    <w:multiLevelType w:val="hybridMultilevel"/>
    <w:tmpl w:val="E40897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AF832A8"/>
    <w:multiLevelType w:val="hybridMultilevel"/>
    <w:tmpl w:val="8C1EE5F0"/>
    <w:lvl w:ilvl="0" w:tplc="FD347308">
      <w:start w:val="1"/>
      <w:numFmt w:val="lowerLetter"/>
      <w:lvlText w:val="%1)"/>
      <w:lvlJc w:val="left"/>
      <w:pPr>
        <w:tabs>
          <w:tab w:val="num" w:pos="1020"/>
        </w:tabs>
        <w:ind w:left="1020" w:hanging="360"/>
      </w:pPr>
      <w:rPr>
        <w:rFonts w:hint="default"/>
      </w:rPr>
    </w:lvl>
    <w:lvl w:ilvl="1" w:tplc="041B0019" w:tentative="1">
      <w:start w:val="1"/>
      <w:numFmt w:val="lowerLetter"/>
      <w:lvlText w:val="%2."/>
      <w:lvlJc w:val="left"/>
      <w:pPr>
        <w:tabs>
          <w:tab w:val="num" w:pos="1740"/>
        </w:tabs>
        <w:ind w:left="1740" w:hanging="360"/>
      </w:pPr>
    </w:lvl>
    <w:lvl w:ilvl="2" w:tplc="041B001B" w:tentative="1">
      <w:start w:val="1"/>
      <w:numFmt w:val="lowerRoman"/>
      <w:lvlText w:val="%3."/>
      <w:lvlJc w:val="right"/>
      <w:pPr>
        <w:tabs>
          <w:tab w:val="num" w:pos="2460"/>
        </w:tabs>
        <w:ind w:left="2460" w:hanging="180"/>
      </w:pPr>
    </w:lvl>
    <w:lvl w:ilvl="3" w:tplc="041B000F" w:tentative="1">
      <w:start w:val="1"/>
      <w:numFmt w:val="decimal"/>
      <w:lvlText w:val="%4."/>
      <w:lvlJc w:val="left"/>
      <w:pPr>
        <w:tabs>
          <w:tab w:val="num" w:pos="3180"/>
        </w:tabs>
        <w:ind w:left="3180" w:hanging="360"/>
      </w:pPr>
    </w:lvl>
    <w:lvl w:ilvl="4" w:tplc="041B0019" w:tentative="1">
      <w:start w:val="1"/>
      <w:numFmt w:val="lowerLetter"/>
      <w:lvlText w:val="%5."/>
      <w:lvlJc w:val="left"/>
      <w:pPr>
        <w:tabs>
          <w:tab w:val="num" w:pos="3900"/>
        </w:tabs>
        <w:ind w:left="3900" w:hanging="360"/>
      </w:pPr>
    </w:lvl>
    <w:lvl w:ilvl="5" w:tplc="041B001B" w:tentative="1">
      <w:start w:val="1"/>
      <w:numFmt w:val="lowerRoman"/>
      <w:lvlText w:val="%6."/>
      <w:lvlJc w:val="right"/>
      <w:pPr>
        <w:tabs>
          <w:tab w:val="num" w:pos="4620"/>
        </w:tabs>
        <w:ind w:left="4620" w:hanging="180"/>
      </w:pPr>
    </w:lvl>
    <w:lvl w:ilvl="6" w:tplc="041B000F" w:tentative="1">
      <w:start w:val="1"/>
      <w:numFmt w:val="decimal"/>
      <w:lvlText w:val="%7."/>
      <w:lvlJc w:val="left"/>
      <w:pPr>
        <w:tabs>
          <w:tab w:val="num" w:pos="5340"/>
        </w:tabs>
        <w:ind w:left="5340" w:hanging="360"/>
      </w:pPr>
    </w:lvl>
    <w:lvl w:ilvl="7" w:tplc="041B0019" w:tentative="1">
      <w:start w:val="1"/>
      <w:numFmt w:val="lowerLetter"/>
      <w:lvlText w:val="%8."/>
      <w:lvlJc w:val="left"/>
      <w:pPr>
        <w:tabs>
          <w:tab w:val="num" w:pos="6060"/>
        </w:tabs>
        <w:ind w:left="6060" w:hanging="360"/>
      </w:pPr>
    </w:lvl>
    <w:lvl w:ilvl="8" w:tplc="041B001B" w:tentative="1">
      <w:start w:val="1"/>
      <w:numFmt w:val="lowerRoman"/>
      <w:lvlText w:val="%9."/>
      <w:lvlJc w:val="right"/>
      <w:pPr>
        <w:tabs>
          <w:tab w:val="num" w:pos="6780"/>
        </w:tabs>
        <w:ind w:left="6780" w:hanging="180"/>
      </w:pPr>
    </w:lvl>
  </w:abstractNum>
  <w:abstractNum w:abstractNumId="19" w15:restartNumberingAfterBreak="0">
    <w:nsid w:val="2B3C528D"/>
    <w:multiLevelType w:val="multilevel"/>
    <w:tmpl w:val="3F7855B0"/>
    <w:lvl w:ilvl="0">
      <w:start w:val="1"/>
      <w:numFmt w:val="decimal"/>
      <w:lvlText w:val="%1."/>
      <w:lvlJc w:val="right"/>
      <w:pPr>
        <w:ind w:left="1070" w:hanging="360"/>
      </w:pPr>
      <w:rPr>
        <w:rFonts w:ascii="Times New Roman" w:eastAsiaTheme="minorHAnsi" w:hAnsi="Times New Roman" w:cs="Times New Roman"/>
      </w:rPr>
    </w:lvl>
    <w:lvl w:ilvl="1">
      <w:start w:val="1"/>
      <w:numFmt w:val="decimal"/>
      <w:isLgl/>
      <w:lvlText w:val="%1.%2"/>
      <w:lvlJc w:val="left"/>
      <w:pPr>
        <w:ind w:left="1070" w:hanging="36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30" w:hanging="72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1790"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150" w:hanging="1440"/>
      </w:pPr>
      <w:rPr>
        <w:rFonts w:hint="default"/>
        <w:b/>
      </w:rPr>
    </w:lvl>
    <w:lvl w:ilvl="8">
      <w:start w:val="1"/>
      <w:numFmt w:val="decimal"/>
      <w:isLgl/>
      <w:lvlText w:val="%1.%2.%3.%4.%5.%6.%7.%8.%9"/>
      <w:lvlJc w:val="left"/>
      <w:pPr>
        <w:ind w:left="2510" w:hanging="1800"/>
      </w:pPr>
      <w:rPr>
        <w:rFonts w:hint="default"/>
        <w:b/>
      </w:rPr>
    </w:lvl>
  </w:abstractNum>
  <w:abstractNum w:abstractNumId="20" w15:restartNumberingAfterBreak="0">
    <w:nsid w:val="2C7A0D15"/>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0590623"/>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2151C70"/>
    <w:multiLevelType w:val="hybridMultilevel"/>
    <w:tmpl w:val="95D809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27740F0"/>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542DC7"/>
    <w:multiLevelType w:val="hybridMultilevel"/>
    <w:tmpl w:val="3D56A0B2"/>
    <w:lvl w:ilvl="0" w:tplc="BB7068DC">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C566572"/>
    <w:multiLevelType w:val="multilevel"/>
    <w:tmpl w:val="6CB28A4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D16617"/>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1644E55"/>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419267D"/>
    <w:multiLevelType w:val="hybridMultilevel"/>
    <w:tmpl w:val="80049AC2"/>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15:restartNumberingAfterBreak="0">
    <w:nsid w:val="491038FE"/>
    <w:multiLevelType w:val="multilevel"/>
    <w:tmpl w:val="6CB28A4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237BD6"/>
    <w:multiLevelType w:val="hybridMultilevel"/>
    <w:tmpl w:val="C0AAB5BA"/>
    <w:lvl w:ilvl="0" w:tplc="BB7068DC">
      <w:numFmt w:val="bullet"/>
      <w:lvlText w:val="-"/>
      <w:lvlJc w:val="left"/>
      <w:pPr>
        <w:ind w:left="1004" w:hanging="360"/>
      </w:pPr>
      <w:rPr>
        <w:rFonts w:ascii="Calibri" w:eastAsiaTheme="minorHAnsi" w:hAnsi="Calibri" w:cstheme="minorBidi"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1" w15:restartNumberingAfterBreak="0">
    <w:nsid w:val="4F8B4ADF"/>
    <w:multiLevelType w:val="hybridMultilevel"/>
    <w:tmpl w:val="1D163F68"/>
    <w:lvl w:ilvl="0" w:tplc="BB7068D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50550C3F"/>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223462C"/>
    <w:multiLevelType w:val="hybridMultilevel"/>
    <w:tmpl w:val="72243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32D25DE"/>
    <w:multiLevelType w:val="hybridMultilevel"/>
    <w:tmpl w:val="6DC4858C"/>
    <w:lvl w:ilvl="0" w:tplc="EB829A52">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709299D"/>
    <w:multiLevelType w:val="hybridMultilevel"/>
    <w:tmpl w:val="9154C5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81F6A02"/>
    <w:multiLevelType w:val="hybridMultilevel"/>
    <w:tmpl w:val="F4027EB6"/>
    <w:lvl w:ilvl="0" w:tplc="73D2C472">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9945C0E"/>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9A85AC8"/>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AD32255"/>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B022A69"/>
    <w:multiLevelType w:val="hybridMultilevel"/>
    <w:tmpl w:val="CDE209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B8836BD"/>
    <w:multiLevelType w:val="multilevel"/>
    <w:tmpl w:val="6CB28A4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31149C"/>
    <w:multiLevelType w:val="hybridMultilevel"/>
    <w:tmpl w:val="6FD019C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5EB51194"/>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672678C"/>
    <w:multiLevelType w:val="hybridMultilevel"/>
    <w:tmpl w:val="13805A7A"/>
    <w:lvl w:ilvl="0" w:tplc="041B0017">
      <w:start w:val="1"/>
      <w:numFmt w:val="lowerLetter"/>
      <w:lvlText w:val="%1)"/>
      <w:lvlJc w:val="left"/>
      <w:pPr>
        <w:tabs>
          <w:tab w:val="num" w:pos="1068"/>
        </w:tabs>
        <w:ind w:left="1068" w:hanging="360"/>
      </w:pPr>
      <w:rPr>
        <w:rFonts w:hint="default"/>
      </w:rPr>
    </w:lvl>
    <w:lvl w:ilvl="1" w:tplc="041B0019" w:tentative="1">
      <w:start w:val="1"/>
      <w:numFmt w:val="lowerLetter"/>
      <w:lvlText w:val="%2."/>
      <w:lvlJc w:val="left"/>
      <w:pPr>
        <w:tabs>
          <w:tab w:val="num" w:pos="1788"/>
        </w:tabs>
        <w:ind w:left="1788" w:hanging="360"/>
      </w:p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45" w15:restartNumberingAfterBreak="0">
    <w:nsid w:val="66906610"/>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7585696"/>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9117915"/>
    <w:multiLevelType w:val="hybridMultilevel"/>
    <w:tmpl w:val="6984863C"/>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8" w15:restartNumberingAfterBreak="0">
    <w:nsid w:val="6E185582"/>
    <w:multiLevelType w:val="hybridMultilevel"/>
    <w:tmpl w:val="A77011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F306105"/>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2451142"/>
    <w:multiLevelType w:val="hybridMultilevel"/>
    <w:tmpl w:val="0B6EE880"/>
    <w:lvl w:ilvl="0" w:tplc="36DAD2E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4EB19E4"/>
    <w:multiLevelType w:val="multilevel"/>
    <w:tmpl w:val="2BB89E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7DA456D"/>
    <w:multiLevelType w:val="multilevel"/>
    <w:tmpl w:val="6E563D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7C924DF9"/>
    <w:multiLevelType w:val="hybridMultilevel"/>
    <w:tmpl w:val="27229AE2"/>
    <w:lvl w:ilvl="0" w:tplc="041B0017">
      <w:start w:val="1"/>
      <w:numFmt w:val="lowerLetter"/>
      <w:lvlText w:val="%1)"/>
      <w:lvlJc w:val="left"/>
      <w:pPr>
        <w:tabs>
          <w:tab w:val="num" w:pos="1068"/>
        </w:tabs>
        <w:ind w:left="1068" w:hanging="360"/>
      </w:pPr>
      <w:rPr>
        <w:rFonts w:hint="default"/>
      </w:rPr>
    </w:lvl>
    <w:lvl w:ilvl="1" w:tplc="041B0019" w:tentative="1">
      <w:start w:val="1"/>
      <w:numFmt w:val="lowerLetter"/>
      <w:lvlText w:val="%2."/>
      <w:lvlJc w:val="left"/>
      <w:pPr>
        <w:tabs>
          <w:tab w:val="num" w:pos="1788"/>
        </w:tabs>
        <w:ind w:left="1788" w:hanging="360"/>
      </w:p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54" w15:restartNumberingAfterBreak="0">
    <w:nsid w:val="7E9444F3"/>
    <w:multiLevelType w:val="hybridMultilevel"/>
    <w:tmpl w:val="3724BBB0"/>
    <w:lvl w:ilvl="0" w:tplc="8450858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7FB04497"/>
    <w:multiLevelType w:val="hybridMultilevel"/>
    <w:tmpl w:val="9338486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24"/>
  </w:num>
  <w:num w:numId="2">
    <w:abstractNumId w:val="34"/>
  </w:num>
  <w:num w:numId="3">
    <w:abstractNumId w:val="52"/>
  </w:num>
  <w:num w:numId="4">
    <w:abstractNumId w:val="8"/>
  </w:num>
  <w:num w:numId="5">
    <w:abstractNumId w:val="41"/>
  </w:num>
  <w:num w:numId="6">
    <w:abstractNumId w:val="25"/>
  </w:num>
  <w:num w:numId="7">
    <w:abstractNumId w:val="29"/>
  </w:num>
  <w:num w:numId="8">
    <w:abstractNumId w:val="4"/>
  </w:num>
  <w:num w:numId="9">
    <w:abstractNumId w:val="43"/>
  </w:num>
  <w:num w:numId="10">
    <w:abstractNumId w:val="46"/>
  </w:num>
  <w:num w:numId="11">
    <w:abstractNumId w:val="39"/>
  </w:num>
  <w:num w:numId="12">
    <w:abstractNumId w:val="26"/>
  </w:num>
  <w:num w:numId="13">
    <w:abstractNumId w:val="38"/>
  </w:num>
  <w:num w:numId="14">
    <w:abstractNumId w:val="23"/>
  </w:num>
  <w:num w:numId="15">
    <w:abstractNumId w:val="27"/>
  </w:num>
  <w:num w:numId="16">
    <w:abstractNumId w:val="49"/>
  </w:num>
  <w:num w:numId="17">
    <w:abstractNumId w:val="1"/>
  </w:num>
  <w:num w:numId="18">
    <w:abstractNumId w:val="37"/>
  </w:num>
  <w:num w:numId="19">
    <w:abstractNumId w:val="45"/>
  </w:num>
  <w:num w:numId="20">
    <w:abstractNumId w:val="51"/>
  </w:num>
  <w:num w:numId="21">
    <w:abstractNumId w:val="32"/>
  </w:num>
  <w:num w:numId="22">
    <w:abstractNumId w:val="12"/>
  </w:num>
  <w:num w:numId="23">
    <w:abstractNumId w:val="7"/>
  </w:num>
  <w:num w:numId="24">
    <w:abstractNumId w:val="21"/>
  </w:num>
  <w:num w:numId="25">
    <w:abstractNumId w:val="20"/>
  </w:num>
  <w:num w:numId="26">
    <w:abstractNumId w:val="5"/>
  </w:num>
  <w:num w:numId="27">
    <w:abstractNumId w:val="40"/>
  </w:num>
  <w:num w:numId="28">
    <w:abstractNumId w:val="42"/>
  </w:num>
  <w:num w:numId="29">
    <w:abstractNumId w:val="31"/>
  </w:num>
  <w:num w:numId="30">
    <w:abstractNumId w:val="13"/>
  </w:num>
  <w:num w:numId="31">
    <w:abstractNumId w:val="11"/>
  </w:num>
  <w:num w:numId="32">
    <w:abstractNumId w:val="35"/>
  </w:num>
  <w:num w:numId="33">
    <w:abstractNumId w:val="2"/>
  </w:num>
  <w:num w:numId="34">
    <w:abstractNumId w:val="9"/>
  </w:num>
  <w:num w:numId="35">
    <w:abstractNumId w:val="33"/>
  </w:num>
  <w:num w:numId="36">
    <w:abstractNumId w:val="30"/>
  </w:num>
  <w:num w:numId="37">
    <w:abstractNumId w:val="18"/>
  </w:num>
  <w:num w:numId="38">
    <w:abstractNumId w:val="53"/>
  </w:num>
  <w:num w:numId="39">
    <w:abstractNumId w:val="22"/>
  </w:num>
  <w:num w:numId="40">
    <w:abstractNumId w:val="50"/>
  </w:num>
  <w:num w:numId="41">
    <w:abstractNumId w:val="19"/>
  </w:num>
  <w:num w:numId="42">
    <w:abstractNumId w:val="55"/>
  </w:num>
  <w:num w:numId="43">
    <w:abstractNumId w:val="44"/>
  </w:num>
  <w:num w:numId="44">
    <w:abstractNumId w:val="28"/>
  </w:num>
  <w:num w:numId="45">
    <w:abstractNumId w:val="14"/>
  </w:num>
  <w:num w:numId="46">
    <w:abstractNumId w:val="17"/>
  </w:num>
  <w:num w:numId="47">
    <w:abstractNumId w:val="47"/>
  </w:num>
  <w:num w:numId="48">
    <w:abstractNumId w:val="6"/>
  </w:num>
  <w:num w:numId="49">
    <w:abstractNumId w:val="16"/>
  </w:num>
  <w:num w:numId="50">
    <w:abstractNumId w:val="0"/>
  </w:num>
  <w:num w:numId="51">
    <w:abstractNumId w:val="10"/>
  </w:num>
  <w:num w:numId="52">
    <w:abstractNumId w:val="36"/>
  </w:num>
  <w:num w:numId="53">
    <w:abstractNumId w:val="48"/>
  </w:num>
  <w:num w:numId="54">
    <w:abstractNumId w:val="54"/>
  </w:num>
  <w:num w:numId="55">
    <w:abstractNumId w:val="15"/>
  </w:num>
  <w:num w:numId="56">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NotTrackFormatting/>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6FCB"/>
    <w:rsid w:val="000003F9"/>
    <w:rsid w:val="0000117E"/>
    <w:rsid w:val="00004B51"/>
    <w:rsid w:val="000100AE"/>
    <w:rsid w:val="000126B3"/>
    <w:rsid w:val="00013D30"/>
    <w:rsid w:val="00014C63"/>
    <w:rsid w:val="000151E6"/>
    <w:rsid w:val="00017215"/>
    <w:rsid w:val="00017BA1"/>
    <w:rsid w:val="00022B5B"/>
    <w:rsid w:val="00025DAD"/>
    <w:rsid w:val="000268B9"/>
    <w:rsid w:val="00027C3E"/>
    <w:rsid w:val="0003147A"/>
    <w:rsid w:val="000331DD"/>
    <w:rsid w:val="00034839"/>
    <w:rsid w:val="00034A55"/>
    <w:rsid w:val="000363F5"/>
    <w:rsid w:val="000414D6"/>
    <w:rsid w:val="00043C2A"/>
    <w:rsid w:val="0004434A"/>
    <w:rsid w:val="0004490E"/>
    <w:rsid w:val="00046BD0"/>
    <w:rsid w:val="00047F44"/>
    <w:rsid w:val="00050BF9"/>
    <w:rsid w:val="00051105"/>
    <w:rsid w:val="000524BF"/>
    <w:rsid w:val="000527A2"/>
    <w:rsid w:val="00053F33"/>
    <w:rsid w:val="000540E5"/>
    <w:rsid w:val="000544D2"/>
    <w:rsid w:val="00057FF2"/>
    <w:rsid w:val="00064F7E"/>
    <w:rsid w:val="00066ED5"/>
    <w:rsid w:val="000712DB"/>
    <w:rsid w:val="000747D7"/>
    <w:rsid w:val="00077E28"/>
    <w:rsid w:val="00081FC8"/>
    <w:rsid w:val="00083C34"/>
    <w:rsid w:val="000848BD"/>
    <w:rsid w:val="00084A31"/>
    <w:rsid w:val="0008659D"/>
    <w:rsid w:val="000916C5"/>
    <w:rsid w:val="00093BC8"/>
    <w:rsid w:val="00094736"/>
    <w:rsid w:val="000A13FD"/>
    <w:rsid w:val="000A5F9E"/>
    <w:rsid w:val="000B009F"/>
    <w:rsid w:val="000B2DEE"/>
    <w:rsid w:val="000C1ED9"/>
    <w:rsid w:val="000C31D2"/>
    <w:rsid w:val="000D046D"/>
    <w:rsid w:val="000D3A0E"/>
    <w:rsid w:val="000D49B8"/>
    <w:rsid w:val="000D5A5F"/>
    <w:rsid w:val="000D7F51"/>
    <w:rsid w:val="000E175D"/>
    <w:rsid w:val="000E29A9"/>
    <w:rsid w:val="000E2D5E"/>
    <w:rsid w:val="000E4371"/>
    <w:rsid w:val="000E459C"/>
    <w:rsid w:val="000F5F7A"/>
    <w:rsid w:val="000F76F7"/>
    <w:rsid w:val="000F776C"/>
    <w:rsid w:val="000F7CC5"/>
    <w:rsid w:val="00100A76"/>
    <w:rsid w:val="00102126"/>
    <w:rsid w:val="00105690"/>
    <w:rsid w:val="00105931"/>
    <w:rsid w:val="00107282"/>
    <w:rsid w:val="00111C73"/>
    <w:rsid w:val="00112902"/>
    <w:rsid w:val="00112A5D"/>
    <w:rsid w:val="00114A49"/>
    <w:rsid w:val="00116ECD"/>
    <w:rsid w:val="001179E8"/>
    <w:rsid w:val="00120BCF"/>
    <w:rsid w:val="00123ECE"/>
    <w:rsid w:val="001269D0"/>
    <w:rsid w:val="00134DCA"/>
    <w:rsid w:val="00135B9D"/>
    <w:rsid w:val="00137A51"/>
    <w:rsid w:val="001419AA"/>
    <w:rsid w:val="00142456"/>
    <w:rsid w:val="0014674E"/>
    <w:rsid w:val="00146BB1"/>
    <w:rsid w:val="001501C8"/>
    <w:rsid w:val="00151F43"/>
    <w:rsid w:val="00157E40"/>
    <w:rsid w:val="0016002C"/>
    <w:rsid w:val="00160F20"/>
    <w:rsid w:val="00162E25"/>
    <w:rsid w:val="00163615"/>
    <w:rsid w:val="0016743E"/>
    <w:rsid w:val="00170F8A"/>
    <w:rsid w:val="0017196C"/>
    <w:rsid w:val="00174D03"/>
    <w:rsid w:val="001751A5"/>
    <w:rsid w:val="001840BA"/>
    <w:rsid w:val="00184216"/>
    <w:rsid w:val="00190A99"/>
    <w:rsid w:val="00195B79"/>
    <w:rsid w:val="00195BDA"/>
    <w:rsid w:val="001A5783"/>
    <w:rsid w:val="001B0444"/>
    <w:rsid w:val="001B1CE0"/>
    <w:rsid w:val="001B662F"/>
    <w:rsid w:val="001B6AE9"/>
    <w:rsid w:val="001C2487"/>
    <w:rsid w:val="001C2C16"/>
    <w:rsid w:val="001C5475"/>
    <w:rsid w:val="001C6B01"/>
    <w:rsid w:val="001C7689"/>
    <w:rsid w:val="001D0012"/>
    <w:rsid w:val="001D0D3E"/>
    <w:rsid w:val="001D146A"/>
    <w:rsid w:val="001D2953"/>
    <w:rsid w:val="001D46A4"/>
    <w:rsid w:val="001D7FF3"/>
    <w:rsid w:val="001E201E"/>
    <w:rsid w:val="001E2C9A"/>
    <w:rsid w:val="001E2D31"/>
    <w:rsid w:val="001E4807"/>
    <w:rsid w:val="001F5B42"/>
    <w:rsid w:val="001F77BB"/>
    <w:rsid w:val="00201D34"/>
    <w:rsid w:val="00202399"/>
    <w:rsid w:val="00203593"/>
    <w:rsid w:val="00203B59"/>
    <w:rsid w:val="002047D2"/>
    <w:rsid w:val="00204CF7"/>
    <w:rsid w:val="0020620B"/>
    <w:rsid w:val="002106DB"/>
    <w:rsid w:val="00210CF7"/>
    <w:rsid w:val="0021221A"/>
    <w:rsid w:val="00215D65"/>
    <w:rsid w:val="00216443"/>
    <w:rsid w:val="00216C36"/>
    <w:rsid w:val="00216FA2"/>
    <w:rsid w:val="00217C72"/>
    <w:rsid w:val="00223FB4"/>
    <w:rsid w:val="002254F8"/>
    <w:rsid w:val="0022711D"/>
    <w:rsid w:val="0023603E"/>
    <w:rsid w:val="00243DE8"/>
    <w:rsid w:val="002440C6"/>
    <w:rsid w:val="002442DA"/>
    <w:rsid w:val="00246FC5"/>
    <w:rsid w:val="002509B8"/>
    <w:rsid w:val="00254F77"/>
    <w:rsid w:val="00260178"/>
    <w:rsid w:val="00261C53"/>
    <w:rsid w:val="00261E50"/>
    <w:rsid w:val="002656F3"/>
    <w:rsid w:val="0026578D"/>
    <w:rsid w:val="00267C20"/>
    <w:rsid w:val="00270DAF"/>
    <w:rsid w:val="00272441"/>
    <w:rsid w:val="002734DB"/>
    <w:rsid w:val="00275BB6"/>
    <w:rsid w:val="002800AD"/>
    <w:rsid w:val="002879E8"/>
    <w:rsid w:val="0029193B"/>
    <w:rsid w:val="00294241"/>
    <w:rsid w:val="0029715E"/>
    <w:rsid w:val="002A0E09"/>
    <w:rsid w:val="002A207F"/>
    <w:rsid w:val="002A3028"/>
    <w:rsid w:val="002A6CFD"/>
    <w:rsid w:val="002A70EB"/>
    <w:rsid w:val="002B0209"/>
    <w:rsid w:val="002B420F"/>
    <w:rsid w:val="002B6198"/>
    <w:rsid w:val="002C2EB4"/>
    <w:rsid w:val="002C4CFF"/>
    <w:rsid w:val="002C5095"/>
    <w:rsid w:val="002C5595"/>
    <w:rsid w:val="002D05A1"/>
    <w:rsid w:val="002D0BA9"/>
    <w:rsid w:val="002D0E2B"/>
    <w:rsid w:val="002D389D"/>
    <w:rsid w:val="002D7DC8"/>
    <w:rsid w:val="002D7FE7"/>
    <w:rsid w:val="002E3388"/>
    <w:rsid w:val="002E47FE"/>
    <w:rsid w:val="002E4D78"/>
    <w:rsid w:val="002F14FF"/>
    <w:rsid w:val="002F5B8D"/>
    <w:rsid w:val="002F6D48"/>
    <w:rsid w:val="00301FF3"/>
    <w:rsid w:val="00312EB4"/>
    <w:rsid w:val="0031490F"/>
    <w:rsid w:val="00315A0F"/>
    <w:rsid w:val="00316BB0"/>
    <w:rsid w:val="00321594"/>
    <w:rsid w:val="00322769"/>
    <w:rsid w:val="00322802"/>
    <w:rsid w:val="00322E05"/>
    <w:rsid w:val="003267D5"/>
    <w:rsid w:val="003301D6"/>
    <w:rsid w:val="00332B5B"/>
    <w:rsid w:val="003343B4"/>
    <w:rsid w:val="00336937"/>
    <w:rsid w:val="00336C85"/>
    <w:rsid w:val="00340CB1"/>
    <w:rsid w:val="00340EB3"/>
    <w:rsid w:val="00342256"/>
    <w:rsid w:val="00344EE2"/>
    <w:rsid w:val="00346513"/>
    <w:rsid w:val="00347CC5"/>
    <w:rsid w:val="00351A65"/>
    <w:rsid w:val="0035428F"/>
    <w:rsid w:val="00354801"/>
    <w:rsid w:val="00355A79"/>
    <w:rsid w:val="00360C5A"/>
    <w:rsid w:val="003610F1"/>
    <w:rsid w:val="00361675"/>
    <w:rsid w:val="00362E8C"/>
    <w:rsid w:val="003658FE"/>
    <w:rsid w:val="00372944"/>
    <w:rsid w:val="00376AE1"/>
    <w:rsid w:val="0038000B"/>
    <w:rsid w:val="00380CCE"/>
    <w:rsid w:val="003814BC"/>
    <w:rsid w:val="00384CE0"/>
    <w:rsid w:val="003860F6"/>
    <w:rsid w:val="00386D56"/>
    <w:rsid w:val="00387D99"/>
    <w:rsid w:val="00390046"/>
    <w:rsid w:val="00390271"/>
    <w:rsid w:val="003912A7"/>
    <w:rsid w:val="0039405D"/>
    <w:rsid w:val="003940DB"/>
    <w:rsid w:val="00395D91"/>
    <w:rsid w:val="00396DEF"/>
    <w:rsid w:val="003A0A60"/>
    <w:rsid w:val="003A2A16"/>
    <w:rsid w:val="003B09F2"/>
    <w:rsid w:val="003B3104"/>
    <w:rsid w:val="003B6A61"/>
    <w:rsid w:val="003C0389"/>
    <w:rsid w:val="003C1EC5"/>
    <w:rsid w:val="003C2BA5"/>
    <w:rsid w:val="003C458C"/>
    <w:rsid w:val="003C4F79"/>
    <w:rsid w:val="003D1421"/>
    <w:rsid w:val="003D1483"/>
    <w:rsid w:val="003D5008"/>
    <w:rsid w:val="003D7074"/>
    <w:rsid w:val="003E18B5"/>
    <w:rsid w:val="003F3F1F"/>
    <w:rsid w:val="003F623E"/>
    <w:rsid w:val="003F72E1"/>
    <w:rsid w:val="004008E4"/>
    <w:rsid w:val="00402DE7"/>
    <w:rsid w:val="0040366F"/>
    <w:rsid w:val="004053B0"/>
    <w:rsid w:val="00406697"/>
    <w:rsid w:val="004074AA"/>
    <w:rsid w:val="00407641"/>
    <w:rsid w:val="00415874"/>
    <w:rsid w:val="0041706F"/>
    <w:rsid w:val="00420ABE"/>
    <w:rsid w:val="00420EC4"/>
    <w:rsid w:val="00423FD5"/>
    <w:rsid w:val="004261B0"/>
    <w:rsid w:val="004266B4"/>
    <w:rsid w:val="00427310"/>
    <w:rsid w:val="00427446"/>
    <w:rsid w:val="00427D1B"/>
    <w:rsid w:val="004303F0"/>
    <w:rsid w:val="00433475"/>
    <w:rsid w:val="004362C2"/>
    <w:rsid w:val="00436B36"/>
    <w:rsid w:val="004421F4"/>
    <w:rsid w:val="004469C4"/>
    <w:rsid w:val="00447D6B"/>
    <w:rsid w:val="00447E5D"/>
    <w:rsid w:val="00454577"/>
    <w:rsid w:val="004561F3"/>
    <w:rsid w:val="0045746B"/>
    <w:rsid w:val="00457F8C"/>
    <w:rsid w:val="00461AEA"/>
    <w:rsid w:val="004623A8"/>
    <w:rsid w:val="004647AD"/>
    <w:rsid w:val="00465226"/>
    <w:rsid w:val="00465C76"/>
    <w:rsid w:val="00466EEB"/>
    <w:rsid w:val="00470C84"/>
    <w:rsid w:val="00470FEA"/>
    <w:rsid w:val="004733B5"/>
    <w:rsid w:val="004770DE"/>
    <w:rsid w:val="00477FA8"/>
    <w:rsid w:val="00480A11"/>
    <w:rsid w:val="004914D0"/>
    <w:rsid w:val="00491DDC"/>
    <w:rsid w:val="00493BB5"/>
    <w:rsid w:val="0049466E"/>
    <w:rsid w:val="00495FD8"/>
    <w:rsid w:val="004968AC"/>
    <w:rsid w:val="004A4317"/>
    <w:rsid w:val="004A58E7"/>
    <w:rsid w:val="004A69E6"/>
    <w:rsid w:val="004A7763"/>
    <w:rsid w:val="004A7B4F"/>
    <w:rsid w:val="004B0225"/>
    <w:rsid w:val="004B1537"/>
    <w:rsid w:val="004B2BE7"/>
    <w:rsid w:val="004B455E"/>
    <w:rsid w:val="004B4B67"/>
    <w:rsid w:val="004B6C72"/>
    <w:rsid w:val="004B7EF4"/>
    <w:rsid w:val="004C2887"/>
    <w:rsid w:val="004C2E01"/>
    <w:rsid w:val="004C5D12"/>
    <w:rsid w:val="004D206B"/>
    <w:rsid w:val="004D43BE"/>
    <w:rsid w:val="004D6BDE"/>
    <w:rsid w:val="004E05C0"/>
    <w:rsid w:val="004E2368"/>
    <w:rsid w:val="004E28E8"/>
    <w:rsid w:val="004E2FBB"/>
    <w:rsid w:val="004E377D"/>
    <w:rsid w:val="004E4D25"/>
    <w:rsid w:val="004F1494"/>
    <w:rsid w:val="004F2A15"/>
    <w:rsid w:val="004F4011"/>
    <w:rsid w:val="004F407E"/>
    <w:rsid w:val="00500EC2"/>
    <w:rsid w:val="0050310C"/>
    <w:rsid w:val="005036ED"/>
    <w:rsid w:val="00504814"/>
    <w:rsid w:val="00506D8D"/>
    <w:rsid w:val="005072DB"/>
    <w:rsid w:val="005113BD"/>
    <w:rsid w:val="005114C5"/>
    <w:rsid w:val="00512FE8"/>
    <w:rsid w:val="00513AE9"/>
    <w:rsid w:val="0051508D"/>
    <w:rsid w:val="00515847"/>
    <w:rsid w:val="0051602E"/>
    <w:rsid w:val="005202AC"/>
    <w:rsid w:val="00520930"/>
    <w:rsid w:val="00521E91"/>
    <w:rsid w:val="00522F0D"/>
    <w:rsid w:val="0052543E"/>
    <w:rsid w:val="00525AED"/>
    <w:rsid w:val="00527DCF"/>
    <w:rsid w:val="00530D08"/>
    <w:rsid w:val="0053521E"/>
    <w:rsid w:val="00535B29"/>
    <w:rsid w:val="00546913"/>
    <w:rsid w:val="00551965"/>
    <w:rsid w:val="00554548"/>
    <w:rsid w:val="00555179"/>
    <w:rsid w:val="00556D98"/>
    <w:rsid w:val="00556DC1"/>
    <w:rsid w:val="0056053B"/>
    <w:rsid w:val="00561427"/>
    <w:rsid w:val="00561648"/>
    <w:rsid w:val="00565F62"/>
    <w:rsid w:val="0056740B"/>
    <w:rsid w:val="00576FA8"/>
    <w:rsid w:val="00583BBF"/>
    <w:rsid w:val="00590478"/>
    <w:rsid w:val="005904A3"/>
    <w:rsid w:val="00590AB0"/>
    <w:rsid w:val="005914AF"/>
    <w:rsid w:val="00595ABF"/>
    <w:rsid w:val="00596BE8"/>
    <w:rsid w:val="00596F31"/>
    <w:rsid w:val="005A3F9C"/>
    <w:rsid w:val="005A4D3F"/>
    <w:rsid w:val="005A599E"/>
    <w:rsid w:val="005B0404"/>
    <w:rsid w:val="005B4837"/>
    <w:rsid w:val="005B7F33"/>
    <w:rsid w:val="005C0E1F"/>
    <w:rsid w:val="005D0AC0"/>
    <w:rsid w:val="005D2703"/>
    <w:rsid w:val="005D2E80"/>
    <w:rsid w:val="005D7843"/>
    <w:rsid w:val="005E0646"/>
    <w:rsid w:val="005E6CC5"/>
    <w:rsid w:val="005F0DA2"/>
    <w:rsid w:val="005F6238"/>
    <w:rsid w:val="00601D33"/>
    <w:rsid w:val="00601EAD"/>
    <w:rsid w:val="00603955"/>
    <w:rsid w:val="00606CE5"/>
    <w:rsid w:val="00606E2E"/>
    <w:rsid w:val="00607608"/>
    <w:rsid w:val="00607CB1"/>
    <w:rsid w:val="006106C3"/>
    <w:rsid w:val="0061100A"/>
    <w:rsid w:val="00613DE5"/>
    <w:rsid w:val="0061581D"/>
    <w:rsid w:val="00621BE5"/>
    <w:rsid w:val="00625BD4"/>
    <w:rsid w:val="006261A0"/>
    <w:rsid w:val="006310B3"/>
    <w:rsid w:val="00634586"/>
    <w:rsid w:val="00637996"/>
    <w:rsid w:val="00637C8B"/>
    <w:rsid w:val="006400F0"/>
    <w:rsid w:val="00640396"/>
    <w:rsid w:val="00640CFA"/>
    <w:rsid w:val="00642487"/>
    <w:rsid w:val="0064424D"/>
    <w:rsid w:val="006444F2"/>
    <w:rsid w:val="00647704"/>
    <w:rsid w:val="0064779F"/>
    <w:rsid w:val="00650806"/>
    <w:rsid w:val="00653C95"/>
    <w:rsid w:val="00654706"/>
    <w:rsid w:val="006553D7"/>
    <w:rsid w:val="00656C94"/>
    <w:rsid w:val="00660B7A"/>
    <w:rsid w:val="0066183A"/>
    <w:rsid w:val="00663BEA"/>
    <w:rsid w:val="00665928"/>
    <w:rsid w:val="00671DFB"/>
    <w:rsid w:val="00675502"/>
    <w:rsid w:val="0067615C"/>
    <w:rsid w:val="006778B1"/>
    <w:rsid w:val="006811F9"/>
    <w:rsid w:val="00682153"/>
    <w:rsid w:val="00682B6F"/>
    <w:rsid w:val="00682ED5"/>
    <w:rsid w:val="00684E5E"/>
    <w:rsid w:val="00686E2A"/>
    <w:rsid w:val="00690BDF"/>
    <w:rsid w:val="0069314B"/>
    <w:rsid w:val="0069716C"/>
    <w:rsid w:val="006A2874"/>
    <w:rsid w:val="006A4FDA"/>
    <w:rsid w:val="006B0AC3"/>
    <w:rsid w:val="006B1DE0"/>
    <w:rsid w:val="006B6F23"/>
    <w:rsid w:val="006B7A49"/>
    <w:rsid w:val="006B7AF4"/>
    <w:rsid w:val="006C3C88"/>
    <w:rsid w:val="006D56E5"/>
    <w:rsid w:val="006D67F4"/>
    <w:rsid w:val="006E131B"/>
    <w:rsid w:val="006E2C76"/>
    <w:rsid w:val="006E4700"/>
    <w:rsid w:val="006E6583"/>
    <w:rsid w:val="006E65DD"/>
    <w:rsid w:val="006E7278"/>
    <w:rsid w:val="006F4A44"/>
    <w:rsid w:val="006F5124"/>
    <w:rsid w:val="007038D0"/>
    <w:rsid w:val="00712A89"/>
    <w:rsid w:val="00713499"/>
    <w:rsid w:val="00715BB8"/>
    <w:rsid w:val="00715CE3"/>
    <w:rsid w:val="00716859"/>
    <w:rsid w:val="00716965"/>
    <w:rsid w:val="00725985"/>
    <w:rsid w:val="00727FB6"/>
    <w:rsid w:val="0073488B"/>
    <w:rsid w:val="00735295"/>
    <w:rsid w:val="00741A77"/>
    <w:rsid w:val="00742A65"/>
    <w:rsid w:val="007475FB"/>
    <w:rsid w:val="00752781"/>
    <w:rsid w:val="007543C2"/>
    <w:rsid w:val="007557A3"/>
    <w:rsid w:val="00755E01"/>
    <w:rsid w:val="00756F14"/>
    <w:rsid w:val="0075714E"/>
    <w:rsid w:val="00761003"/>
    <w:rsid w:val="00762A56"/>
    <w:rsid w:val="00764D80"/>
    <w:rsid w:val="00767252"/>
    <w:rsid w:val="00767B4B"/>
    <w:rsid w:val="00770A98"/>
    <w:rsid w:val="007724AE"/>
    <w:rsid w:val="00776D72"/>
    <w:rsid w:val="00777128"/>
    <w:rsid w:val="007839AF"/>
    <w:rsid w:val="007859C0"/>
    <w:rsid w:val="00786B33"/>
    <w:rsid w:val="00787158"/>
    <w:rsid w:val="00790201"/>
    <w:rsid w:val="00790B24"/>
    <w:rsid w:val="0079202B"/>
    <w:rsid w:val="007928D0"/>
    <w:rsid w:val="007929D0"/>
    <w:rsid w:val="0079468B"/>
    <w:rsid w:val="007A044F"/>
    <w:rsid w:val="007A15C5"/>
    <w:rsid w:val="007A305B"/>
    <w:rsid w:val="007A3187"/>
    <w:rsid w:val="007A5A2D"/>
    <w:rsid w:val="007A5E53"/>
    <w:rsid w:val="007B7000"/>
    <w:rsid w:val="007C2A57"/>
    <w:rsid w:val="007C329F"/>
    <w:rsid w:val="007D2B92"/>
    <w:rsid w:val="007D7F0A"/>
    <w:rsid w:val="007E10F7"/>
    <w:rsid w:val="007E18B2"/>
    <w:rsid w:val="007E3465"/>
    <w:rsid w:val="007E36DD"/>
    <w:rsid w:val="007E73EB"/>
    <w:rsid w:val="007E79B6"/>
    <w:rsid w:val="007F174A"/>
    <w:rsid w:val="007F3393"/>
    <w:rsid w:val="007F340B"/>
    <w:rsid w:val="007F6102"/>
    <w:rsid w:val="008020B9"/>
    <w:rsid w:val="00804F16"/>
    <w:rsid w:val="0080729B"/>
    <w:rsid w:val="008103F1"/>
    <w:rsid w:val="008117EF"/>
    <w:rsid w:val="0081248C"/>
    <w:rsid w:val="00812C47"/>
    <w:rsid w:val="008132C9"/>
    <w:rsid w:val="00813A25"/>
    <w:rsid w:val="00816096"/>
    <w:rsid w:val="00817F6A"/>
    <w:rsid w:val="0082111F"/>
    <w:rsid w:val="00825434"/>
    <w:rsid w:val="008368C2"/>
    <w:rsid w:val="00836918"/>
    <w:rsid w:val="00837E29"/>
    <w:rsid w:val="0084068A"/>
    <w:rsid w:val="008427FC"/>
    <w:rsid w:val="008514AD"/>
    <w:rsid w:val="00852749"/>
    <w:rsid w:val="008530FD"/>
    <w:rsid w:val="008537A8"/>
    <w:rsid w:val="00853945"/>
    <w:rsid w:val="00853D57"/>
    <w:rsid w:val="008551B7"/>
    <w:rsid w:val="00860782"/>
    <w:rsid w:val="00860A40"/>
    <w:rsid w:val="0086212E"/>
    <w:rsid w:val="0086293E"/>
    <w:rsid w:val="0086301B"/>
    <w:rsid w:val="00863131"/>
    <w:rsid w:val="008639AA"/>
    <w:rsid w:val="008640DB"/>
    <w:rsid w:val="008643FD"/>
    <w:rsid w:val="008647FF"/>
    <w:rsid w:val="008657F3"/>
    <w:rsid w:val="00866300"/>
    <w:rsid w:val="00866824"/>
    <w:rsid w:val="0086699E"/>
    <w:rsid w:val="00867792"/>
    <w:rsid w:val="00870626"/>
    <w:rsid w:val="00872BCF"/>
    <w:rsid w:val="00872CDD"/>
    <w:rsid w:val="00873C27"/>
    <w:rsid w:val="00873E80"/>
    <w:rsid w:val="008762C6"/>
    <w:rsid w:val="008771C8"/>
    <w:rsid w:val="008868AB"/>
    <w:rsid w:val="00891B13"/>
    <w:rsid w:val="008951E2"/>
    <w:rsid w:val="00896275"/>
    <w:rsid w:val="00896C69"/>
    <w:rsid w:val="008A2FD0"/>
    <w:rsid w:val="008A5900"/>
    <w:rsid w:val="008A6845"/>
    <w:rsid w:val="008B4D19"/>
    <w:rsid w:val="008C1772"/>
    <w:rsid w:val="008C215A"/>
    <w:rsid w:val="008C4905"/>
    <w:rsid w:val="008C4D4C"/>
    <w:rsid w:val="008C4E6A"/>
    <w:rsid w:val="008D0D63"/>
    <w:rsid w:val="008D271C"/>
    <w:rsid w:val="008D3572"/>
    <w:rsid w:val="008D4E49"/>
    <w:rsid w:val="008D5B8C"/>
    <w:rsid w:val="008D7790"/>
    <w:rsid w:val="008E4A20"/>
    <w:rsid w:val="008E67E6"/>
    <w:rsid w:val="008E71B7"/>
    <w:rsid w:val="008F11E4"/>
    <w:rsid w:val="008F3BDE"/>
    <w:rsid w:val="008F5FB0"/>
    <w:rsid w:val="00902F1E"/>
    <w:rsid w:val="009035D2"/>
    <w:rsid w:val="00903618"/>
    <w:rsid w:val="00907EC2"/>
    <w:rsid w:val="009115C1"/>
    <w:rsid w:val="00913EF7"/>
    <w:rsid w:val="00915EF5"/>
    <w:rsid w:val="009174FA"/>
    <w:rsid w:val="0092037F"/>
    <w:rsid w:val="009211F1"/>
    <w:rsid w:val="00931546"/>
    <w:rsid w:val="0093774B"/>
    <w:rsid w:val="0094098F"/>
    <w:rsid w:val="0094237D"/>
    <w:rsid w:val="00944B59"/>
    <w:rsid w:val="0094539C"/>
    <w:rsid w:val="00947E46"/>
    <w:rsid w:val="009520AB"/>
    <w:rsid w:val="009542A3"/>
    <w:rsid w:val="0096001E"/>
    <w:rsid w:val="009613C9"/>
    <w:rsid w:val="00964703"/>
    <w:rsid w:val="009663F2"/>
    <w:rsid w:val="00966B2D"/>
    <w:rsid w:val="00970CB9"/>
    <w:rsid w:val="00973CC7"/>
    <w:rsid w:val="00974CB7"/>
    <w:rsid w:val="00981C2C"/>
    <w:rsid w:val="009830E8"/>
    <w:rsid w:val="0098321C"/>
    <w:rsid w:val="009849E6"/>
    <w:rsid w:val="009851E6"/>
    <w:rsid w:val="00987772"/>
    <w:rsid w:val="00992FDA"/>
    <w:rsid w:val="009930A6"/>
    <w:rsid w:val="00996335"/>
    <w:rsid w:val="009A6948"/>
    <w:rsid w:val="009A6DA1"/>
    <w:rsid w:val="009B1170"/>
    <w:rsid w:val="009B6276"/>
    <w:rsid w:val="009B630A"/>
    <w:rsid w:val="009C02FF"/>
    <w:rsid w:val="009C1637"/>
    <w:rsid w:val="009C38D1"/>
    <w:rsid w:val="009D2E67"/>
    <w:rsid w:val="009D3B84"/>
    <w:rsid w:val="009D3D39"/>
    <w:rsid w:val="009D4638"/>
    <w:rsid w:val="009D74A8"/>
    <w:rsid w:val="009E01D7"/>
    <w:rsid w:val="009E0B6F"/>
    <w:rsid w:val="009E0CE6"/>
    <w:rsid w:val="009E0E75"/>
    <w:rsid w:val="009E7514"/>
    <w:rsid w:val="009E7D65"/>
    <w:rsid w:val="009F07AA"/>
    <w:rsid w:val="009F4B75"/>
    <w:rsid w:val="009F6AB4"/>
    <w:rsid w:val="009F6F24"/>
    <w:rsid w:val="00A05690"/>
    <w:rsid w:val="00A10FB9"/>
    <w:rsid w:val="00A11DF2"/>
    <w:rsid w:val="00A141C1"/>
    <w:rsid w:val="00A142B5"/>
    <w:rsid w:val="00A146CA"/>
    <w:rsid w:val="00A21B3A"/>
    <w:rsid w:val="00A327A1"/>
    <w:rsid w:val="00A36FCB"/>
    <w:rsid w:val="00A45211"/>
    <w:rsid w:val="00A45BF4"/>
    <w:rsid w:val="00A47EC2"/>
    <w:rsid w:val="00A50EE3"/>
    <w:rsid w:val="00A512DC"/>
    <w:rsid w:val="00A5345D"/>
    <w:rsid w:val="00A60A8B"/>
    <w:rsid w:val="00A63C5F"/>
    <w:rsid w:val="00A63F62"/>
    <w:rsid w:val="00A673AF"/>
    <w:rsid w:val="00A701FC"/>
    <w:rsid w:val="00A714B0"/>
    <w:rsid w:val="00A7388C"/>
    <w:rsid w:val="00A73B7E"/>
    <w:rsid w:val="00A87E29"/>
    <w:rsid w:val="00A87FED"/>
    <w:rsid w:val="00A91D25"/>
    <w:rsid w:val="00A948EA"/>
    <w:rsid w:val="00A97C23"/>
    <w:rsid w:val="00AA590E"/>
    <w:rsid w:val="00AA6347"/>
    <w:rsid w:val="00AA68C2"/>
    <w:rsid w:val="00AB3EA9"/>
    <w:rsid w:val="00AB47BE"/>
    <w:rsid w:val="00AB4803"/>
    <w:rsid w:val="00AB484C"/>
    <w:rsid w:val="00AB73B5"/>
    <w:rsid w:val="00AC121E"/>
    <w:rsid w:val="00AC2553"/>
    <w:rsid w:val="00AC2B31"/>
    <w:rsid w:val="00AD08CC"/>
    <w:rsid w:val="00AD0BFA"/>
    <w:rsid w:val="00AD142F"/>
    <w:rsid w:val="00AD2789"/>
    <w:rsid w:val="00AD28C3"/>
    <w:rsid w:val="00AD4AA0"/>
    <w:rsid w:val="00AD6D2C"/>
    <w:rsid w:val="00AE0CC7"/>
    <w:rsid w:val="00AE3DC7"/>
    <w:rsid w:val="00AE4F12"/>
    <w:rsid w:val="00AE5559"/>
    <w:rsid w:val="00AF0F51"/>
    <w:rsid w:val="00AF5560"/>
    <w:rsid w:val="00AF5E73"/>
    <w:rsid w:val="00B02C27"/>
    <w:rsid w:val="00B03DA6"/>
    <w:rsid w:val="00B07C2A"/>
    <w:rsid w:val="00B13C3E"/>
    <w:rsid w:val="00B22922"/>
    <w:rsid w:val="00B23489"/>
    <w:rsid w:val="00B237F3"/>
    <w:rsid w:val="00B23F58"/>
    <w:rsid w:val="00B2561E"/>
    <w:rsid w:val="00B269E5"/>
    <w:rsid w:val="00B26DD2"/>
    <w:rsid w:val="00B33E1C"/>
    <w:rsid w:val="00B35194"/>
    <w:rsid w:val="00B37ECF"/>
    <w:rsid w:val="00B413F8"/>
    <w:rsid w:val="00B42FE9"/>
    <w:rsid w:val="00B4557A"/>
    <w:rsid w:val="00B478A9"/>
    <w:rsid w:val="00B549F5"/>
    <w:rsid w:val="00B569F2"/>
    <w:rsid w:val="00B5707A"/>
    <w:rsid w:val="00B60753"/>
    <w:rsid w:val="00B639F9"/>
    <w:rsid w:val="00B63D29"/>
    <w:rsid w:val="00B63D93"/>
    <w:rsid w:val="00B63E06"/>
    <w:rsid w:val="00B648A5"/>
    <w:rsid w:val="00B6518A"/>
    <w:rsid w:val="00B65DAF"/>
    <w:rsid w:val="00B6690C"/>
    <w:rsid w:val="00B741D2"/>
    <w:rsid w:val="00B74B97"/>
    <w:rsid w:val="00B811C5"/>
    <w:rsid w:val="00B83389"/>
    <w:rsid w:val="00B84B06"/>
    <w:rsid w:val="00B85F10"/>
    <w:rsid w:val="00B87806"/>
    <w:rsid w:val="00B908E7"/>
    <w:rsid w:val="00B91A9B"/>
    <w:rsid w:val="00B9785B"/>
    <w:rsid w:val="00BA3251"/>
    <w:rsid w:val="00BA49E0"/>
    <w:rsid w:val="00BA560B"/>
    <w:rsid w:val="00BB0B41"/>
    <w:rsid w:val="00BB3282"/>
    <w:rsid w:val="00BB35D3"/>
    <w:rsid w:val="00BB4414"/>
    <w:rsid w:val="00BB450B"/>
    <w:rsid w:val="00BB5E81"/>
    <w:rsid w:val="00BB60FD"/>
    <w:rsid w:val="00BB7C75"/>
    <w:rsid w:val="00BC5186"/>
    <w:rsid w:val="00BC6B06"/>
    <w:rsid w:val="00BD3246"/>
    <w:rsid w:val="00BD3C33"/>
    <w:rsid w:val="00BD76AF"/>
    <w:rsid w:val="00BE07E5"/>
    <w:rsid w:val="00BE32B7"/>
    <w:rsid w:val="00BE739A"/>
    <w:rsid w:val="00BF6BBD"/>
    <w:rsid w:val="00BF7391"/>
    <w:rsid w:val="00BF7760"/>
    <w:rsid w:val="00C01CCC"/>
    <w:rsid w:val="00C02D67"/>
    <w:rsid w:val="00C03E50"/>
    <w:rsid w:val="00C10525"/>
    <w:rsid w:val="00C13331"/>
    <w:rsid w:val="00C15A23"/>
    <w:rsid w:val="00C21FE3"/>
    <w:rsid w:val="00C3682F"/>
    <w:rsid w:val="00C37B96"/>
    <w:rsid w:val="00C40D8F"/>
    <w:rsid w:val="00C411EB"/>
    <w:rsid w:val="00C42725"/>
    <w:rsid w:val="00C43332"/>
    <w:rsid w:val="00C46B09"/>
    <w:rsid w:val="00C46BC8"/>
    <w:rsid w:val="00C504BA"/>
    <w:rsid w:val="00C50C31"/>
    <w:rsid w:val="00C50E03"/>
    <w:rsid w:val="00C52816"/>
    <w:rsid w:val="00C544CF"/>
    <w:rsid w:val="00C54FA5"/>
    <w:rsid w:val="00C5502F"/>
    <w:rsid w:val="00C56A85"/>
    <w:rsid w:val="00C57880"/>
    <w:rsid w:val="00C64020"/>
    <w:rsid w:val="00C666E9"/>
    <w:rsid w:val="00C707BA"/>
    <w:rsid w:val="00C72D29"/>
    <w:rsid w:val="00C733A5"/>
    <w:rsid w:val="00C76351"/>
    <w:rsid w:val="00C94591"/>
    <w:rsid w:val="00CA519E"/>
    <w:rsid w:val="00CA6105"/>
    <w:rsid w:val="00CA73CA"/>
    <w:rsid w:val="00CA7782"/>
    <w:rsid w:val="00CB3D10"/>
    <w:rsid w:val="00CB5C15"/>
    <w:rsid w:val="00CC2E8E"/>
    <w:rsid w:val="00CC460F"/>
    <w:rsid w:val="00CD0432"/>
    <w:rsid w:val="00CD4203"/>
    <w:rsid w:val="00CD641E"/>
    <w:rsid w:val="00CD6FE8"/>
    <w:rsid w:val="00CD7AC6"/>
    <w:rsid w:val="00CE0816"/>
    <w:rsid w:val="00CE0A7E"/>
    <w:rsid w:val="00CE2568"/>
    <w:rsid w:val="00CE5D68"/>
    <w:rsid w:val="00CF6A13"/>
    <w:rsid w:val="00D001C4"/>
    <w:rsid w:val="00D031F3"/>
    <w:rsid w:val="00D03D32"/>
    <w:rsid w:val="00D041F9"/>
    <w:rsid w:val="00D0587E"/>
    <w:rsid w:val="00D100AE"/>
    <w:rsid w:val="00D1337A"/>
    <w:rsid w:val="00D14977"/>
    <w:rsid w:val="00D154B9"/>
    <w:rsid w:val="00D21D1D"/>
    <w:rsid w:val="00D2349E"/>
    <w:rsid w:val="00D23858"/>
    <w:rsid w:val="00D24EE0"/>
    <w:rsid w:val="00D302A6"/>
    <w:rsid w:val="00D3111F"/>
    <w:rsid w:val="00D313CC"/>
    <w:rsid w:val="00D3336B"/>
    <w:rsid w:val="00D345A1"/>
    <w:rsid w:val="00D35217"/>
    <w:rsid w:val="00D37310"/>
    <w:rsid w:val="00D42798"/>
    <w:rsid w:val="00D42A74"/>
    <w:rsid w:val="00D434EC"/>
    <w:rsid w:val="00D519D7"/>
    <w:rsid w:val="00D5689C"/>
    <w:rsid w:val="00D64665"/>
    <w:rsid w:val="00D64B7D"/>
    <w:rsid w:val="00D659C4"/>
    <w:rsid w:val="00D65A08"/>
    <w:rsid w:val="00D664EC"/>
    <w:rsid w:val="00D67A6E"/>
    <w:rsid w:val="00D71F2E"/>
    <w:rsid w:val="00D7596F"/>
    <w:rsid w:val="00D8153B"/>
    <w:rsid w:val="00D8175E"/>
    <w:rsid w:val="00D8429B"/>
    <w:rsid w:val="00D84C0F"/>
    <w:rsid w:val="00D85C5C"/>
    <w:rsid w:val="00D90FF7"/>
    <w:rsid w:val="00DA5CD2"/>
    <w:rsid w:val="00DA6890"/>
    <w:rsid w:val="00DA7458"/>
    <w:rsid w:val="00DB2227"/>
    <w:rsid w:val="00DC017A"/>
    <w:rsid w:val="00DC0ECE"/>
    <w:rsid w:val="00DC579E"/>
    <w:rsid w:val="00DC71E8"/>
    <w:rsid w:val="00DD2519"/>
    <w:rsid w:val="00DD3CDD"/>
    <w:rsid w:val="00DD720F"/>
    <w:rsid w:val="00DE50D0"/>
    <w:rsid w:val="00DE529B"/>
    <w:rsid w:val="00DF026B"/>
    <w:rsid w:val="00DF2CA1"/>
    <w:rsid w:val="00DF6F68"/>
    <w:rsid w:val="00E02984"/>
    <w:rsid w:val="00E05CF1"/>
    <w:rsid w:val="00E06029"/>
    <w:rsid w:val="00E06ADA"/>
    <w:rsid w:val="00E10D1E"/>
    <w:rsid w:val="00E135B2"/>
    <w:rsid w:val="00E14125"/>
    <w:rsid w:val="00E225CE"/>
    <w:rsid w:val="00E2417E"/>
    <w:rsid w:val="00E3086F"/>
    <w:rsid w:val="00E30BDA"/>
    <w:rsid w:val="00E30D1B"/>
    <w:rsid w:val="00E32E28"/>
    <w:rsid w:val="00E3338F"/>
    <w:rsid w:val="00E365BE"/>
    <w:rsid w:val="00E37887"/>
    <w:rsid w:val="00E4249C"/>
    <w:rsid w:val="00E459C7"/>
    <w:rsid w:val="00E46741"/>
    <w:rsid w:val="00E46EF6"/>
    <w:rsid w:val="00E46F43"/>
    <w:rsid w:val="00E47EC4"/>
    <w:rsid w:val="00E500DD"/>
    <w:rsid w:val="00E5054D"/>
    <w:rsid w:val="00E50CC7"/>
    <w:rsid w:val="00E53554"/>
    <w:rsid w:val="00E62644"/>
    <w:rsid w:val="00E674BC"/>
    <w:rsid w:val="00E80896"/>
    <w:rsid w:val="00E82FA2"/>
    <w:rsid w:val="00E8688F"/>
    <w:rsid w:val="00E87AFF"/>
    <w:rsid w:val="00E90E26"/>
    <w:rsid w:val="00E925AB"/>
    <w:rsid w:val="00E927E8"/>
    <w:rsid w:val="00E93256"/>
    <w:rsid w:val="00E95829"/>
    <w:rsid w:val="00E95F25"/>
    <w:rsid w:val="00E97BB2"/>
    <w:rsid w:val="00EA1F5B"/>
    <w:rsid w:val="00EA27B6"/>
    <w:rsid w:val="00EA2F0E"/>
    <w:rsid w:val="00EA312C"/>
    <w:rsid w:val="00EA54FA"/>
    <w:rsid w:val="00EA56C9"/>
    <w:rsid w:val="00EB021B"/>
    <w:rsid w:val="00EB0A12"/>
    <w:rsid w:val="00EB2F1D"/>
    <w:rsid w:val="00EC0646"/>
    <w:rsid w:val="00EC0EFB"/>
    <w:rsid w:val="00EC1DDF"/>
    <w:rsid w:val="00EC62F5"/>
    <w:rsid w:val="00ED06AF"/>
    <w:rsid w:val="00ED12BD"/>
    <w:rsid w:val="00ED16FD"/>
    <w:rsid w:val="00ED2266"/>
    <w:rsid w:val="00ED5318"/>
    <w:rsid w:val="00ED5852"/>
    <w:rsid w:val="00ED7D55"/>
    <w:rsid w:val="00EE25C5"/>
    <w:rsid w:val="00EE2B7A"/>
    <w:rsid w:val="00EE3313"/>
    <w:rsid w:val="00EE385A"/>
    <w:rsid w:val="00EE3FBE"/>
    <w:rsid w:val="00EE618F"/>
    <w:rsid w:val="00EF2FAF"/>
    <w:rsid w:val="00F000D1"/>
    <w:rsid w:val="00F00136"/>
    <w:rsid w:val="00F0598F"/>
    <w:rsid w:val="00F05CFC"/>
    <w:rsid w:val="00F14498"/>
    <w:rsid w:val="00F14A98"/>
    <w:rsid w:val="00F14E5C"/>
    <w:rsid w:val="00F1538F"/>
    <w:rsid w:val="00F15F65"/>
    <w:rsid w:val="00F16392"/>
    <w:rsid w:val="00F1775D"/>
    <w:rsid w:val="00F2162A"/>
    <w:rsid w:val="00F25426"/>
    <w:rsid w:val="00F255B4"/>
    <w:rsid w:val="00F26932"/>
    <w:rsid w:val="00F45DCD"/>
    <w:rsid w:val="00F47AAA"/>
    <w:rsid w:val="00F47C77"/>
    <w:rsid w:val="00F50D9A"/>
    <w:rsid w:val="00F52332"/>
    <w:rsid w:val="00F542E9"/>
    <w:rsid w:val="00F5521F"/>
    <w:rsid w:val="00F560B2"/>
    <w:rsid w:val="00F60065"/>
    <w:rsid w:val="00F661B9"/>
    <w:rsid w:val="00F71DDC"/>
    <w:rsid w:val="00F8126B"/>
    <w:rsid w:val="00F81FF3"/>
    <w:rsid w:val="00F843FA"/>
    <w:rsid w:val="00F8653C"/>
    <w:rsid w:val="00F8757E"/>
    <w:rsid w:val="00F916C5"/>
    <w:rsid w:val="00F92FAA"/>
    <w:rsid w:val="00FA29CF"/>
    <w:rsid w:val="00FA4282"/>
    <w:rsid w:val="00FA457C"/>
    <w:rsid w:val="00FB1234"/>
    <w:rsid w:val="00FB22EB"/>
    <w:rsid w:val="00FB4D4D"/>
    <w:rsid w:val="00FC3696"/>
    <w:rsid w:val="00FC6DF4"/>
    <w:rsid w:val="00FD1A57"/>
    <w:rsid w:val="00FD1A81"/>
    <w:rsid w:val="00FD69A3"/>
    <w:rsid w:val="00FD73BF"/>
    <w:rsid w:val="00FE0F38"/>
    <w:rsid w:val="00FE2F69"/>
    <w:rsid w:val="00FE31AE"/>
    <w:rsid w:val="00FE4264"/>
    <w:rsid w:val="00FF126C"/>
    <w:rsid w:val="00FF26DB"/>
    <w:rsid w:val="00FF4129"/>
    <w:rsid w:val="00FF603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0"/>
    <o:shapelayout v:ext="edit">
      <o:idmap v:ext="edit" data="1"/>
    </o:shapelayout>
  </w:shapeDefaults>
  <w:decimalSymbol w:val=","/>
  <w:listSeparator w:val=";"/>
  <w14:docId w14:val="658B656A"/>
  <w15:docId w15:val="{5BD41F68-1754-4521-B014-C7E3A18A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97C23"/>
  </w:style>
  <w:style w:type="paragraph" w:styleId="Nadpis1">
    <w:name w:val="heading 1"/>
    <w:basedOn w:val="Normlny"/>
    <w:next w:val="Normlny"/>
    <w:link w:val="Nadpis1Char"/>
    <w:uiPriority w:val="9"/>
    <w:qFormat/>
    <w:rsid w:val="00491DDC"/>
    <w:pPr>
      <w:keepNext/>
      <w:keepLines/>
      <w:spacing w:after="0" w:line="360" w:lineRule="auto"/>
      <w:outlineLvl w:val="0"/>
    </w:pPr>
    <w:rPr>
      <w:rFonts w:ascii="Times New Roman" w:eastAsiaTheme="majorEastAsia" w:hAnsi="Times New Roman" w:cstheme="majorBidi"/>
      <w:b/>
      <w:sz w:val="28"/>
      <w:szCs w:val="32"/>
    </w:rPr>
  </w:style>
  <w:style w:type="paragraph" w:styleId="Nadpis2">
    <w:name w:val="heading 2"/>
    <w:basedOn w:val="Normlny"/>
    <w:next w:val="Normlny"/>
    <w:link w:val="Nadpis2Char"/>
    <w:uiPriority w:val="9"/>
    <w:unhideWhenUsed/>
    <w:qFormat/>
    <w:rsid w:val="00491DDC"/>
    <w:pPr>
      <w:keepNext/>
      <w:keepLines/>
      <w:spacing w:after="0" w:line="360" w:lineRule="auto"/>
      <w:outlineLvl w:val="1"/>
    </w:pPr>
    <w:rPr>
      <w:rFonts w:ascii="Times New Roman" w:eastAsiaTheme="majorEastAsia" w:hAnsi="Times New Roman" w:cstheme="majorBidi"/>
      <w:b/>
      <w:sz w:val="24"/>
      <w:szCs w:val="26"/>
    </w:rPr>
  </w:style>
  <w:style w:type="paragraph" w:styleId="Nadpis3">
    <w:name w:val="heading 3"/>
    <w:basedOn w:val="Normlny"/>
    <w:next w:val="Normlny"/>
    <w:link w:val="Nadpis3Char"/>
    <w:uiPriority w:val="9"/>
    <w:unhideWhenUsed/>
    <w:qFormat/>
    <w:rsid w:val="008132C9"/>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8A2F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5E0646"/>
    <w:pPr>
      <w:ind w:left="720"/>
      <w:contextualSpacing/>
    </w:pPr>
  </w:style>
  <w:style w:type="paragraph" w:styleId="Hlavika">
    <w:name w:val="header"/>
    <w:basedOn w:val="Normlny"/>
    <w:link w:val="HlavikaChar"/>
    <w:uiPriority w:val="99"/>
    <w:unhideWhenUsed/>
    <w:rsid w:val="0092037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2037F"/>
  </w:style>
  <w:style w:type="paragraph" w:styleId="Pta">
    <w:name w:val="footer"/>
    <w:basedOn w:val="Normlny"/>
    <w:link w:val="PtaChar"/>
    <w:uiPriority w:val="99"/>
    <w:unhideWhenUsed/>
    <w:rsid w:val="0092037F"/>
    <w:pPr>
      <w:tabs>
        <w:tab w:val="center" w:pos="4536"/>
        <w:tab w:val="right" w:pos="9072"/>
      </w:tabs>
      <w:spacing w:after="0" w:line="240" w:lineRule="auto"/>
    </w:pPr>
  </w:style>
  <w:style w:type="character" w:customStyle="1" w:styleId="PtaChar">
    <w:name w:val="Päta Char"/>
    <w:basedOn w:val="Predvolenpsmoodseku"/>
    <w:link w:val="Pta"/>
    <w:uiPriority w:val="99"/>
    <w:rsid w:val="0092037F"/>
  </w:style>
  <w:style w:type="paragraph" w:styleId="Textbubliny">
    <w:name w:val="Balloon Text"/>
    <w:basedOn w:val="Normlny"/>
    <w:link w:val="TextbublinyChar"/>
    <w:uiPriority w:val="99"/>
    <w:semiHidden/>
    <w:unhideWhenUsed/>
    <w:rsid w:val="00BB441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B4414"/>
    <w:rPr>
      <w:rFonts w:ascii="Tahoma" w:hAnsi="Tahoma" w:cs="Tahoma"/>
      <w:sz w:val="16"/>
      <w:szCs w:val="16"/>
    </w:rPr>
  </w:style>
  <w:style w:type="paragraph" w:styleId="Textpoznmkypodiarou">
    <w:name w:val="footnote text"/>
    <w:basedOn w:val="Normlny"/>
    <w:link w:val="TextpoznmkypodiarouChar"/>
    <w:semiHidden/>
    <w:unhideWhenUsed/>
    <w:rsid w:val="00A97C23"/>
    <w:pPr>
      <w:spacing w:after="0" w:line="240" w:lineRule="auto"/>
    </w:pPr>
    <w:rPr>
      <w:sz w:val="20"/>
      <w:szCs w:val="20"/>
    </w:rPr>
  </w:style>
  <w:style w:type="character" w:customStyle="1" w:styleId="TextpoznmkypodiarouChar">
    <w:name w:val="Text poznámky pod čiarou Char"/>
    <w:basedOn w:val="Predvolenpsmoodseku"/>
    <w:link w:val="Textpoznmkypodiarou"/>
    <w:semiHidden/>
    <w:rsid w:val="00A97C23"/>
    <w:rPr>
      <w:sz w:val="20"/>
      <w:szCs w:val="20"/>
    </w:rPr>
  </w:style>
  <w:style w:type="character" w:styleId="Odkaznapoznmkupodiarou">
    <w:name w:val="footnote reference"/>
    <w:basedOn w:val="Predvolenpsmoodseku"/>
    <w:semiHidden/>
    <w:unhideWhenUsed/>
    <w:rsid w:val="00A97C23"/>
    <w:rPr>
      <w:vertAlign w:val="superscript"/>
    </w:rPr>
  </w:style>
  <w:style w:type="table" w:styleId="Mriekatabuky">
    <w:name w:val="Table Grid"/>
    <w:basedOn w:val="Normlnatabuka"/>
    <w:uiPriority w:val="59"/>
    <w:rsid w:val="002E4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D659C4"/>
    <w:rPr>
      <w:sz w:val="16"/>
      <w:szCs w:val="16"/>
    </w:rPr>
  </w:style>
  <w:style w:type="paragraph" w:styleId="Textkomentra">
    <w:name w:val="annotation text"/>
    <w:basedOn w:val="Normlny"/>
    <w:link w:val="TextkomentraChar"/>
    <w:uiPriority w:val="99"/>
    <w:semiHidden/>
    <w:unhideWhenUsed/>
    <w:rsid w:val="00D659C4"/>
    <w:pPr>
      <w:spacing w:line="240" w:lineRule="auto"/>
    </w:pPr>
    <w:rPr>
      <w:sz w:val="20"/>
      <w:szCs w:val="20"/>
    </w:rPr>
  </w:style>
  <w:style w:type="character" w:customStyle="1" w:styleId="TextkomentraChar">
    <w:name w:val="Text komentára Char"/>
    <w:basedOn w:val="Predvolenpsmoodseku"/>
    <w:link w:val="Textkomentra"/>
    <w:uiPriority w:val="99"/>
    <w:semiHidden/>
    <w:rsid w:val="00D659C4"/>
    <w:rPr>
      <w:sz w:val="20"/>
      <w:szCs w:val="20"/>
    </w:rPr>
  </w:style>
  <w:style w:type="paragraph" w:styleId="Predmetkomentra">
    <w:name w:val="annotation subject"/>
    <w:basedOn w:val="Textkomentra"/>
    <w:next w:val="Textkomentra"/>
    <w:link w:val="PredmetkomentraChar"/>
    <w:uiPriority w:val="99"/>
    <w:semiHidden/>
    <w:unhideWhenUsed/>
    <w:rsid w:val="002B420F"/>
    <w:rPr>
      <w:b/>
      <w:bCs/>
    </w:rPr>
  </w:style>
  <w:style w:type="character" w:customStyle="1" w:styleId="PredmetkomentraChar">
    <w:name w:val="Predmet komentára Char"/>
    <w:basedOn w:val="TextkomentraChar"/>
    <w:link w:val="Predmetkomentra"/>
    <w:uiPriority w:val="99"/>
    <w:semiHidden/>
    <w:rsid w:val="002B420F"/>
    <w:rPr>
      <w:b/>
      <w:bCs/>
      <w:sz w:val="20"/>
      <w:szCs w:val="20"/>
    </w:rPr>
  </w:style>
  <w:style w:type="character" w:styleId="Intenzvnezvraznenie">
    <w:name w:val="Intense Emphasis"/>
    <w:basedOn w:val="Predvolenpsmoodseku"/>
    <w:uiPriority w:val="21"/>
    <w:qFormat/>
    <w:rsid w:val="005113BD"/>
    <w:rPr>
      <w:b/>
      <w:bCs/>
      <w:i/>
      <w:iCs/>
      <w:color w:val="4F81BD" w:themeColor="accent1"/>
    </w:rPr>
  </w:style>
  <w:style w:type="character" w:styleId="Hypertextovprepojenie">
    <w:name w:val="Hyperlink"/>
    <w:basedOn w:val="Predvolenpsmoodseku"/>
    <w:uiPriority w:val="99"/>
    <w:unhideWhenUsed/>
    <w:rsid w:val="00433475"/>
    <w:rPr>
      <w:color w:val="0000FF" w:themeColor="hyperlink"/>
      <w:u w:val="single"/>
    </w:rPr>
  </w:style>
  <w:style w:type="character" w:styleId="Siln">
    <w:name w:val="Strong"/>
    <w:basedOn w:val="Predvolenpsmoodseku"/>
    <w:uiPriority w:val="22"/>
    <w:qFormat/>
    <w:rsid w:val="003E18B5"/>
    <w:rPr>
      <w:b/>
      <w:bCs/>
    </w:rPr>
  </w:style>
  <w:style w:type="paragraph" w:customStyle="1" w:styleId="Default">
    <w:name w:val="Default"/>
    <w:rsid w:val="00190A99"/>
    <w:pPr>
      <w:widowControl w:val="0"/>
      <w:autoSpaceDE w:val="0"/>
      <w:autoSpaceDN w:val="0"/>
      <w:adjustRightInd w:val="0"/>
      <w:spacing w:after="0" w:line="360" w:lineRule="atLeast"/>
      <w:jc w:val="both"/>
      <w:textAlignment w:val="baseline"/>
    </w:pPr>
    <w:rPr>
      <w:rFonts w:ascii="Times New Roman" w:eastAsia="Times New Roman" w:hAnsi="Times New Roman" w:cs="Times New Roman"/>
      <w:color w:val="000000"/>
      <w:sz w:val="24"/>
      <w:szCs w:val="24"/>
      <w:lang w:eastAsia="sk-SK"/>
    </w:rPr>
  </w:style>
  <w:style w:type="paragraph" w:styleId="Revzia">
    <w:name w:val="Revision"/>
    <w:hidden/>
    <w:uiPriority w:val="99"/>
    <w:semiHidden/>
    <w:rsid w:val="00E459C7"/>
    <w:pPr>
      <w:spacing w:after="0" w:line="240" w:lineRule="auto"/>
    </w:pPr>
  </w:style>
  <w:style w:type="paragraph" w:customStyle="1" w:styleId="Vchodzie">
    <w:name w:val="Východzie"/>
    <w:rsid w:val="002B0209"/>
    <w:pPr>
      <w:suppressAutoHyphens/>
    </w:pPr>
    <w:rPr>
      <w:rFonts w:ascii="Calibri" w:eastAsia="SimSun" w:hAnsi="Calibri" w:cs="Calibri"/>
      <w:color w:val="00000A"/>
    </w:rPr>
  </w:style>
  <w:style w:type="character" w:customStyle="1" w:styleId="Nadpis1Char">
    <w:name w:val="Nadpis 1 Char"/>
    <w:basedOn w:val="Predvolenpsmoodseku"/>
    <w:link w:val="Nadpis1"/>
    <w:uiPriority w:val="9"/>
    <w:rsid w:val="00491DDC"/>
    <w:rPr>
      <w:rFonts w:ascii="Times New Roman" w:eastAsiaTheme="majorEastAsia" w:hAnsi="Times New Roman" w:cstheme="majorBidi"/>
      <w:b/>
      <w:sz w:val="28"/>
      <w:szCs w:val="32"/>
    </w:rPr>
  </w:style>
  <w:style w:type="character" w:customStyle="1" w:styleId="Nadpis2Char">
    <w:name w:val="Nadpis 2 Char"/>
    <w:basedOn w:val="Predvolenpsmoodseku"/>
    <w:link w:val="Nadpis2"/>
    <w:uiPriority w:val="9"/>
    <w:rsid w:val="00491DDC"/>
    <w:rPr>
      <w:rFonts w:ascii="Times New Roman" w:eastAsiaTheme="majorEastAsia" w:hAnsi="Times New Roman" w:cstheme="majorBidi"/>
      <w:b/>
      <w:sz w:val="24"/>
      <w:szCs w:val="26"/>
    </w:rPr>
  </w:style>
  <w:style w:type="paragraph" w:styleId="Obsah1">
    <w:name w:val="toc 1"/>
    <w:basedOn w:val="Normlny"/>
    <w:next w:val="Normlny"/>
    <w:autoRedefine/>
    <w:uiPriority w:val="39"/>
    <w:unhideWhenUsed/>
    <w:rsid w:val="00866300"/>
    <w:pPr>
      <w:tabs>
        <w:tab w:val="left" w:pos="440"/>
        <w:tab w:val="right" w:leader="dot" w:pos="9061"/>
      </w:tabs>
      <w:spacing w:after="100"/>
    </w:pPr>
    <w:rPr>
      <w:b/>
      <w:noProof/>
      <w:sz w:val="24"/>
      <w:szCs w:val="24"/>
    </w:rPr>
  </w:style>
  <w:style w:type="paragraph" w:styleId="Obsah2">
    <w:name w:val="toc 2"/>
    <w:basedOn w:val="Normlny"/>
    <w:next w:val="Normlny"/>
    <w:autoRedefine/>
    <w:uiPriority w:val="39"/>
    <w:unhideWhenUsed/>
    <w:rsid w:val="00A948EA"/>
    <w:pPr>
      <w:tabs>
        <w:tab w:val="left" w:pos="851"/>
        <w:tab w:val="right" w:leader="dot" w:pos="9061"/>
      </w:tabs>
      <w:spacing w:after="100"/>
      <w:ind w:left="426" w:hanging="206"/>
    </w:pPr>
  </w:style>
  <w:style w:type="character" w:customStyle="1" w:styleId="Nadpis3Char">
    <w:name w:val="Nadpis 3 Char"/>
    <w:basedOn w:val="Predvolenpsmoodseku"/>
    <w:link w:val="Nadpis3"/>
    <w:uiPriority w:val="9"/>
    <w:rsid w:val="008132C9"/>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8A2FD0"/>
    <w:rPr>
      <w:rFonts w:asciiTheme="majorHAnsi" w:eastAsiaTheme="majorEastAsia" w:hAnsiTheme="majorHAnsi" w:cstheme="majorBidi"/>
      <w:b/>
      <w:bCs/>
      <w:i/>
      <w:iCs/>
      <w:color w:val="4F81BD" w:themeColor="accent1"/>
    </w:rPr>
  </w:style>
  <w:style w:type="paragraph" w:styleId="Zarkazkladnhotextu">
    <w:name w:val="Body Text Indent"/>
    <w:basedOn w:val="Normlny"/>
    <w:link w:val="ZarkazkladnhotextuChar"/>
    <w:rsid w:val="00837E29"/>
    <w:pPr>
      <w:spacing w:after="120" w:line="240" w:lineRule="auto"/>
      <w:ind w:left="283"/>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rsid w:val="00837E29"/>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CA519E"/>
    <w:pPr>
      <w:spacing w:after="120" w:line="480" w:lineRule="auto"/>
      <w:ind w:left="283"/>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CA519E"/>
    <w:rPr>
      <w:rFonts w:ascii="Times New Roman" w:eastAsia="Times New Roman" w:hAnsi="Times New Roman" w:cs="Times New Roman"/>
      <w:sz w:val="24"/>
      <w:szCs w:val="24"/>
      <w:lang w:eastAsia="sk-SK"/>
    </w:rPr>
  </w:style>
  <w:style w:type="character" w:customStyle="1" w:styleId="hps">
    <w:name w:val="hps"/>
    <w:basedOn w:val="Predvolenpsmoodseku"/>
    <w:rsid w:val="00A21B3A"/>
  </w:style>
  <w:style w:type="character" w:customStyle="1" w:styleId="OdsekzoznamuChar">
    <w:name w:val="Odsek zoznamu Char"/>
    <w:aliases w:val="body Char,Odsek zoznamu2 Char"/>
    <w:basedOn w:val="Predvolenpsmoodseku"/>
    <w:link w:val="Odsekzoznamu"/>
    <w:uiPriority w:val="34"/>
    <w:rsid w:val="00556D98"/>
  </w:style>
  <w:style w:type="paragraph" w:customStyle="1" w:styleId="msolistparagraph0">
    <w:name w:val="msolistparagraph"/>
    <w:basedOn w:val="Normlny"/>
    <w:rsid w:val="00E46741"/>
    <w:pPr>
      <w:spacing w:after="0" w:line="240" w:lineRule="auto"/>
      <w:ind w:left="720"/>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3620">
      <w:bodyDiv w:val="1"/>
      <w:marLeft w:val="0"/>
      <w:marRight w:val="0"/>
      <w:marTop w:val="0"/>
      <w:marBottom w:val="0"/>
      <w:divBdr>
        <w:top w:val="none" w:sz="0" w:space="0" w:color="auto"/>
        <w:left w:val="none" w:sz="0" w:space="0" w:color="auto"/>
        <w:bottom w:val="none" w:sz="0" w:space="0" w:color="auto"/>
        <w:right w:val="none" w:sz="0" w:space="0" w:color="auto"/>
      </w:divBdr>
    </w:div>
    <w:div w:id="259608972">
      <w:bodyDiv w:val="1"/>
      <w:marLeft w:val="0"/>
      <w:marRight w:val="0"/>
      <w:marTop w:val="0"/>
      <w:marBottom w:val="0"/>
      <w:divBdr>
        <w:top w:val="none" w:sz="0" w:space="0" w:color="auto"/>
        <w:left w:val="none" w:sz="0" w:space="0" w:color="auto"/>
        <w:bottom w:val="none" w:sz="0" w:space="0" w:color="auto"/>
        <w:right w:val="none" w:sz="0" w:space="0" w:color="auto"/>
      </w:divBdr>
    </w:div>
    <w:div w:id="384449269">
      <w:bodyDiv w:val="1"/>
      <w:marLeft w:val="0"/>
      <w:marRight w:val="0"/>
      <w:marTop w:val="0"/>
      <w:marBottom w:val="0"/>
      <w:divBdr>
        <w:top w:val="none" w:sz="0" w:space="0" w:color="auto"/>
        <w:left w:val="none" w:sz="0" w:space="0" w:color="auto"/>
        <w:bottom w:val="none" w:sz="0" w:space="0" w:color="auto"/>
        <w:right w:val="none" w:sz="0" w:space="0" w:color="auto"/>
      </w:divBdr>
    </w:div>
    <w:div w:id="459999960">
      <w:bodyDiv w:val="1"/>
      <w:marLeft w:val="0"/>
      <w:marRight w:val="0"/>
      <w:marTop w:val="0"/>
      <w:marBottom w:val="0"/>
      <w:divBdr>
        <w:top w:val="none" w:sz="0" w:space="0" w:color="auto"/>
        <w:left w:val="none" w:sz="0" w:space="0" w:color="auto"/>
        <w:bottom w:val="none" w:sz="0" w:space="0" w:color="auto"/>
        <w:right w:val="none" w:sz="0" w:space="0" w:color="auto"/>
      </w:divBdr>
    </w:div>
    <w:div w:id="463349260">
      <w:bodyDiv w:val="1"/>
      <w:marLeft w:val="0"/>
      <w:marRight w:val="0"/>
      <w:marTop w:val="0"/>
      <w:marBottom w:val="0"/>
      <w:divBdr>
        <w:top w:val="none" w:sz="0" w:space="0" w:color="auto"/>
        <w:left w:val="none" w:sz="0" w:space="0" w:color="auto"/>
        <w:bottom w:val="none" w:sz="0" w:space="0" w:color="auto"/>
        <w:right w:val="none" w:sz="0" w:space="0" w:color="auto"/>
      </w:divBdr>
    </w:div>
    <w:div w:id="767237459">
      <w:bodyDiv w:val="1"/>
      <w:marLeft w:val="0"/>
      <w:marRight w:val="0"/>
      <w:marTop w:val="0"/>
      <w:marBottom w:val="0"/>
      <w:divBdr>
        <w:top w:val="none" w:sz="0" w:space="0" w:color="auto"/>
        <w:left w:val="none" w:sz="0" w:space="0" w:color="auto"/>
        <w:bottom w:val="none" w:sz="0" w:space="0" w:color="auto"/>
        <w:right w:val="none" w:sz="0" w:space="0" w:color="auto"/>
      </w:divBdr>
    </w:div>
    <w:div w:id="786119362">
      <w:bodyDiv w:val="1"/>
      <w:marLeft w:val="0"/>
      <w:marRight w:val="0"/>
      <w:marTop w:val="0"/>
      <w:marBottom w:val="0"/>
      <w:divBdr>
        <w:top w:val="none" w:sz="0" w:space="0" w:color="auto"/>
        <w:left w:val="none" w:sz="0" w:space="0" w:color="auto"/>
        <w:bottom w:val="none" w:sz="0" w:space="0" w:color="auto"/>
        <w:right w:val="none" w:sz="0" w:space="0" w:color="auto"/>
      </w:divBdr>
    </w:div>
    <w:div w:id="887914380">
      <w:bodyDiv w:val="1"/>
      <w:marLeft w:val="0"/>
      <w:marRight w:val="0"/>
      <w:marTop w:val="0"/>
      <w:marBottom w:val="0"/>
      <w:divBdr>
        <w:top w:val="none" w:sz="0" w:space="0" w:color="auto"/>
        <w:left w:val="none" w:sz="0" w:space="0" w:color="auto"/>
        <w:bottom w:val="none" w:sz="0" w:space="0" w:color="auto"/>
        <w:right w:val="none" w:sz="0" w:space="0" w:color="auto"/>
      </w:divBdr>
    </w:div>
    <w:div w:id="930360175">
      <w:bodyDiv w:val="1"/>
      <w:marLeft w:val="0"/>
      <w:marRight w:val="0"/>
      <w:marTop w:val="0"/>
      <w:marBottom w:val="0"/>
      <w:divBdr>
        <w:top w:val="none" w:sz="0" w:space="0" w:color="auto"/>
        <w:left w:val="none" w:sz="0" w:space="0" w:color="auto"/>
        <w:bottom w:val="none" w:sz="0" w:space="0" w:color="auto"/>
        <w:right w:val="none" w:sz="0" w:space="0" w:color="auto"/>
      </w:divBdr>
    </w:div>
    <w:div w:id="978073712">
      <w:bodyDiv w:val="1"/>
      <w:marLeft w:val="0"/>
      <w:marRight w:val="0"/>
      <w:marTop w:val="0"/>
      <w:marBottom w:val="0"/>
      <w:divBdr>
        <w:top w:val="none" w:sz="0" w:space="0" w:color="auto"/>
        <w:left w:val="none" w:sz="0" w:space="0" w:color="auto"/>
        <w:bottom w:val="none" w:sz="0" w:space="0" w:color="auto"/>
        <w:right w:val="none" w:sz="0" w:space="0" w:color="auto"/>
      </w:divBdr>
    </w:div>
    <w:div w:id="1059935618">
      <w:bodyDiv w:val="1"/>
      <w:marLeft w:val="0"/>
      <w:marRight w:val="0"/>
      <w:marTop w:val="0"/>
      <w:marBottom w:val="0"/>
      <w:divBdr>
        <w:top w:val="none" w:sz="0" w:space="0" w:color="auto"/>
        <w:left w:val="none" w:sz="0" w:space="0" w:color="auto"/>
        <w:bottom w:val="none" w:sz="0" w:space="0" w:color="auto"/>
        <w:right w:val="none" w:sz="0" w:space="0" w:color="auto"/>
      </w:divBdr>
    </w:div>
    <w:div w:id="1087731486">
      <w:bodyDiv w:val="1"/>
      <w:marLeft w:val="0"/>
      <w:marRight w:val="0"/>
      <w:marTop w:val="0"/>
      <w:marBottom w:val="0"/>
      <w:divBdr>
        <w:top w:val="none" w:sz="0" w:space="0" w:color="auto"/>
        <w:left w:val="none" w:sz="0" w:space="0" w:color="auto"/>
        <w:bottom w:val="none" w:sz="0" w:space="0" w:color="auto"/>
        <w:right w:val="none" w:sz="0" w:space="0" w:color="auto"/>
      </w:divBdr>
    </w:div>
    <w:div w:id="1151364537">
      <w:bodyDiv w:val="1"/>
      <w:marLeft w:val="0"/>
      <w:marRight w:val="0"/>
      <w:marTop w:val="0"/>
      <w:marBottom w:val="0"/>
      <w:divBdr>
        <w:top w:val="none" w:sz="0" w:space="0" w:color="auto"/>
        <w:left w:val="none" w:sz="0" w:space="0" w:color="auto"/>
        <w:bottom w:val="none" w:sz="0" w:space="0" w:color="auto"/>
        <w:right w:val="none" w:sz="0" w:space="0" w:color="auto"/>
      </w:divBdr>
    </w:div>
    <w:div w:id="1171488330">
      <w:bodyDiv w:val="1"/>
      <w:marLeft w:val="0"/>
      <w:marRight w:val="0"/>
      <w:marTop w:val="0"/>
      <w:marBottom w:val="0"/>
      <w:divBdr>
        <w:top w:val="none" w:sz="0" w:space="0" w:color="auto"/>
        <w:left w:val="none" w:sz="0" w:space="0" w:color="auto"/>
        <w:bottom w:val="none" w:sz="0" w:space="0" w:color="auto"/>
        <w:right w:val="none" w:sz="0" w:space="0" w:color="auto"/>
      </w:divBdr>
    </w:div>
    <w:div w:id="1203205695">
      <w:bodyDiv w:val="1"/>
      <w:marLeft w:val="0"/>
      <w:marRight w:val="0"/>
      <w:marTop w:val="0"/>
      <w:marBottom w:val="0"/>
      <w:divBdr>
        <w:top w:val="none" w:sz="0" w:space="0" w:color="auto"/>
        <w:left w:val="none" w:sz="0" w:space="0" w:color="auto"/>
        <w:bottom w:val="none" w:sz="0" w:space="0" w:color="auto"/>
        <w:right w:val="none" w:sz="0" w:space="0" w:color="auto"/>
      </w:divBdr>
    </w:div>
    <w:div w:id="1219127599">
      <w:bodyDiv w:val="1"/>
      <w:marLeft w:val="0"/>
      <w:marRight w:val="0"/>
      <w:marTop w:val="0"/>
      <w:marBottom w:val="0"/>
      <w:divBdr>
        <w:top w:val="none" w:sz="0" w:space="0" w:color="auto"/>
        <w:left w:val="none" w:sz="0" w:space="0" w:color="auto"/>
        <w:bottom w:val="none" w:sz="0" w:space="0" w:color="auto"/>
        <w:right w:val="none" w:sz="0" w:space="0" w:color="auto"/>
      </w:divBdr>
    </w:div>
    <w:div w:id="1388336331">
      <w:bodyDiv w:val="1"/>
      <w:marLeft w:val="0"/>
      <w:marRight w:val="0"/>
      <w:marTop w:val="0"/>
      <w:marBottom w:val="0"/>
      <w:divBdr>
        <w:top w:val="none" w:sz="0" w:space="0" w:color="auto"/>
        <w:left w:val="none" w:sz="0" w:space="0" w:color="auto"/>
        <w:bottom w:val="none" w:sz="0" w:space="0" w:color="auto"/>
        <w:right w:val="none" w:sz="0" w:space="0" w:color="auto"/>
      </w:divBdr>
    </w:div>
    <w:div w:id="1425178152">
      <w:bodyDiv w:val="1"/>
      <w:marLeft w:val="0"/>
      <w:marRight w:val="0"/>
      <w:marTop w:val="0"/>
      <w:marBottom w:val="0"/>
      <w:divBdr>
        <w:top w:val="none" w:sz="0" w:space="0" w:color="auto"/>
        <w:left w:val="none" w:sz="0" w:space="0" w:color="auto"/>
        <w:bottom w:val="none" w:sz="0" w:space="0" w:color="auto"/>
        <w:right w:val="none" w:sz="0" w:space="0" w:color="auto"/>
      </w:divBdr>
    </w:div>
    <w:div w:id="1522282304">
      <w:bodyDiv w:val="1"/>
      <w:marLeft w:val="0"/>
      <w:marRight w:val="0"/>
      <w:marTop w:val="0"/>
      <w:marBottom w:val="0"/>
      <w:divBdr>
        <w:top w:val="none" w:sz="0" w:space="0" w:color="auto"/>
        <w:left w:val="none" w:sz="0" w:space="0" w:color="auto"/>
        <w:bottom w:val="none" w:sz="0" w:space="0" w:color="auto"/>
        <w:right w:val="none" w:sz="0" w:space="0" w:color="auto"/>
      </w:divBdr>
    </w:div>
    <w:div w:id="1568801525">
      <w:bodyDiv w:val="1"/>
      <w:marLeft w:val="0"/>
      <w:marRight w:val="0"/>
      <w:marTop w:val="0"/>
      <w:marBottom w:val="0"/>
      <w:divBdr>
        <w:top w:val="none" w:sz="0" w:space="0" w:color="auto"/>
        <w:left w:val="none" w:sz="0" w:space="0" w:color="auto"/>
        <w:bottom w:val="none" w:sz="0" w:space="0" w:color="auto"/>
        <w:right w:val="none" w:sz="0" w:space="0" w:color="auto"/>
      </w:divBdr>
    </w:div>
    <w:div w:id="1572887225">
      <w:bodyDiv w:val="1"/>
      <w:marLeft w:val="0"/>
      <w:marRight w:val="0"/>
      <w:marTop w:val="0"/>
      <w:marBottom w:val="0"/>
      <w:divBdr>
        <w:top w:val="none" w:sz="0" w:space="0" w:color="auto"/>
        <w:left w:val="none" w:sz="0" w:space="0" w:color="auto"/>
        <w:bottom w:val="none" w:sz="0" w:space="0" w:color="auto"/>
        <w:right w:val="none" w:sz="0" w:space="0" w:color="auto"/>
      </w:divBdr>
    </w:div>
    <w:div w:id="1574970693">
      <w:bodyDiv w:val="1"/>
      <w:marLeft w:val="0"/>
      <w:marRight w:val="0"/>
      <w:marTop w:val="0"/>
      <w:marBottom w:val="0"/>
      <w:divBdr>
        <w:top w:val="none" w:sz="0" w:space="0" w:color="auto"/>
        <w:left w:val="none" w:sz="0" w:space="0" w:color="auto"/>
        <w:bottom w:val="none" w:sz="0" w:space="0" w:color="auto"/>
        <w:right w:val="none" w:sz="0" w:space="0" w:color="auto"/>
      </w:divBdr>
    </w:div>
    <w:div w:id="1614827774">
      <w:bodyDiv w:val="1"/>
      <w:marLeft w:val="0"/>
      <w:marRight w:val="0"/>
      <w:marTop w:val="0"/>
      <w:marBottom w:val="0"/>
      <w:divBdr>
        <w:top w:val="none" w:sz="0" w:space="0" w:color="auto"/>
        <w:left w:val="none" w:sz="0" w:space="0" w:color="auto"/>
        <w:bottom w:val="none" w:sz="0" w:space="0" w:color="auto"/>
        <w:right w:val="none" w:sz="0" w:space="0" w:color="auto"/>
      </w:divBdr>
    </w:div>
    <w:div w:id="1629240435">
      <w:bodyDiv w:val="1"/>
      <w:marLeft w:val="0"/>
      <w:marRight w:val="0"/>
      <w:marTop w:val="0"/>
      <w:marBottom w:val="0"/>
      <w:divBdr>
        <w:top w:val="none" w:sz="0" w:space="0" w:color="auto"/>
        <w:left w:val="none" w:sz="0" w:space="0" w:color="auto"/>
        <w:bottom w:val="none" w:sz="0" w:space="0" w:color="auto"/>
        <w:right w:val="none" w:sz="0" w:space="0" w:color="auto"/>
      </w:divBdr>
    </w:div>
    <w:div w:id="1632243343">
      <w:bodyDiv w:val="1"/>
      <w:marLeft w:val="0"/>
      <w:marRight w:val="0"/>
      <w:marTop w:val="0"/>
      <w:marBottom w:val="0"/>
      <w:divBdr>
        <w:top w:val="none" w:sz="0" w:space="0" w:color="auto"/>
        <w:left w:val="none" w:sz="0" w:space="0" w:color="auto"/>
        <w:bottom w:val="none" w:sz="0" w:space="0" w:color="auto"/>
        <w:right w:val="none" w:sz="0" w:space="0" w:color="auto"/>
      </w:divBdr>
    </w:div>
    <w:div w:id="1811633259">
      <w:bodyDiv w:val="1"/>
      <w:marLeft w:val="0"/>
      <w:marRight w:val="0"/>
      <w:marTop w:val="0"/>
      <w:marBottom w:val="0"/>
      <w:divBdr>
        <w:top w:val="none" w:sz="0" w:space="0" w:color="auto"/>
        <w:left w:val="none" w:sz="0" w:space="0" w:color="auto"/>
        <w:bottom w:val="none" w:sz="0" w:space="0" w:color="auto"/>
        <w:right w:val="none" w:sz="0" w:space="0" w:color="auto"/>
      </w:divBdr>
    </w:div>
    <w:div w:id="1814254444">
      <w:bodyDiv w:val="1"/>
      <w:marLeft w:val="0"/>
      <w:marRight w:val="0"/>
      <w:marTop w:val="0"/>
      <w:marBottom w:val="0"/>
      <w:divBdr>
        <w:top w:val="none" w:sz="0" w:space="0" w:color="auto"/>
        <w:left w:val="none" w:sz="0" w:space="0" w:color="auto"/>
        <w:bottom w:val="none" w:sz="0" w:space="0" w:color="auto"/>
        <w:right w:val="none" w:sz="0" w:space="0" w:color="auto"/>
      </w:divBdr>
    </w:div>
    <w:div w:id="1964459837">
      <w:bodyDiv w:val="1"/>
      <w:marLeft w:val="0"/>
      <w:marRight w:val="0"/>
      <w:marTop w:val="0"/>
      <w:marBottom w:val="0"/>
      <w:divBdr>
        <w:top w:val="none" w:sz="0" w:space="0" w:color="auto"/>
        <w:left w:val="none" w:sz="0" w:space="0" w:color="auto"/>
        <w:bottom w:val="none" w:sz="0" w:space="0" w:color="auto"/>
        <w:right w:val="none" w:sz="0" w:space="0" w:color="auto"/>
      </w:divBdr>
    </w:div>
    <w:div w:id="1991790689">
      <w:bodyDiv w:val="1"/>
      <w:marLeft w:val="0"/>
      <w:marRight w:val="0"/>
      <w:marTop w:val="0"/>
      <w:marBottom w:val="0"/>
      <w:divBdr>
        <w:top w:val="none" w:sz="0" w:space="0" w:color="auto"/>
        <w:left w:val="none" w:sz="0" w:space="0" w:color="auto"/>
        <w:bottom w:val="none" w:sz="0" w:space="0" w:color="auto"/>
        <w:right w:val="none" w:sz="0" w:space="0" w:color="auto"/>
      </w:divBdr>
    </w:div>
    <w:div w:id="2067218703">
      <w:bodyDiv w:val="1"/>
      <w:marLeft w:val="0"/>
      <w:marRight w:val="0"/>
      <w:marTop w:val="0"/>
      <w:marBottom w:val="0"/>
      <w:divBdr>
        <w:top w:val="none" w:sz="0" w:space="0" w:color="auto"/>
        <w:left w:val="none" w:sz="0" w:space="0" w:color="auto"/>
        <w:bottom w:val="none" w:sz="0" w:space="0" w:color="auto"/>
        <w:right w:val="none" w:sz="0" w:space="0" w:color="auto"/>
      </w:divBdr>
    </w:div>
    <w:div w:id="2140415267">
      <w:bodyDiv w:val="1"/>
      <w:marLeft w:val="0"/>
      <w:marRight w:val="0"/>
      <w:marTop w:val="0"/>
      <w:marBottom w:val="0"/>
      <w:divBdr>
        <w:top w:val="none" w:sz="0" w:space="0" w:color="auto"/>
        <w:left w:val="none" w:sz="0" w:space="0" w:color="auto"/>
        <w:bottom w:val="none" w:sz="0" w:space="0" w:color="auto"/>
        <w:right w:val="none" w:sz="0" w:space="0" w:color="auto"/>
      </w:divBdr>
    </w:div>
    <w:div w:id="214218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paniciarskyregion.sk" TargetMode="Externa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www.regionalneprodukty.s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yperlink" Target="https://www.facebook.com/Kopani%C4%8Diarsky-regi%C3%B3n-MAS-369767339715840/?ref=aymt_homepage_panel"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kopaniciarskyregion.sk"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regionalneprodukty.sk" TargetMode="External"/><Relationship Id="rId28" Type="http://schemas.openxmlformats.org/officeDocument/2006/relationships/theme" Target="theme/theme1.xml"/><Relationship Id="rId10" Type="http://schemas.openxmlformats.org/officeDocument/2006/relationships/hyperlink" Target="http://www.kopaniciarskyregion.sk"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kopaniciarskyregion.sk"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sk-SK" sz="1200" b="1" i="0" u="none" strike="noStrike" baseline="0">
                <a:effectLst/>
                <a:latin typeface="Times New Roman" panose="02020603050405020304" pitchFamily="18" charset="0"/>
                <a:cs typeface="Times New Roman" panose="02020603050405020304" pitchFamily="18" charset="0"/>
              </a:rPr>
              <a:t>Vývoj počtu obyvateľstva v Kopaničiarskom regióne           od r. 1869 do r. 2014</a:t>
            </a:r>
            <a:endParaRPr lang="sk-SK" sz="1200">
              <a:latin typeface="Times New Roman" panose="02020603050405020304" pitchFamily="18" charset="0"/>
              <a:cs typeface="Times New Roman" panose="02020603050405020304" pitchFamily="18" charset="0"/>
            </a:endParaRPr>
          </a:p>
        </c:rich>
      </c:tx>
      <c:layout>
        <c:manualLayout>
          <c:xMode val="edge"/>
          <c:yMode val="edge"/>
          <c:x val="0.23013878946949859"/>
          <c:y val="2.6533992063481091E-2"/>
        </c:manualLayout>
      </c:layout>
      <c:overlay val="0"/>
    </c:title>
    <c:autoTitleDeleted val="0"/>
    <c:plotArea>
      <c:layout/>
      <c:lineChart>
        <c:grouping val="standard"/>
        <c:varyColors val="0"/>
        <c:ser>
          <c:idx val="0"/>
          <c:order val="0"/>
          <c:marker>
            <c:symbol val="none"/>
          </c:marker>
          <c:cat>
            <c:numRef>
              <c:f>Hárok2!$B$2:$P$2</c:f>
              <c:numCache>
                <c:formatCode>General</c:formatCode>
                <c:ptCount val="15"/>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2007</c:v>
                </c:pt>
                <c:pt idx="14">
                  <c:v>2014</c:v>
                </c:pt>
              </c:numCache>
            </c:numRef>
          </c:cat>
          <c:val>
            <c:numRef>
              <c:f>Hárok2!$B$3:$P$3</c:f>
              <c:numCache>
                <c:formatCode>#,##0</c:formatCode>
                <c:ptCount val="15"/>
                <c:pt idx="0">
                  <c:v>38359</c:v>
                </c:pt>
                <c:pt idx="1">
                  <c:v>38051</c:v>
                </c:pt>
                <c:pt idx="2">
                  <c:v>39468</c:v>
                </c:pt>
                <c:pt idx="3">
                  <c:v>40672</c:v>
                </c:pt>
                <c:pt idx="4">
                  <c:v>39619</c:v>
                </c:pt>
                <c:pt idx="5">
                  <c:v>37632</c:v>
                </c:pt>
                <c:pt idx="6">
                  <c:v>36952</c:v>
                </c:pt>
                <c:pt idx="7">
                  <c:v>36178</c:v>
                </c:pt>
                <c:pt idx="8">
                  <c:v>41099</c:v>
                </c:pt>
                <c:pt idx="9">
                  <c:v>41437</c:v>
                </c:pt>
                <c:pt idx="10">
                  <c:v>46057</c:v>
                </c:pt>
                <c:pt idx="11">
                  <c:v>46212</c:v>
                </c:pt>
                <c:pt idx="12">
                  <c:v>44565</c:v>
                </c:pt>
                <c:pt idx="13">
                  <c:v>43116</c:v>
                </c:pt>
                <c:pt idx="14">
                  <c:v>44325</c:v>
                </c:pt>
              </c:numCache>
            </c:numRef>
          </c:val>
          <c:smooth val="0"/>
        </c:ser>
        <c:dLbls>
          <c:showLegendKey val="0"/>
          <c:showVal val="0"/>
          <c:showCatName val="0"/>
          <c:showSerName val="0"/>
          <c:showPercent val="0"/>
          <c:showBubbleSize val="0"/>
        </c:dLbls>
        <c:smooth val="0"/>
        <c:axId val="211499632"/>
        <c:axId val="260910728"/>
      </c:lineChart>
      <c:catAx>
        <c:axId val="211499632"/>
        <c:scaling>
          <c:orientation val="minMax"/>
        </c:scaling>
        <c:delete val="0"/>
        <c:axPos val="b"/>
        <c:title>
          <c:tx>
            <c:rich>
              <a:bodyPr/>
              <a:lstStyle/>
              <a:p>
                <a:pPr>
                  <a:defRPr/>
                </a:pPr>
                <a:r>
                  <a:rPr lang="sk-SK" sz="1100">
                    <a:latin typeface="Times New Roman" panose="02020603050405020304" pitchFamily="18" charset="0"/>
                    <a:cs typeface="Times New Roman" panose="02020603050405020304" pitchFamily="18" charset="0"/>
                  </a:rPr>
                  <a:t>Roky</a:t>
                </a:r>
                <a:endParaRPr lang="en-US" sz="11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rot="-2700000" vert="horz"/>
          <a:lstStyle/>
          <a:p>
            <a:pPr>
              <a:defRPr sz="1100">
                <a:latin typeface="Times New Roman" panose="02020603050405020304" pitchFamily="18" charset="0"/>
                <a:cs typeface="Times New Roman" panose="02020603050405020304" pitchFamily="18" charset="0"/>
              </a:defRPr>
            </a:pPr>
            <a:endParaRPr lang="sk-SK"/>
          </a:p>
        </c:txPr>
        <c:crossAx val="260910728"/>
        <c:crosses val="autoZero"/>
        <c:auto val="1"/>
        <c:lblAlgn val="ctr"/>
        <c:lblOffset val="100"/>
        <c:noMultiLvlLbl val="0"/>
      </c:catAx>
      <c:valAx>
        <c:axId val="260910728"/>
        <c:scaling>
          <c:orientation val="minMax"/>
          <c:max val="50000"/>
          <c:min val="3000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US" sz="1100">
                    <a:latin typeface="Times New Roman" panose="02020603050405020304" pitchFamily="18" charset="0"/>
                    <a:cs typeface="Times New Roman" panose="02020603050405020304" pitchFamily="18" charset="0"/>
                  </a:rPr>
                  <a:t>Počet obyvateľov</a:t>
                </a:r>
              </a:p>
            </c:rich>
          </c:tx>
          <c:overlay val="0"/>
        </c:title>
        <c:numFmt formatCode="#,##0"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sk-SK"/>
          </a:p>
        </c:txPr>
        <c:crossAx val="211499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400" b="1" i="0" u="none" strike="noStrike" baseline="0">
                <a:effectLst/>
                <a:latin typeface="Times New Roman" panose="02020603050405020304" pitchFamily="18" charset="0"/>
                <a:cs typeface="Times New Roman" panose="02020603050405020304" pitchFamily="18" charset="0"/>
              </a:rPr>
              <a:t>Vývoj pohybu obyvateľstva v Kopaničiarskom regióne za roky 1996-2014</a:t>
            </a:r>
            <a:endParaRPr lang="sk-SK"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cked"/>
        <c:varyColors val="0"/>
        <c:ser>
          <c:idx val="1"/>
          <c:order val="0"/>
          <c:tx>
            <c:strRef>
              <c:f>Hárok3!$D$3:$D$4</c:f>
              <c:strCache>
                <c:ptCount val="1"/>
                <c:pt idx="0">
                  <c:v>Prirodzený prírastok  (-úbytok)</c:v>
                </c:pt>
              </c:strCache>
            </c:strRef>
          </c:tx>
          <c:cat>
            <c:numRef>
              <c:f>Hárok3!$A$5:$A$23</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Hárok3!$D$5:$D$23</c:f>
              <c:numCache>
                <c:formatCode>General</c:formatCode>
                <c:ptCount val="19"/>
                <c:pt idx="0">
                  <c:v>-179</c:v>
                </c:pt>
                <c:pt idx="1">
                  <c:v>-162</c:v>
                </c:pt>
                <c:pt idx="2">
                  <c:v>-150</c:v>
                </c:pt>
                <c:pt idx="3">
                  <c:v>-154</c:v>
                </c:pt>
                <c:pt idx="4">
                  <c:v>-201</c:v>
                </c:pt>
                <c:pt idx="5">
                  <c:v>-190</c:v>
                </c:pt>
                <c:pt idx="6">
                  <c:v>-209</c:v>
                </c:pt>
                <c:pt idx="7">
                  <c:v>-216</c:v>
                </c:pt>
                <c:pt idx="8">
                  <c:v>-182</c:v>
                </c:pt>
                <c:pt idx="9">
                  <c:v>-140</c:v>
                </c:pt>
                <c:pt idx="10">
                  <c:v>-170</c:v>
                </c:pt>
                <c:pt idx="11">
                  <c:v>-191</c:v>
                </c:pt>
                <c:pt idx="12">
                  <c:v>-159</c:v>
                </c:pt>
                <c:pt idx="13">
                  <c:v>-114</c:v>
                </c:pt>
                <c:pt idx="14">
                  <c:v>-66</c:v>
                </c:pt>
                <c:pt idx="15">
                  <c:v>-96</c:v>
                </c:pt>
                <c:pt idx="16">
                  <c:v>-129</c:v>
                </c:pt>
                <c:pt idx="17">
                  <c:v>-92</c:v>
                </c:pt>
                <c:pt idx="18">
                  <c:v>-106</c:v>
                </c:pt>
              </c:numCache>
            </c:numRef>
          </c:val>
          <c:smooth val="0"/>
        </c:ser>
        <c:ser>
          <c:idx val="2"/>
          <c:order val="1"/>
          <c:tx>
            <c:strRef>
              <c:f>Hárok3!$G$3:$G$4</c:f>
              <c:strCache>
                <c:ptCount val="1"/>
                <c:pt idx="0">
                  <c:v>Mechanický prírastok  (-úbytok)</c:v>
                </c:pt>
              </c:strCache>
            </c:strRef>
          </c:tx>
          <c:cat>
            <c:numRef>
              <c:f>Hárok3!$A$5:$A$23</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Hárok3!$G$5:$G$23</c:f>
              <c:numCache>
                <c:formatCode>General</c:formatCode>
                <c:ptCount val="19"/>
                <c:pt idx="0">
                  <c:v>-18</c:v>
                </c:pt>
                <c:pt idx="1">
                  <c:v>-17</c:v>
                </c:pt>
                <c:pt idx="2">
                  <c:v>29</c:v>
                </c:pt>
                <c:pt idx="3">
                  <c:v>-7</c:v>
                </c:pt>
                <c:pt idx="4">
                  <c:v>-16</c:v>
                </c:pt>
                <c:pt idx="5">
                  <c:v>-92</c:v>
                </c:pt>
                <c:pt idx="6">
                  <c:v>-52</c:v>
                </c:pt>
                <c:pt idx="7">
                  <c:v>-45</c:v>
                </c:pt>
                <c:pt idx="8">
                  <c:v>-80</c:v>
                </c:pt>
                <c:pt idx="9">
                  <c:v>-31</c:v>
                </c:pt>
                <c:pt idx="10">
                  <c:v>-58</c:v>
                </c:pt>
                <c:pt idx="11">
                  <c:v>-49</c:v>
                </c:pt>
                <c:pt idx="12">
                  <c:v>-40</c:v>
                </c:pt>
                <c:pt idx="13">
                  <c:v>-47</c:v>
                </c:pt>
                <c:pt idx="14">
                  <c:v>-123</c:v>
                </c:pt>
                <c:pt idx="15">
                  <c:v>-175</c:v>
                </c:pt>
                <c:pt idx="16">
                  <c:v>-50</c:v>
                </c:pt>
                <c:pt idx="17">
                  <c:v>-124</c:v>
                </c:pt>
                <c:pt idx="18">
                  <c:v>-104</c:v>
                </c:pt>
              </c:numCache>
            </c:numRef>
          </c:val>
          <c:smooth val="0"/>
        </c:ser>
        <c:ser>
          <c:idx val="3"/>
          <c:order val="2"/>
          <c:tx>
            <c:strRef>
              <c:f>Hárok3!$H$3:$H$4</c:f>
              <c:strCache>
                <c:ptCount val="1"/>
                <c:pt idx="0">
                  <c:v>Celkový prírastok  (-úbytok)</c:v>
                </c:pt>
              </c:strCache>
            </c:strRef>
          </c:tx>
          <c:cat>
            <c:numRef>
              <c:f>Hárok3!$A$5:$A$23</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Hárok3!$H$5:$H$23</c:f>
              <c:numCache>
                <c:formatCode>General</c:formatCode>
                <c:ptCount val="19"/>
                <c:pt idx="0">
                  <c:v>-197</c:v>
                </c:pt>
                <c:pt idx="1">
                  <c:v>-179</c:v>
                </c:pt>
                <c:pt idx="2">
                  <c:v>-121</c:v>
                </c:pt>
                <c:pt idx="3">
                  <c:v>-161</c:v>
                </c:pt>
                <c:pt idx="4">
                  <c:v>-217</c:v>
                </c:pt>
                <c:pt idx="5">
                  <c:v>-282</c:v>
                </c:pt>
                <c:pt idx="6">
                  <c:v>-261</c:v>
                </c:pt>
                <c:pt idx="7">
                  <c:v>-261</c:v>
                </c:pt>
                <c:pt idx="8">
                  <c:v>-262</c:v>
                </c:pt>
                <c:pt idx="9">
                  <c:v>-171</c:v>
                </c:pt>
                <c:pt idx="10">
                  <c:v>-228</c:v>
                </c:pt>
                <c:pt idx="11">
                  <c:v>-240</c:v>
                </c:pt>
                <c:pt idx="12">
                  <c:v>-199</c:v>
                </c:pt>
                <c:pt idx="13">
                  <c:v>-161</c:v>
                </c:pt>
                <c:pt idx="14">
                  <c:v>-189</c:v>
                </c:pt>
                <c:pt idx="15">
                  <c:v>-271</c:v>
                </c:pt>
                <c:pt idx="16">
                  <c:v>-179</c:v>
                </c:pt>
                <c:pt idx="17">
                  <c:v>-216</c:v>
                </c:pt>
                <c:pt idx="18">
                  <c:v>-210</c:v>
                </c:pt>
              </c:numCache>
            </c:numRef>
          </c:val>
          <c:smooth val="0"/>
        </c:ser>
        <c:dLbls>
          <c:showLegendKey val="0"/>
          <c:showVal val="0"/>
          <c:showCatName val="0"/>
          <c:showSerName val="0"/>
          <c:showPercent val="0"/>
          <c:showBubbleSize val="0"/>
        </c:dLbls>
        <c:marker val="1"/>
        <c:smooth val="0"/>
        <c:axId val="265556720"/>
        <c:axId val="265557112"/>
      </c:lineChart>
      <c:catAx>
        <c:axId val="265556720"/>
        <c:scaling>
          <c:orientation val="minMax"/>
        </c:scaling>
        <c:delete val="0"/>
        <c:axPos val="b"/>
        <c:numFmt formatCode="General" sourceLinked="1"/>
        <c:majorTickMark val="out"/>
        <c:minorTickMark val="none"/>
        <c:tickLblPos val="nextTo"/>
        <c:crossAx val="265557112"/>
        <c:crosses val="autoZero"/>
        <c:auto val="1"/>
        <c:lblAlgn val="ctr"/>
        <c:lblOffset val="100"/>
        <c:noMultiLvlLbl val="0"/>
      </c:catAx>
      <c:valAx>
        <c:axId val="265557112"/>
        <c:scaling>
          <c:orientation val="minMax"/>
        </c:scaling>
        <c:delete val="0"/>
        <c:axPos val="l"/>
        <c:majorGridlines/>
        <c:numFmt formatCode="General" sourceLinked="1"/>
        <c:majorTickMark val="out"/>
        <c:minorTickMark val="none"/>
        <c:tickLblPos val="nextTo"/>
        <c:crossAx val="265556720"/>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Vierovyznanie v Kopaničiarskom regióne</a:t>
            </a:r>
            <a:r>
              <a:rPr lang="sk-SK"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v roku 2011 v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17,74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48,90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0,46</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21,55</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9,79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Viera!$A$114:$A$119</c:f>
              <c:strCache>
                <c:ptCount val="6"/>
                <c:pt idx="0">
                  <c:v>Rímskokatolícka cirkev</c:v>
                </c:pt>
                <c:pt idx="1">
                  <c:v>Evanjelická cirkev</c:v>
                </c:pt>
                <c:pt idx="2">
                  <c:v>Ostatné cirkvi</c:v>
                </c:pt>
                <c:pt idx="3">
                  <c:v>Veriaci, nehlásiaci sa k cirkvi</c:v>
                </c:pt>
                <c:pt idx="4">
                  <c:v>Bez viery</c:v>
                </c:pt>
                <c:pt idx="5">
                  <c:v>Neuvedené</c:v>
                </c:pt>
              </c:strCache>
            </c:strRef>
          </c:cat>
          <c:val>
            <c:numRef>
              <c:f>Viera!$C$114:$C$119</c:f>
              <c:numCache>
                <c:formatCode>General</c:formatCode>
                <c:ptCount val="6"/>
                <c:pt idx="0">
                  <c:v>17.74125579435314</c:v>
                </c:pt>
                <c:pt idx="1">
                  <c:v>48.898795661720676</c:v>
                </c:pt>
                <c:pt idx="2">
                  <c:v>1.5614256881140849</c:v>
                </c:pt>
                <c:pt idx="3">
                  <c:v>0.46354825115887088</c:v>
                </c:pt>
                <c:pt idx="4">
                  <c:v>21.547230909131169</c:v>
                </c:pt>
                <c:pt idx="5">
                  <c:v>9.7877436955219927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1986111111111164"/>
          <c:y val="0.2313788920994054"/>
          <c:w val="0.36625000000000002"/>
          <c:h val="0.6761355565848421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b="1" i="0" u="none" strike="noStrike" baseline="0">
                <a:effectLst/>
                <a:latin typeface="Times New Roman" panose="02020603050405020304" pitchFamily="18" charset="0"/>
                <a:cs typeface="Times New Roman" panose="02020603050405020304" pitchFamily="18" charset="0"/>
              </a:rPr>
              <a:t>Vzdelanostná štruktúra obyvateľstva Kopaničiarskeho regiónu v roku 2011 v %</a:t>
            </a:r>
            <a:endParaRPr lang="sk-SK"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150392129127578E-2"/>
          <c:y val="0.25977289186739272"/>
          <c:w val="0.54961426228907251"/>
          <c:h val="0.63448869121524654"/>
        </c:manualLayout>
      </c:layout>
      <c:pie3DChart>
        <c:varyColors val="1"/>
        <c:ser>
          <c:idx val="0"/>
          <c:order val="0"/>
          <c:explosion val="20"/>
          <c:dPt>
            <c:idx val="1"/>
            <c:bubble3D val="0"/>
            <c:explosion val="21"/>
          </c:dPt>
          <c:dLbls>
            <c:dLbl>
              <c:idx val="0"/>
              <c:tx>
                <c:rich>
                  <a:bodyPr/>
                  <a:lstStyle/>
                  <a:p>
                    <a:r>
                      <a:rPr lang="en-US"/>
                      <a:t>26,99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27,90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30,38</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11,85</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Vzdelanosť!$A$105:$A$110</c:f>
              <c:strCache>
                <c:ptCount val="6"/>
                <c:pt idx="0">
                  <c:v>Základné vrátane neukončeného</c:v>
                </c:pt>
                <c:pt idx="1">
                  <c:v>Stredné bez maturity</c:v>
                </c:pt>
                <c:pt idx="2">
                  <c:v>Stredné s maturitou</c:v>
                </c:pt>
                <c:pt idx="3">
                  <c:v>Vyššie odborné </c:v>
                </c:pt>
                <c:pt idx="4">
                  <c:v>Vysokoškolské</c:v>
                </c:pt>
                <c:pt idx="5">
                  <c:v>Nezistené</c:v>
                </c:pt>
              </c:strCache>
            </c:strRef>
          </c:cat>
          <c:val>
            <c:numRef>
              <c:f>Vzdelanosť!$C$105:$C$110</c:f>
              <c:numCache>
                <c:formatCode>General</c:formatCode>
                <c:ptCount val="6"/>
                <c:pt idx="0">
                  <c:v>26.987823541153709</c:v>
                </c:pt>
                <c:pt idx="1">
                  <c:v>27.899394503959012</c:v>
                </c:pt>
                <c:pt idx="2">
                  <c:v>30.376827023310547</c:v>
                </c:pt>
                <c:pt idx="3">
                  <c:v>1.3485040033712601</c:v>
                </c:pt>
                <c:pt idx="4">
                  <c:v>11.852640450684291</c:v>
                </c:pt>
                <c:pt idx="5">
                  <c:v>1.5348104775212381</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56076068335769402"/>
          <c:y val="0.23615485564304423"/>
          <c:w val="0.42257259758697935"/>
          <c:h val="0.69713473315835561"/>
        </c:manualLayout>
      </c:layout>
      <c:overlay val="0"/>
      <c:txPr>
        <a:bodyPr/>
        <a:lstStyle/>
        <a:p>
          <a:pPr rtl="0">
            <a:defRPr sz="1100">
              <a:latin typeface="Times New Roman" panose="02020603050405020304" pitchFamily="18" charset="0"/>
              <a:cs typeface="Times New Roman" panose="02020603050405020304" pitchFamily="18" charset="0"/>
            </a:defRPr>
          </a:pPr>
          <a:endParaRPr lang="sk-SK"/>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Arial"/>
                <a:ea typeface="Arial"/>
                <a:cs typeface="Arial"/>
              </a:defRPr>
            </a:pPr>
            <a:r>
              <a:rPr lang="sk-SK"/>
              <a:t>Podiel jednotlivých činností subjektov primárneho sektora hospodárstva v Kopaničiarskom regióne k 31.12.2014</a:t>
            </a:r>
          </a:p>
        </c:rich>
      </c:tx>
      <c:layout>
        <c:manualLayout>
          <c:xMode val="edge"/>
          <c:yMode val="edge"/>
          <c:x val="0.1016597510373444"/>
          <c:y val="1.9417475728155408E-2"/>
        </c:manualLayout>
      </c:layout>
      <c:overlay val="0"/>
      <c:spPr>
        <a:noFill/>
        <a:ln w="2539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879668049792647"/>
          <c:y val="0.34304207119741215"/>
          <c:w val="0.609958506224068"/>
          <c:h val="0.37864077669903001"/>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993300"/>
              </a:solidFill>
              <a:ln w="12700">
                <a:solidFill>
                  <a:srgbClr val="000000"/>
                </a:solidFill>
                <a:prstDash val="solid"/>
              </a:ln>
            </c:spPr>
          </c:dPt>
          <c:dPt>
            <c:idx val="1"/>
            <c:bubble3D val="0"/>
            <c:spPr>
              <a:solidFill>
                <a:srgbClr val="008000"/>
              </a:solidFill>
              <a:ln w="12700">
                <a:solidFill>
                  <a:srgbClr val="000000"/>
                </a:solidFill>
                <a:prstDash val="solid"/>
              </a:ln>
            </c:spPr>
          </c:dPt>
          <c:dPt>
            <c:idx val="2"/>
            <c:bubble3D val="0"/>
            <c:spPr>
              <a:solidFill>
                <a:srgbClr val="0000FF"/>
              </a:solidFill>
              <a:ln w="12700">
                <a:solidFill>
                  <a:srgbClr val="000000"/>
                </a:solidFill>
                <a:prstDash val="solid"/>
              </a:ln>
            </c:spPr>
          </c:dPt>
          <c:dLbls>
            <c:numFmt formatCode="0%" sourceLinked="0"/>
            <c:spPr>
              <a:noFill/>
              <a:ln w="25399">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OKEČ!$A$4:$B$6</c:f>
              <c:multiLvlStrCache>
                <c:ptCount val="3"/>
                <c:lvl>
                  <c:pt idx="0">
                    <c:v>Poľnohospodárstvo, poľovníctvo a súvisiace služby</c:v>
                  </c:pt>
                  <c:pt idx="1">
                    <c:v>Lesníctvo, ťažba dreva a súvisiace služby</c:v>
                  </c:pt>
                  <c:pt idx="2">
                    <c:v>Rybolov, chov rýb a súvisiace služby</c:v>
                  </c:pt>
                </c:lvl>
                <c:lvl>
                  <c:pt idx="0">
                    <c:v>01</c:v>
                  </c:pt>
                  <c:pt idx="1">
                    <c:v>02</c:v>
                  </c:pt>
                  <c:pt idx="2">
                    <c:v>05</c:v>
                  </c:pt>
                </c:lvl>
              </c:multiLvlStrCache>
            </c:multiLvlStrRef>
          </c:cat>
          <c:val>
            <c:numRef>
              <c:f>OKEČ!$C$4:$C$6</c:f>
              <c:numCache>
                <c:formatCode>General</c:formatCode>
                <c:ptCount val="3"/>
                <c:pt idx="0">
                  <c:v>119</c:v>
                </c:pt>
                <c:pt idx="1">
                  <c:v>59</c:v>
                </c:pt>
                <c:pt idx="2">
                  <c:v>2</c:v>
                </c:pt>
              </c:numCache>
            </c:numRef>
          </c:val>
        </c:ser>
        <c:dLbls>
          <c:showLegendKey val="0"/>
          <c:showVal val="0"/>
          <c:showCatName val="0"/>
          <c:showSerName val="0"/>
          <c:showPercent val="1"/>
          <c:showBubbleSize val="0"/>
          <c:showLeaderLines val="1"/>
        </c:dLbls>
      </c:pie3DChart>
      <c:spPr>
        <a:noFill/>
        <a:ln w="25399">
          <a:noFill/>
        </a:ln>
      </c:spPr>
    </c:plotArea>
    <c:legend>
      <c:legendPos val="b"/>
      <c:layout>
        <c:manualLayout>
          <c:xMode val="edge"/>
          <c:yMode val="edge"/>
          <c:x val="0.22821576763485477"/>
          <c:y val="0.77022653721682965"/>
          <c:w val="0.55809128630705462"/>
          <c:h val="0.1941747572815527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sk-SK"/>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3" b="1" i="1" u="none" strike="noStrike" baseline="0">
                <a:solidFill>
                  <a:srgbClr val="000000"/>
                </a:solidFill>
                <a:latin typeface="Arial"/>
                <a:ea typeface="Arial"/>
                <a:cs typeface="Arial"/>
              </a:defRPr>
            </a:pPr>
            <a:r>
              <a:rPr lang="sk-SK"/>
              <a:t>Podiel jednotlivých činností terciárneho sektoru hospodárstva v Kopaničiarskom regióne k 31.12.2014</a:t>
            </a:r>
          </a:p>
        </c:rich>
      </c:tx>
      <c:layout>
        <c:manualLayout>
          <c:xMode val="edge"/>
          <c:yMode val="edge"/>
          <c:x val="0.11036789297658861"/>
          <c:y val="7.3710073710073895E-3"/>
        </c:manualLayout>
      </c:layout>
      <c:overlay val="0"/>
      <c:spPr>
        <a:noFill/>
        <a:ln w="2534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0936454849498435"/>
          <c:y val="0.18673218673218747"/>
          <c:w val="0.39966555183946662"/>
          <c:h val="0.23341523341523432"/>
        </c:manualLayout>
      </c:layout>
      <c:pie3DChart>
        <c:varyColors val="1"/>
        <c:ser>
          <c:idx val="0"/>
          <c:order val="0"/>
          <c:spPr>
            <a:solidFill>
              <a:srgbClr val="9999FF"/>
            </a:solidFill>
            <a:ln w="12675">
              <a:solidFill>
                <a:srgbClr val="000000"/>
              </a:solidFill>
              <a:prstDash val="solid"/>
            </a:ln>
          </c:spPr>
          <c:explosion val="25"/>
          <c:dPt>
            <c:idx val="1"/>
            <c:bubble3D val="0"/>
            <c:spPr>
              <a:solidFill>
                <a:srgbClr val="993366"/>
              </a:solidFill>
              <a:ln w="12675">
                <a:solidFill>
                  <a:srgbClr val="000000"/>
                </a:solidFill>
                <a:prstDash val="solid"/>
              </a:ln>
            </c:spPr>
          </c:dPt>
          <c:dPt>
            <c:idx val="2"/>
            <c:bubble3D val="0"/>
            <c:spPr>
              <a:solidFill>
                <a:srgbClr val="00FF00"/>
              </a:solidFill>
              <a:ln w="12675">
                <a:solidFill>
                  <a:srgbClr val="000000"/>
                </a:solidFill>
                <a:prstDash val="solid"/>
              </a:ln>
            </c:spPr>
          </c:dPt>
          <c:dPt>
            <c:idx val="3"/>
            <c:bubble3D val="0"/>
            <c:spPr>
              <a:solidFill>
                <a:srgbClr val="CCFFFF"/>
              </a:solidFill>
              <a:ln w="12675">
                <a:solidFill>
                  <a:srgbClr val="000000"/>
                </a:solidFill>
                <a:prstDash val="solid"/>
              </a:ln>
            </c:spPr>
          </c:dPt>
          <c:dPt>
            <c:idx val="4"/>
            <c:bubble3D val="0"/>
            <c:spPr>
              <a:solidFill>
                <a:srgbClr val="660066"/>
              </a:solidFill>
              <a:ln w="12675">
                <a:solidFill>
                  <a:srgbClr val="000000"/>
                </a:solidFill>
                <a:prstDash val="solid"/>
              </a:ln>
            </c:spPr>
          </c:dPt>
          <c:dPt>
            <c:idx val="5"/>
            <c:bubble3D val="0"/>
            <c:spPr>
              <a:solidFill>
                <a:srgbClr val="FF8080"/>
              </a:solidFill>
              <a:ln w="12675">
                <a:solidFill>
                  <a:srgbClr val="000000"/>
                </a:solidFill>
                <a:prstDash val="solid"/>
              </a:ln>
            </c:spPr>
          </c:dPt>
          <c:dPt>
            <c:idx val="6"/>
            <c:bubble3D val="0"/>
            <c:spPr>
              <a:solidFill>
                <a:srgbClr val="FF0000"/>
              </a:solidFill>
              <a:ln w="12675">
                <a:solidFill>
                  <a:srgbClr val="000000"/>
                </a:solidFill>
                <a:prstDash val="solid"/>
              </a:ln>
            </c:spPr>
          </c:dPt>
          <c:dPt>
            <c:idx val="7"/>
            <c:bubble3D val="0"/>
            <c:spPr>
              <a:solidFill>
                <a:srgbClr val="CCCCFF"/>
              </a:solidFill>
              <a:ln w="12675">
                <a:solidFill>
                  <a:srgbClr val="000000"/>
                </a:solidFill>
                <a:prstDash val="solid"/>
              </a:ln>
            </c:spPr>
          </c:dPt>
          <c:dPt>
            <c:idx val="8"/>
            <c:bubble3D val="0"/>
            <c:spPr>
              <a:solidFill>
                <a:srgbClr val="000080"/>
              </a:solidFill>
              <a:ln w="12675">
                <a:solidFill>
                  <a:srgbClr val="000000"/>
                </a:solidFill>
                <a:prstDash val="solid"/>
              </a:ln>
            </c:spPr>
          </c:dPt>
          <c:dPt>
            <c:idx val="9"/>
            <c:bubble3D val="0"/>
            <c:spPr>
              <a:solidFill>
                <a:srgbClr val="FF00FF"/>
              </a:solidFill>
              <a:ln w="12675">
                <a:solidFill>
                  <a:srgbClr val="000000"/>
                </a:solidFill>
                <a:prstDash val="solid"/>
              </a:ln>
            </c:spPr>
          </c:dPt>
          <c:dPt>
            <c:idx val="10"/>
            <c:bubble3D val="0"/>
            <c:spPr>
              <a:solidFill>
                <a:srgbClr val="FFFF00"/>
              </a:solidFill>
              <a:ln w="12675">
                <a:solidFill>
                  <a:srgbClr val="000000"/>
                </a:solidFill>
                <a:prstDash val="solid"/>
              </a:ln>
            </c:spPr>
          </c:dPt>
          <c:dPt>
            <c:idx val="11"/>
            <c:bubble3D val="0"/>
            <c:spPr>
              <a:solidFill>
                <a:srgbClr val="00FFFF"/>
              </a:solidFill>
              <a:ln w="12675">
                <a:solidFill>
                  <a:srgbClr val="000000"/>
                </a:solidFill>
                <a:prstDash val="solid"/>
              </a:ln>
            </c:spPr>
          </c:dPt>
          <c:dPt>
            <c:idx val="12"/>
            <c:bubble3D val="0"/>
            <c:spPr>
              <a:solidFill>
                <a:srgbClr val="800080"/>
              </a:solidFill>
              <a:ln w="12675">
                <a:solidFill>
                  <a:srgbClr val="000000"/>
                </a:solidFill>
                <a:prstDash val="solid"/>
              </a:ln>
            </c:spPr>
          </c:dPt>
          <c:dPt>
            <c:idx val="13"/>
            <c:bubble3D val="0"/>
            <c:spPr>
              <a:solidFill>
                <a:srgbClr val="800000"/>
              </a:solidFill>
              <a:ln w="12675">
                <a:solidFill>
                  <a:srgbClr val="000000"/>
                </a:solidFill>
                <a:prstDash val="solid"/>
              </a:ln>
            </c:spPr>
          </c:dPt>
          <c:dPt>
            <c:idx val="14"/>
            <c:bubble3D val="0"/>
            <c:spPr>
              <a:solidFill>
                <a:srgbClr val="008080"/>
              </a:solidFill>
              <a:ln w="12675">
                <a:solidFill>
                  <a:srgbClr val="000000"/>
                </a:solidFill>
                <a:prstDash val="solid"/>
              </a:ln>
            </c:spPr>
          </c:dPt>
          <c:dPt>
            <c:idx val="15"/>
            <c:bubble3D val="0"/>
            <c:spPr>
              <a:solidFill>
                <a:srgbClr val="0000FF"/>
              </a:solidFill>
              <a:ln w="12675">
                <a:solidFill>
                  <a:srgbClr val="000000"/>
                </a:solidFill>
                <a:prstDash val="solid"/>
              </a:ln>
            </c:spPr>
          </c:dPt>
          <c:dPt>
            <c:idx val="16"/>
            <c:bubble3D val="0"/>
            <c:spPr>
              <a:solidFill>
                <a:srgbClr val="008000"/>
              </a:solidFill>
              <a:ln w="12675">
                <a:solidFill>
                  <a:srgbClr val="000000"/>
                </a:solidFill>
                <a:prstDash val="solid"/>
              </a:ln>
            </c:spPr>
          </c:dPt>
          <c:dPt>
            <c:idx val="17"/>
            <c:bubble3D val="0"/>
            <c:spPr>
              <a:solidFill>
                <a:srgbClr val="333300"/>
              </a:solidFill>
              <a:ln w="12675">
                <a:solidFill>
                  <a:srgbClr val="000000"/>
                </a:solidFill>
                <a:prstDash val="solid"/>
              </a:ln>
            </c:spPr>
          </c:dPt>
          <c:dPt>
            <c:idx val="18"/>
            <c:bubble3D val="0"/>
            <c:spPr>
              <a:solidFill>
                <a:srgbClr val="CCFFCC"/>
              </a:solidFill>
              <a:ln w="12675">
                <a:solidFill>
                  <a:srgbClr val="000000"/>
                </a:solidFill>
                <a:prstDash val="solid"/>
              </a:ln>
            </c:spPr>
          </c:dPt>
          <c:dLbls>
            <c:dLbl>
              <c:idx val="3"/>
              <c:layout>
                <c:manualLayout>
                  <c:x val="1.9760961545014832E-2"/>
                  <c:y val="6.4609867846417059E-3"/>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5163337122990213E-2"/>
                  <c:y val="2.1517002046296151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4494047317838049E-2"/>
                  <c:y val="3.1932947225472887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4080656008328585E-2"/>
                  <c:y val="2.2882468213815808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30788843057445E-2"/>
                  <c:y val="1.8113786325141046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5.7433544169627334E-3"/>
                  <c:y val="3.8301710544576588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1.29440112715136E-2"/>
                  <c:y val="1.3004891283872663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6.5277238497234991E-3"/>
                  <c:y val="-1.3239061971016597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1.4651547596329362E-3"/>
                  <c:y val="1.6577690368898501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2"/>
              <c:layout>
                <c:manualLayout>
                  <c:x val="-1.0082594449792518E-2"/>
                  <c:y val="-7.4852961596415229E-3"/>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4"/>
              <c:layout>
                <c:manualLayout>
                  <c:x val="1.0424423330127261E-2"/>
                  <c:y val="-3.0937916074813727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5"/>
              <c:layout>
                <c:manualLayout>
                  <c:x val="1.9113351555465504E-2"/>
                  <c:y val="-4.0796420209063523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6"/>
              <c:layout>
                <c:manualLayout>
                  <c:x val="1.0111062444459799E-2"/>
                  <c:y val="-4.9020983948273339E-2"/>
                </c:manualLayout>
              </c:layout>
              <c:numFmt formatCode="0%" sourceLinked="0"/>
              <c:spPr>
                <a:noFill/>
                <a:ln w="25349">
                  <a:noFill/>
                </a:ln>
              </c:spPr>
              <c:txPr>
                <a:bodyPr/>
                <a:lstStyle/>
                <a:p>
                  <a:pPr>
                    <a:defRPr sz="798" b="1" i="0" u="none" strike="noStrike" baseline="0">
                      <a:solidFill>
                        <a:srgbClr val="000000"/>
                      </a:solidFill>
                      <a:latin typeface="Arial"/>
                      <a:ea typeface="Arial"/>
                      <a:cs typeface="Arial"/>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349">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(OKEČ!$A$38:$B$41,OKEČ!$A$53:$B$56,OKEČ!$A$58:$B$58,OKEČ!$A$59:$B$60,OKEČ!$A$62:$B$65,OKEČ!$A$67:$B$69,OKEČ!$A$73:$B$73)</c:f>
              <c:multiLvlStrCache>
                <c:ptCount val="19"/>
                <c:lvl>
                  <c:pt idx="0">
                    <c:v>Predaj, údržba a oprava motorových vozidiel a motocyklov; maloobchodný predaj pohonných látok</c:v>
                  </c:pt>
                  <c:pt idx="1">
                    <c:v>Veľkoobchod a sprostredkovanie veľkoobchodu okrem motorových vozidiel a motocyklov</c:v>
                  </c:pt>
                  <c:pt idx="2">
                    <c:v>Maloobchod okrem motorových vozidiel a motocyklov; oprava tovaru osobnej potreby a potrieb pre domácnosť</c:v>
                  </c:pt>
                  <c:pt idx="3">
                    <c:v>Hotely a reštaurácie</c:v>
                  </c:pt>
                  <c:pt idx="4">
                    <c:v>Vedľajšie a pomocné činnosti v doprave; činnosti cestovných kancelárií</c:v>
                  </c:pt>
                  <c:pt idx="5">
                    <c:v>Pošty a telekomunikácie</c:v>
                  </c:pt>
                  <c:pt idx="6">
                    <c:v>Finančné sprostredkovanie okrem poistenia a dôchodkového zabezpečenia</c:v>
                  </c:pt>
                  <c:pt idx="7">
                    <c:v>Poistenie a dôchodkové zabezpečenie okrem povinného sociálneho zabezpečenia</c:v>
                  </c:pt>
                  <c:pt idx="8">
                    <c:v>Činnosti v oblasti nehnuteľnosti</c:v>
                  </c:pt>
                  <c:pt idx="9">
                    <c:v>Prenájom strojov a zariadení bez obsluhy a prenájom tovaru osobnej spotreby a potrieb pre domácnosť</c:v>
                  </c:pt>
                  <c:pt idx="10">
                    <c:v>Počítačové a súvisiace činnosti</c:v>
                  </c:pt>
                  <c:pt idx="11">
                    <c:v>Iné obchodné služby</c:v>
                  </c:pt>
                  <c:pt idx="12">
                    <c:v>Verejná správa a obrana; povinné sociálne zabezpečenie</c:v>
                  </c:pt>
                  <c:pt idx="13">
                    <c:v>Školostvo</c:v>
                  </c:pt>
                  <c:pt idx="14">
                    <c:v>Zdravotníctvo a sociálna pomoc</c:v>
                  </c:pt>
                  <c:pt idx="15">
                    <c:v>Činnosti členských organizácií i.n.</c:v>
                  </c:pt>
                  <c:pt idx="16">
                    <c:v>Rekreačné, kultúrne a športové činnosti</c:v>
                  </c:pt>
                  <c:pt idx="17">
                    <c:v>Ostatné služby</c:v>
                  </c:pt>
                  <c:pt idx="18">
                    <c:v>Exteritoriálne organizácie a združenia</c:v>
                  </c:pt>
                </c:lvl>
                <c:lvl>
                  <c:pt idx="0">
                    <c:v>50</c:v>
                  </c:pt>
                  <c:pt idx="1">
                    <c:v>51</c:v>
                  </c:pt>
                  <c:pt idx="2">
                    <c:v>52</c:v>
                  </c:pt>
                  <c:pt idx="3">
                    <c:v>55</c:v>
                  </c:pt>
                  <c:pt idx="4">
                    <c:v>63</c:v>
                  </c:pt>
                  <c:pt idx="5">
                    <c:v>64</c:v>
                  </c:pt>
                  <c:pt idx="6">
                    <c:v>65</c:v>
                  </c:pt>
                  <c:pt idx="7">
                    <c:v>66</c:v>
                  </c:pt>
                  <c:pt idx="8">
                    <c:v>70</c:v>
                  </c:pt>
                  <c:pt idx="9">
                    <c:v>71</c:v>
                  </c:pt>
                  <c:pt idx="10">
                    <c:v>72</c:v>
                  </c:pt>
                  <c:pt idx="11">
                    <c:v>74</c:v>
                  </c:pt>
                  <c:pt idx="12">
                    <c:v>75</c:v>
                  </c:pt>
                  <c:pt idx="13">
                    <c:v>80</c:v>
                  </c:pt>
                  <c:pt idx="14">
                    <c:v>85</c:v>
                  </c:pt>
                  <c:pt idx="15">
                    <c:v>91</c:v>
                  </c:pt>
                  <c:pt idx="16">
                    <c:v>92</c:v>
                  </c:pt>
                  <c:pt idx="17">
                    <c:v>93</c:v>
                  </c:pt>
                  <c:pt idx="18">
                    <c:v>99</c:v>
                  </c:pt>
                </c:lvl>
              </c:multiLvlStrCache>
            </c:multiLvlStrRef>
          </c:cat>
          <c:val>
            <c:numRef>
              <c:f>(OKEČ!$C$38:$C$41,OKEČ!$C$53:$C$56,OKEČ!$C$58:$C$60,OKEČ!$C$62:$C$65,OKEČ!$C$67:$C$69,OKEČ!$C$73)</c:f>
              <c:numCache>
                <c:formatCode>General</c:formatCode>
                <c:ptCount val="19"/>
                <c:pt idx="0">
                  <c:v>145</c:v>
                </c:pt>
                <c:pt idx="1">
                  <c:v>88</c:v>
                </c:pt>
                <c:pt idx="2">
                  <c:v>975</c:v>
                </c:pt>
                <c:pt idx="3">
                  <c:v>81</c:v>
                </c:pt>
                <c:pt idx="4">
                  <c:v>79</c:v>
                </c:pt>
                <c:pt idx="5">
                  <c:v>12</c:v>
                </c:pt>
                <c:pt idx="6">
                  <c:v>35</c:v>
                </c:pt>
                <c:pt idx="7">
                  <c:v>108</c:v>
                </c:pt>
                <c:pt idx="8">
                  <c:v>22</c:v>
                </c:pt>
                <c:pt idx="9">
                  <c:v>45</c:v>
                </c:pt>
                <c:pt idx="10">
                  <c:v>59</c:v>
                </c:pt>
                <c:pt idx="11">
                  <c:v>170</c:v>
                </c:pt>
                <c:pt idx="12">
                  <c:v>42</c:v>
                </c:pt>
                <c:pt idx="13">
                  <c:v>44</c:v>
                </c:pt>
                <c:pt idx="14">
                  <c:v>21</c:v>
                </c:pt>
                <c:pt idx="15">
                  <c:v>58</c:v>
                </c:pt>
                <c:pt idx="16">
                  <c:v>93</c:v>
                </c:pt>
                <c:pt idx="17">
                  <c:v>217</c:v>
                </c:pt>
                <c:pt idx="18">
                  <c:v>6</c:v>
                </c:pt>
              </c:numCache>
            </c:numRef>
          </c:val>
        </c:ser>
        <c:dLbls>
          <c:showLegendKey val="0"/>
          <c:showVal val="0"/>
          <c:showCatName val="0"/>
          <c:showSerName val="0"/>
          <c:showPercent val="1"/>
          <c:showBubbleSize val="0"/>
          <c:showLeaderLines val="1"/>
        </c:dLbls>
      </c:pie3DChart>
      <c:spPr>
        <a:noFill/>
        <a:ln w="25349">
          <a:noFill/>
        </a:ln>
      </c:spPr>
    </c:plotArea>
    <c:legend>
      <c:legendPos val="b"/>
      <c:layout>
        <c:manualLayout>
          <c:xMode val="edge"/>
          <c:yMode val="edge"/>
          <c:x val="2.508361204013386E-2"/>
          <c:y val="0.47665847665847688"/>
          <c:w val="0.94481605351170572"/>
          <c:h val="0.52088452088452086"/>
        </c:manualLayout>
      </c:layout>
      <c:overlay val="0"/>
      <c:spPr>
        <a:solidFill>
          <a:srgbClr val="FFFFFF"/>
        </a:solidFill>
        <a:ln w="3169">
          <a:solidFill>
            <a:srgbClr val="000000"/>
          </a:solidFill>
          <a:prstDash val="solid"/>
        </a:ln>
      </c:spPr>
      <c:txPr>
        <a:bodyPr/>
        <a:lstStyle/>
        <a:p>
          <a:pPr>
            <a:defRPr sz="734" b="0" i="0" u="none" strike="noStrike" baseline="0">
              <a:solidFill>
                <a:srgbClr val="000000"/>
              </a:solidFill>
              <a:latin typeface="Times New Roman"/>
              <a:ea typeface="Times New Roman"/>
              <a:cs typeface="Times New Roman"/>
            </a:defRPr>
          </a:pPr>
          <a:endParaRPr lang="sk-SK"/>
        </a:p>
      </c:txPr>
    </c:legend>
    <c:plotVisOnly val="1"/>
    <c:dispBlanksAs val="zero"/>
    <c:showDLblsOverMax val="0"/>
  </c:chart>
  <c:spPr>
    <a:solidFill>
      <a:srgbClr val="FFFFFF"/>
    </a:solidFill>
    <a:ln w="3169">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1E6F6-F6D9-4EFF-A0D8-34BD9D19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7059</TotalTime>
  <Pages>176</Pages>
  <Words>52380</Words>
  <Characters>298568</Characters>
  <Application>Microsoft Office Word</Application>
  <DocSecurity>0</DocSecurity>
  <Lines>2488</Lines>
  <Paragraphs>700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MPRR SR</Company>
  <LinksUpToDate>false</LinksUpToDate>
  <CharactersWithSpaces>350248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Majerech Martin</dc:creator>
  <cp:lastModifiedBy>Správca</cp:lastModifiedBy>
  <cp:revision>138</cp:revision>
  <cp:lastPrinted>2018-12-14T15:33:00Z</cp:lastPrinted>
  <dcterms:created xsi:type="dcterms:W3CDTF">2015-11-03T23:46:00Z</dcterms:created>
  <dcterms:modified xsi:type="dcterms:W3CDTF">2018-12-14T17:32:00Z</dcterms:modified>
</cp:coreProperties>
</file>